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2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MEI Pharma,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0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2440" w:type="dxa"/>
            <w:vAlign w:val="bottom"/>
            <w:gridSpan w:val="2"/>
          </w:tcPr>
          <w:p>
            <w:pPr>
              <w:jc w:val="center"/>
              <w:ind w:left="384"/>
              <w:spacing w:after="0"/>
              <w:rPr>
                <w:sz w:val="20"/>
                <w:szCs w:val="20"/>
                <w:color w:val="auto"/>
              </w:rPr>
            </w:pPr>
            <w:r>
              <w:rPr>
                <w:rFonts w:ascii="Arial" w:cs="Arial" w:eastAsia="Arial" w:hAnsi="Arial"/>
                <w:sz w:val="18"/>
                <w:szCs w:val="18"/>
                <w:b w:val="1"/>
                <w:bCs w:val="1"/>
                <w:color w:val="auto"/>
                <w:w w:val="98"/>
              </w:rPr>
              <w:t>DELAWARE</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6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89"/>
              </w:rPr>
              <w:t>51-0407811</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440" w:type="dxa"/>
            <w:vAlign w:val="bottom"/>
            <w:gridSpan w:val="2"/>
          </w:tcPr>
          <w:p>
            <w:pPr>
              <w:jc w:val="center"/>
              <w:ind w:left="4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60" w:type="dxa"/>
            <w:vAlign w:val="bottom"/>
            <w:gridSpan w:val="2"/>
          </w:tcPr>
          <w:p>
            <w:pPr>
              <w:jc w:val="center"/>
              <w:ind w:right="157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244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60" w:type="dxa"/>
            <w:vAlign w:val="bottom"/>
            <w:gridSpan w:val="2"/>
          </w:tcPr>
          <w:p>
            <w:pPr>
              <w:jc w:val="center"/>
              <w:ind w:right="157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11455 El Camino Real, San Diego, CA 92130</w:t>
            </w: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9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gridSpan w:val="2"/>
          </w:tcPr>
          <w:p>
            <w:pPr>
              <w:jc w:val="center"/>
              <w:ind w:left="1039"/>
              <w:spacing w:after="0"/>
              <w:rPr>
                <w:sz w:val="20"/>
                <w:szCs w:val="20"/>
                <w:color w:val="auto"/>
              </w:rPr>
            </w:pPr>
            <w:r>
              <w:rPr>
                <w:rFonts w:ascii="Arial" w:cs="Arial" w:eastAsia="Arial" w:hAnsi="Arial"/>
                <w:sz w:val="18"/>
                <w:szCs w:val="18"/>
                <w:b w:val="1"/>
                <w:bCs w:val="1"/>
                <w:color w:val="auto"/>
                <w:w w:val="90"/>
              </w:rPr>
              <w:t>(858) 369-7100</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9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2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620" w:type="dxa"/>
            <w:vAlign w:val="bottom"/>
          </w:tcPr>
          <w:p>
            <w:pPr>
              <w:spacing w:after="0"/>
              <w:rPr>
                <w:sz w:val="24"/>
                <w:szCs w:val="24"/>
                <w:color w:val="auto"/>
              </w:rPr>
            </w:pPr>
          </w:p>
        </w:tc>
        <w:tc>
          <w:tcPr>
            <w:tcW w:w="286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par value</w:t>
            </w:r>
          </w:p>
        </w:tc>
        <w:tc>
          <w:tcPr>
            <w:tcW w:w="1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w w:val="81"/>
              </w:rPr>
              <w:t>Common Stock, $0.00000002</w:t>
            </w:r>
          </w:p>
        </w:tc>
        <w:tc>
          <w:tcPr>
            <w:tcW w:w="13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62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rPr>
              <w:t>MEIP</w:t>
            </w:r>
          </w:p>
        </w:tc>
        <w:tc>
          <w:tcPr>
            <w:tcW w:w="18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060"/>
          </w:cols>
          <w:pgMar w:left="320" w:top="230" w:right="519" w:bottom="1440" w:gutter="0" w:footer="0" w:header="0"/>
        </w:sectPr>
      </w:pPr>
    </w:p>
    <w:bookmarkStart w:id="1" w:name="page2"/>
    <w:bookmarkEnd w:id="1"/>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6, 2020, the number of shares outstanding of the issuer’s common stock, $0.00000002 par value, was 112,522,001.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780" w:type="dxa"/>
            <w:vAlign w:val="bottom"/>
          </w:tcPr>
          <w:p>
            <w:pPr>
              <w:ind w:left="1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142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420" w:type="dxa"/>
            <w:vAlign w:val="bottom"/>
          </w:tcPr>
          <w:p>
            <w:pPr>
              <w:spacing w:after="0"/>
              <w:rPr>
                <w:sz w:val="24"/>
                <w:szCs w:val="24"/>
                <w:color w:val="auto"/>
              </w:rPr>
            </w:pPr>
          </w:p>
        </w:tc>
      </w:tr>
      <w:tr>
        <w:trPr>
          <w:trHeight w:val="324"/>
        </w:trPr>
        <w:tc>
          <w:tcPr>
            <w:tcW w:w="760" w:type="dxa"/>
            <w:vAlign w:val="bottom"/>
          </w:tcPr>
          <w:p>
            <w:pPr>
              <w:spacing w:after="0"/>
              <w:rPr>
                <w:sz w:val="24"/>
                <w:szCs w:val="24"/>
                <w:color w:val="auto"/>
              </w:rPr>
            </w:pPr>
          </w:p>
        </w:tc>
        <w:tc>
          <w:tcPr>
            <w:tcW w:w="8780" w:type="dxa"/>
            <w:vAlign w:val="bottom"/>
          </w:tcPr>
          <w:p>
            <w:pPr>
              <w:ind w:left="1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as of September 30, 2020 and June 30, 2020</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760" w:type="dxa"/>
            <w:vAlign w:val="bottom"/>
          </w:tcPr>
          <w:p>
            <w:pPr>
              <w:spacing w:after="0"/>
              <w:rPr>
                <w:sz w:val="24"/>
                <w:szCs w:val="24"/>
                <w:color w:val="auto"/>
              </w:rPr>
            </w:pPr>
          </w:p>
        </w:tc>
        <w:tc>
          <w:tcPr>
            <w:tcW w:w="87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for the three months ended September 30, 2020 and 2019</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760" w:type="dxa"/>
            <w:vAlign w:val="bottom"/>
          </w:tcPr>
          <w:p>
            <w:pPr>
              <w:spacing w:after="0"/>
              <w:rPr>
                <w:sz w:val="24"/>
                <w:szCs w:val="24"/>
                <w:color w:val="auto"/>
              </w:rPr>
            </w:pPr>
          </w:p>
        </w:tc>
        <w:tc>
          <w:tcPr>
            <w:tcW w:w="878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Stockholders’ Equity for the three months ended September 30, 2020 and 2019</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760" w:type="dxa"/>
            <w:vAlign w:val="bottom"/>
          </w:tcPr>
          <w:p>
            <w:pPr>
              <w:spacing w:after="0"/>
              <w:rPr>
                <w:sz w:val="24"/>
                <w:szCs w:val="24"/>
                <w:color w:val="auto"/>
              </w:rPr>
            </w:pPr>
          </w:p>
        </w:tc>
        <w:tc>
          <w:tcPr>
            <w:tcW w:w="878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 for the three months ended September 30, 2020 and 2019</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760" w:type="dxa"/>
            <w:vAlign w:val="bottom"/>
          </w:tcPr>
          <w:p>
            <w:pPr>
              <w:spacing w:after="0"/>
              <w:rPr>
                <w:sz w:val="24"/>
                <w:szCs w:val="24"/>
                <w:color w:val="auto"/>
              </w:rPr>
            </w:pPr>
          </w:p>
        </w:tc>
        <w:tc>
          <w:tcPr>
            <w:tcW w:w="878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tcPr>
          <w:p>
            <w:pPr>
              <w:ind w:left="1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tcPr>
          <w:p>
            <w:pPr>
              <w:ind w:lef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780" w:type="dxa"/>
            <w:vAlign w:val="bottom"/>
          </w:tcPr>
          <w:p>
            <w:pPr>
              <w:ind w:left="10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OTHER INFORMATION</w:t>
              </w:r>
            </w:hyperlink>
          </w:p>
        </w:tc>
        <w:tc>
          <w:tcPr>
            <w:tcW w:w="142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Defaults upon Senior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8780" w:type="dxa"/>
            <w:vAlign w:val="bottom"/>
          </w:tcPr>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878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540" w:type="dxa"/>
            <w:vAlign w:val="bottom"/>
            <w:gridSpan w:val="2"/>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SIGNATURES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4"/>
        </w:trPr>
        <w:tc>
          <w:tcPr>
            <w:tcW w:w="760" w:type="dxa"/>
            <w:vAlign w:val="bottom"/>
          </w:tcPr>
          <w:p>
            <w:pPr>
              <w:spacing w:after="0"/>
              <w:rPr>
                <w:sz w:val="24"/>
                <w:szCs w:val="24"/>
                <w:color w:val="auto"/>
              </w:rPr>
            </w:pPr>
          </w:p>
        </w:tc>
        <w:tc>
          <w:tcPr>
            <w:tcW w:w="8780" w:type="dxa"/>
            <w:vAlign w:val="bottom"/>
          </w:tcPr>
          <w:p>
            <w:pPr>
              <w:ind w:left="470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w w:val="93"/>
              </w:rPr>
              <w:t>(unaudited)</w:t>
            </w:r>
          </w:p>
        </w:tc>
        <w:tc>
          <w:tcPr>
            <w:tcW w:w="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5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170,299</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cash equivalents and short-term investments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182,630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Receivable for foreign tax withholding</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20,420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209,728</w:t>
            </w:r>
          </w:p>
        </w:tc>
        <w:tc>
          <w:tcPr>
            <w:tcW w:w="0" w:type="dxa"/>
            <w:vAlign w:val="bottom"/>
          </w:tcPr>
          <w:p>
            <w:pPr>
              <w:spacing w:after="0"/>
              <w:rPr>
                <w:sz w:val="1"/>
                <w:szCs w:val="1"/>
                <w:color w:val="auto"/>
              </w:rPr>
            </w:pPr>
          </w:p>
        </w:tc>
      </w:tr>
      <w:tr>
        <w:trPr>
          <w:trHeight w:val="20"/>
        </w:trPr>
        <w:tc>
          <w:tcPr>
            <w:tcW w:w="896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6,375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40,483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long-term</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$0.00000002 par value; 226,000 shares authorized; 112,522 and 111,514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540"/>
              <w:spacing w:after="0"/>
              <w:rPr>
                <w:sz w:val="20"/>
                <w:szCs w:val="20"/>
                <w:color w:val="auto"/>
              </w:rPr>
            </w:pPr>
            <w:r>
              <w:rPr>
                <w:rFonts w:ascii="Arial" w:cs="Arial" w:eastAsia="Arial" w:hAnsi="Arial"/>
                <w:sz w:val="18"/>
                <w:szCs w:val="18"/>
                <w:color w:val="auto"/>
              </w:rPr>
              <w:t>outstanding at September 30, 2020 and June 30, 2020, respectively</w:t>
            </w:r>
          </w:p>
        </w:tc>
        <w:tc>
          <w:tcPr>
            <w:tcW w:w="100" w:type="dxa"/>
            <w:vAlign w:val="bottom"/>
          </w:tcPr>
          <w:p>
            <w:pPr>
              <w:spacing w:after="0"/>
              <w:rPr>
                <w:sz w:val="20"/>
                <w:szCs w:val="20"/>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355,452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(279,326)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(277,234)</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78,218</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6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2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331"/>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12,996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23"/>
        </w:trPr>
        <w:tc>
          <w:tcPr>
            <w:tcW w:w="62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62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(15,586)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(12,623)</w:t>
            </w: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13,224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Interest and dividend income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220" w:type="dxa"/>
            <w:vAlign w:val="bottom"/>
          </w:tcPr>
          <w:p>
            <w:pPr>
              <w:ind w:left="720"/>
              <w:spacing w:after="0"/>
              <w:rPr>
                <w:sz w:val="20"/>
                <w:szCs w:val="20"/>
                <w:color w:val="auto"/>
              </w:rPr>
            </w:pPr>
            <w:r>
              <w:rPr>
                <w:rFonts w:ascii="Arial" w:cs="Arial" w:eastAsia="Arial" w:hAnsi="Arial"/>
                <w:sz w:val="18"/>
                <w:szCs w:val="18"/>
                <w:color w:val="auto"/>
              </w:rPr>
              <w:t>Net loss</w:t>
            </w:r>
          </w:p>
        </w:tc>
        <w:tc>
          <w:tcPr>
            <w:tcW w:w="3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Basic</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(2,092)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(15,316)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2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w w:val="86"/>
              </w:rPr>
              <w:t>112,435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73,628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6"/>
              </w:rPr>
              <w:t>114,957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73,628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111,514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$355,452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(277,234)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112,522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361,654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(279,326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60" w:type="dxa"/>
            <w:vAlign w:val="bottom"/>
          </w:tcPr>
          <w:p>
            <w:pPr>
              <w:spacing w:after="0"/>
              <w:rPr>
                <w:sz w:val="24"/>
                <w:szCs w:val="24"/>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$279,148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(231,218)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1"/>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281,492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(234,212</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Three Months Ended</w:t>
      </w:r>
    </w:p>
    <w:p>
      <w:pPr>
        <w:jc w:val="center"/>
        <w:ind w:left="91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(54,989)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(19,979)</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Proceeds from maturity of short-term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24,946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331"/>
        </w:trPr>
        <w:tc>
          <w:tcPr>
            <w:tcW w:w="9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common stock proceeds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zandelisib (formerly known as ME-401), currently in an ongoing Phase 2 clinical trial that we intend to submit to the U.S. Food and Drug Administration (“FDA”) to support accelerated approval of a marketing application. Our common stock is listed on the NASDAQ Capital Market under the symbol “MEIP”.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(formerly known as ME-401), an oral phosphatidylinositol 3-kinase (“PI3K”) delta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ME-344 and pracinostat, and to develop new compounds.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have accumulated losses of $279.3 million since inception and expect to incur operating losses and generate negative cash flows from operations for the foreseeable future. As of September 30, 2020, we had $176.1 million in cash and cash equivalents and short-term investments. Additionally, we had a receivable of $20.4 million from the Japanese taxing authorities that had been withheld from the $100 million upfront payment associated with the License, Development and Commercialization Agreement with Kyowa Kirin Company (formerly “Kyowa Hakko Kirin Co., Ltd.”) (“KKC”), a Japanese life sciences company (the “KKC Commercialization Agreement”) (Note 3). The receivable was received in October 2020.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7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 We have evaluated subsequent events through the date the financial statements were issued.</w:t>
      </w:r>
    </w:p>
    <w:p>
      <w:pPr>
        <w:sectPr>
          <w:pgSz w:w="11900" w:h="16838" w:orient="portrait"/>
          <w:cols w:equalWidth="0" w:num="1">
            <w:col w:w="11080"/>
          </w:cols>
          <w:pgMar w:left="320" w:top="459" w:right="49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80"/>
          </w:cols>
          <w:pgMar w:left="32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accompanying unaudited financial statements should be read in conjunction with the audited financial statements and notes thereto as of and for the fiscal year ended June 30, 2020, included in our Annual Report on Form 10-K (“2020 Annual Report”) filed with the Securities and Exchange Commission (“SEC”) on September 9, 2020. Interim results are not necessarily indicative of results for a full year.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ASC Topic 606, Revenue from Contracts with Customers (“Topic 606”)</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Beginning July 1, 2018,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pacing w:after="0" w:line="165"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7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arrangements that include sales-based or usage-based royalties, we recognize revenue at the later of (i) when the related sales occur or</w:t>
      </w:r>
    </w:p>
    <w:p>
      <w:pPr>
        <w:spacing w:after="0" w:line="35" w:lineRule="exact"/>
        <w:rPr>
          <w:sz w:val="20"/>
          <w:szCs w:val="20"/>
          <w:color w:val="auto"/>
        </w:rPr>
      </w:pPr>
    </w:p>
    <w:p>
      <w:pPr>
        <w:ind w:left="120" w:right="80" w:hanging="4"/>
        <w:spacing w:after="0" w:line="260" w:lineRule="auto"/>
        <w:tabs>
          <w:tab w:leader="none" w:pos="38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To date, we have not recognized any sales-based royalty revenue from license agreements.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44"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KKC License Agreements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$ 3,569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Helsinn License Agreement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$ 3,834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Timing of Revenue Recognition: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 performed over time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$ 3,834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KKC Commercialization Agreement and KKC Japan License Agreement include other distinct performance obligations that will be satisfied over time, and accordingly we recognized $3.6 million and $0.8 million related to our progress toward satisfying those obligations during the three months ended September 30, 2020 and 2019, respectively.</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Based on the characteristics of the Helsinn License Agreement (Note 3), control of the remaining deliverables occurs over time and therefore we recognize revenue based on the extent of progress towards completion of the performance obligations. Accordingly, we recognized $0.3 million and $0.4 million related to our progress toward satisfying those obligations during the three months ended September 30, 2020 and 2019, respectively.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Receivables and contract assets are included in our balance sheet in “Prepaid expenses and other current assets”, and contract liabilities are included in “Deferred revenue” and “Deferred revenue long-term”. The following table presents changes in contract assets and contract liabilities during the three months ended September 30, 2020 and 2019 (in thousands):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5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Receivables,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2,605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(2,488)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Receivables,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Contract assets,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Contract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Contract liabilities,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82,500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7,774</w:t>
            </w: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Contract liabilities,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83,836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6,906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(contract assets), which are classified as “prepaid expenses and other current assets” on our Condensed Balance Sheet,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Condensed Balance Sheet relate to the KKC Agreements and Helsinn License Agreement.</w:t>
      </w:r>
    </w:p>
    <w:p>
      <w:pPr>
        <w:spacing w:after="0" w:line="192"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As of September 30, 2020, we had $83.8 million of deferred revenue associated with our remaining performance obligations under the KKC Commercialization Agreement. We expect to recognize approximately $19.0 million of deferred revenue in the next 12 months, and an additional $64.9 million thereafter.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Collaborators</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earn revenue in connection with collaboration agreements, which are described in Note 3, License Agreements, and Note 4, BeiGene Collaboration.</w:t>
      </w:r>
    </w:p>
    <w:p>
      <w:pPr>
        <w:sectPr>
          <w:pgSz w:w="11900" w:h="16838" w:orient="portrait"/>
          <w:cols w:equalWidth="0" w:num="1">
            <w:col w:w="11100"/>
          </w:cols>
          <w:pgMar w:left="320" w:top="459" w:right="47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00"/>
          </w:cols>
          <w:pgMar w:left="32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At contract inception, we assess whether the collaboration arrangements are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w:t>
      </w:r>
    </w:p>
    <w:p>
      <w:pPr>
        <w:spacing w:after="0" w:line="2" w:lineRule="exact"/>
        <w:rPr>
          <w:sz w:val="20"/>
          <w:szCs w:val="20"/>
          <w:color w:val="auto"/>
        </w:rPr>
      </w:pPr>
    </w:p>
    <w:p>
      <w:pPr>
        <w:ind w:left="120" w:right="40" w:hanging="4"/>
        <w:spacing w:after="0" w:line="271"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short-term or long-term deferred revenue based on our best estimate of when such amounts will be recognized.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Cost of revenue primarily includes external costs paid to third-party contractors to perform research, conduct clinical trials and develop and manufacture drug materials, and internal compensation and related personnel expenses to support our research and development performance obligations associated with the Helsinn License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September 30, 2020 and 2019,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There have been no material changes in our unrecognized tax benefits since June 30, 2020, and, as such, the disclosures included in our 2020 Annual Report continue to be relevant for the three months ended September 30,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Effective July 1, 2019, we adopted FASB ASC Topic 842, Leases (“ASC 842”), using a modified retrospective basis method under which prior comparative periods are not restated. This standard requires lessees to recognize in the statement of financial position a liability to make lease payments and a right-of-use (“ROU”) asset representing our right to use the underlying asset for the lease term. At the inception of an arrangement, we determine whether the arrangement is or contains a lease based on the unique facts and circumstances within the arrangement. A lease is identified where an arrangement conveys the right to control the use of identified property, plant, and equipment for a period of time in exchange for consideration. Leases which are identified within the scope of ASC</w:t>
      </w:r>
    </w:p>
    <w:p>
      <w:pPr>
        <w:sectPr>
          <w:pgSz w:w="11900" w:h="16838" w:orient="portrait"/>
          <w:cols w:equalWidth="0" w:num="1">
            <w:col w:w="11120"/>
          </w:cols>
          <w:pgMar w:left="320" w:top="459"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65"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Fair Value Measurements</w:t>
      </w:r>
    </w:p>
    <w:p>
      <w:pPr>
        <w:spacing w:after="0" w:line="121"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63" w:lineRule="exact"/>
        <w:rPr>
          <w:sz w:val="20"/>
          <w:szCs w:val="20"/>
          <w:color w:val="auto"/>
        </w:rPr>
      </w:pPr>
    </w:p>
    <w:p>
      <w:pPr>
        <w:ind w:left="880" w:hanging="211"/>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840" w:right="60" w:hanging="1171"/>
        <w:spacing w:after="0" w:line="263"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840" w:right="360" w:hanging="1171"/>
        <w:spacing w:after="0" w:line="277"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June 30, 2020</w:t>
            </w: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1</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r>
      <w:tr>
        <w:trPr>
          <w:trHeight w:val="88"/>
        </w:trPr>
        <w:tc>
          <w:tcPr>
            <w:tcW w:w="6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1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(27,259)</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(40,483)</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(27,259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(40,483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where applicable, and short-term investments are classified as Level 1 as defined by the fair value hierarchy.</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months ended September 30, 2020 and 2019, respectively.</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6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Expected life (years)</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Dividend yield</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Black-Scholes Fair Value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$ 2.52</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 and 2019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ind w:left="20"/>
              <w:spacing w:after="0"/>
              <w:rPr>
                <w:sz w:val="20"/>
                <w:szCs w:val="20"/>
                <w:color w:val="auto"/>
              </w:rPr>
            </w:pPr>
            <w:r>
              <w:rPr>
                <w:rFonts w:ascii="Arial" w:cs="Arial" w:eastAsia="Arial" w:hAnsi="Arial"/>
                <w:sz w:val="14"/>
                <w:szCs w:val="14"/>
                <w:b w:val="1"/>
                <w:bCs w:val="1"/>
                <w:color w:val="auto"/>
              </w:rPr>
              <w:t>Fair Value of Warrants Using Significant</w:t>
            </w:r>
          </w:p>
        </w:tc>
      </w:tr>
      <w:tr>
        <w:trPr>
          <w:trHeight w:val="171"/>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ind w:left="340"/>
              <w:spacing w:after="0"/>
              <w:rPr>
                <w:sz w:val="20"/>
                <w:szCs w:val="20"/>
                <w:color w:val="auto"/>
              </w:rPr>
            </w:pPr>
            <w:r>
              <w:rPr>
                <w:rFonts w:ascii="Arial" w:cs="Arial" w:eastAsia="Arial" w:hAnsi="Arial"/>
                <w:sz w:val="14"/>
                <w:szCs w:val="14"/>
                <w:b w:val="1"/>
                <w:bCs w:val="1"/>
                <w:color w:val="auto"/>
              </w:rPr>
              <w:t>Unobservable Inputs (Level 3)</w:t>
            </w:r>
          </w:p>
        </w:tc>
      </w:tr>
      <w:tr>
        <w:trPr>
          <w:trHeight w:val="142"/>
        </w:trPr>
        <w:tc>
          <w:tcPr>
            <w:tcW w:w="5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Change in estimated fair value of liability classified warrants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(13,224)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(9,269)</w:t>
            </w:r>
          </w:p>
        </w:tc>
      </w:tr>
      <w:tr>
        <w:trPr>
          <w:trHeight w:val="27"/>
        </w:trPr>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27,259</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8,344</w:t>
            </w:r>
          </w:p>
        </w:tc>
      </w:tr>
      <w:tr>
        <w:trPr>
          <w:trHeight w:val="20"/>
        </w:trPr>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License Agreements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April 2020, we entered into the KKC Commercialization Agreement.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 million in May 2020. Of the $100 million paid by KKC, $20.4 million was remitted by KKC to the Japanese taxing authorities as a result of the U.S. Internal Revenue Service being closed due to the COVID pandemic, and therefore being unable to provide necessary documentation to support an exemption from the required foreign withholding. We received the amount remitted to the Japanese taxing authorities in October 2020. Additionally, we may earn up to approximately $582.5 million in potential development, regulatory and commercialization milestone payments, plus royalties on net sales of zandelisib in the Ex-U.S., which are tiered beginning in the teens.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and KKC will co-develop and co-promote zandelisib in the U.S., with us recording all revenue from U.S. sales. We and KKC will share U.S. profits and costs (including development costs) on a 50-50 basis.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also under the scope of Topic 606.</w:t>
      </w:r>
    </w:p>
    <w:p>
      <w:pPr>
        <w:spacing w:after="0" w:line="164"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We determined, at the time of our initial assessment, that the total transaction price of $191.5 million is comprised of the upfront payment of $100.0 million, expected milestone payments of $20.0 million, estimated development cost-sharing of $66.3 million, and deferred revenue of</w:t>
      </w:r>
    </w:p>
    <w:p>
      <w:pPr>
        <w:ind w:left="120" w:right="100"/>
        <w:spacing w:after="0" w:line="253" w:lineRule="auto"/>
        <w:rPr>
          <w:sz w:val="20"/>
          <w:szCs w:val="20"/>
          <w:color w:val="auto"/>
        </w:rPr>
      </w:pPr>
      <w:r>
        <w:rPr>
          <w:rFonts w:ascii="Arial" w:cs="Arial" w:eastAsia="Arial" w:hAnsi="Arial"/>
          <w:sz w:val="18"/>
          <w:szCs w:val="18"/>
          <w:color w:val="auto"/>
        </w:rPr>
        <w:t>$5.2 million from the KKC Japan License Agreement. During the three months ended September 30, 2020, we updated our initial assessment to reflect estimated development cost-sharing of $77.8 million. We included the amount of estimated variable consideration that is not constrained for development cost-sharing in the transaction price, and also determined that any variable consideration related to sales-based royalties and commercial milestones related to licenses of intellectual property as it is determined when the sale or usage occurs and is therefore excluded from the transaction price. In addition, we are eligible to receive</w:t>
      </w:r>
    </w:p>
    <w:p>
      <w:pPr>
        <w:sectPr>
          <w:pgSz w:w="11900" w:h="16838" w:orient="portrait"/>
          <w:cols w:equalWidth="0" w:num="1">
            <w:col w:w="11080"/>
          </w:cols>
          <w:pgMar w:left="320" w:top="459" w:right="499" w:bottom="1440" w:gutter="0" w:footer="0" w:header="0"/>
        </w:sectPr>
      </w:pP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18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1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determined that control of the U.S. License and Ex-U.S. License were transferred to KKC during the year ended June 30, 2020, and recognized revenue of $21.0 million related to the Ex-U.S. License. The $64.3 million transaction price allocated to the U.S. License obligation accounted for under Topic 808 is recorded as non-current deferred revenue and will begin to be recognized upon future commercialization as non-ASC 606 revenue. As of September 30, 2020 and June 30, 2020, we recorded deferred revenue of $19.3 million and $18.1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KKC Japan License Agreement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October 2018, we, as licensor, entered into a license agreement with KKC for zandelisib (“the KKC Japan License Agreement”). Under the terms of the KKC Japan License Agreement, KKC was granted the exclusive right to develop and commercialize zandelisib in Japan. We also granted KKC the right to purchase supply of zandelisib for commercial requirements at cost plus a pre-negotiated percentage, as well as manufacturing rights in Japan. In return, we received an upfront payment of $10.0 million and were eligible to receive additional development and commercialization milestones, as well as royalties on net sales of zandelisib in Japan. In April 2020, we and KKC agreed to terminate the KKC Japan License Agreement. The KKC Japan License Agreement was replaced with the KKC Commercialization Agreement. Pursuant to the terms of the KKC Commercialization Agreement, we agreed to collaborate with KKC on the development, manufacturing and commercialization of zandelisib in Japan.</w:t>
      </w:r>
    </w:p>
    <w:p>
      <w:pPr>
        <w:spacing w:after="0" w:line="16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assessed the KKC Japan License Agreement in accordance with ASC 606 and determined that our performance obligations comprised the license, research and development obligations, and our obligation to provide clinical trial materials to KKC. We determined that the transaction price amounted to the upfront payment of $10.0 million.</w:t>
      </w:r>
    </w:p>
    <w:p>
      <w:pPr>
        <w:spacing w:after="0" w:line="184"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determined that control of the license was transferred to KKC during the year ended June 30, 2019. Revenue allocated to the research and development obligations was recognized based on the proportional performance of these research and development activities. Revenue allocated to providing clinical trial materials was recognized upon delivery.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Helsinn License Agreement</w:t>
      </w:r>
    </w:p>
    <w:p>
      <w:pPr>
        <w:spacing w:after="0" w:line="117"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Under the terms of the agreement, Helsinn was granted a worldwide exclusive license to develop, manufacture and commercialize pracinostat, and is primarily responsible for funding its global development and commercialization. As compensation for such grant of rights, we received payments of $20.0 million.</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determined that the agreement contains multiple performance obligations for purposes of revenue recognition. Revenue related to the research and development elements of the arrangement is recognized based on the extent of progress toward completion of each performance obligation. Revenue is recognized on a gross basis as we are the primary obligor and have discretion in supplier selection. During the three months ended September 30, 2020, our only remaining performance obligation under the agreement is the conduct of a Phase 2 dose-optimization study of pracinostat in combination with azacitidine in patients with high and very high risk MDS who are previously untreated with hypomethylating agents (the “POC study”), for which Helsinn has agreed to share third-party expenses.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ectPr>
          <w:pgSz w:w="11900" w:h="16838" w:orient="portrait"/>
          <w:cols w:equalWidth="0" w:num="1">
            <w:col w:w="11100"/>
          </w:cols>
          <w:pgMar w:left="320" w:top="459" w:right="479" w:bottom="1440" w:gutter="0" w:footer="0" w:header="0"/>
        </w:sectPr>
      </w:pP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59" w:right="4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party to a license agreement with CyDex Pharmaceuticals, Inc. (“CyDex”). Under the license agreement, CyDex granted to us an exclusive, nontransferable license to intellectual property rights relating to Captisol® for use with our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at any time upon 90 days’ prior written notice.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BeiGene Collaboration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October 2018, we entered into a clinical collaboration with BeiGene, Ltd. (“BeiGene”) to evaluate the safety and efficacy of zandelisib in combination with BeiGene’s zanubrutinib (marketed as Brukinsa®), an inhibitor of Bruton’s tyrosine kinase (“BTK”),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Net Loss Per Share</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months ended September 30, 2020 and 2019. Diluted net loss per share is computed based on the sum of the weighted average number of common shares and potentially dilutive common shares outstanding during the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4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47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 basic</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(2,092)</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$(2,994)</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(13,224)</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(15,316)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(2,994)</w:t>
            </w:r>
          </w:p>
        </w:tc>
      </w:tr>
      <w:tr>
        <w:trPr>
          <w:trHeight w:val="20"/>
        </w:trPr>
        <w:tc>
          <w:tcPr>
            <w:tcW w:w="4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presents weighted-average potentially dilutive shares (in thousands) that have been excluded from the calculation of net loss per share because of their anti-dilutive effect:</w:t>
      </w:r>
    </w:p>
    <w:p>
      <w:pPr>
        <w:spacing w:after="0" w:line="189"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210"/>
        </w:trPr>
        <w:tc>
          <w:tcPr>
            <w:tcW w:w="312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15,128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10,930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600" w:type="dxa"/>
            <w:vAlign w:val="bottom"/>
            <w:gridSpan w:val="3"/>
          </w:tcPr>
          <w:p>
            <w:pPr>
              <w:jc w:val="right"/>
              <w:ind w:right="220"/>
              <w:spacing w:after="0"/>
              <w:rPr>
                <w:sz w:val="20"/>
                <w:szCs w:val="20"/>
                <w:color w:val="auto"/>
              </w:rPr>
            </w:pPr>
            <w:r>
              <w:rPr>
                <w:rFonts w:ascii="Arial" w:cs="Arial" w:eastAsia="Arial" w:hAnsi="Arial"/>
                <w:sz w:val="18"/>
                <w:szCs w:val="18"/>
                <w:color w:val="auto"/>
              </w:rPr>
              <w:t>429</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16,062</w:t>
            </w:r>
          </w:p>
        </w:tc>
        <w:tc>
          <w:tcPr>
            <w:tcW w:w="0" w:type="dxa"/>
            <w:vAlign w:val="bottom"/>
          </w:tcPr>
          <w:p>
            <w:pPr>
              <w:spacing w:after="0"/>
              <w:rPr>
                <w:sz w:val="1"/>
                <w:szCs w:val="1"/>
                <w:color w:val="auto"/>
              </w:rPr>
            </w:pPr>
          </w:p>
        </w:tc>
      </w:tr>
      <w:tr>
        <w:trPr>
          <w:trHeight w:val="223"/>
        </w:trPr>
        <w:tc>
          <w:tcPr>
            <w:tcW w:w="3120" w:type="dxa"/>
            <w:vAlign w:val="bottom"/>
          </w:tcPr>
          <w:p>
            <w:pPr>
              <w:ind w:left="360"/>
              <w:spacing w:after="0"/>
              <w:rPr>
                <w:sz w:val="20"/>
                <w:szCs w:val="20"/>
                <w:color w:val="auto"/>
              </w:rPr>
            </w:pPr>
            <w:r>
              <w:rPr>
                <w:rFonts w:ascii="Arial" w:cs="Arial" w:eastAsia="Arial" w:hAnsi="Arial"/>
                <w:sz w:val="18"/>
                <w:szCs w:val="18"/>
                <w:color w:val="auto"/>
              </w:rPr>
              <w:t>Total anti-dilutive shares</w:t>
            </w:r>
          </w:p>
        </w:tc>
        <w:tc>
          <w:tcPr>
            <w:tcW w:w="38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15,557</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26,992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20" w:type="dxa"/>
            <w:vAlign w:val="bottom"/>
            <w:vMerge w:val="restart"/>
          </w:tcPr>
          <w:p>
            <w:pPr>
              <w:jc w:val="right"/>
              <w:ind w:right="2570"/>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September 30, 2020, we have not accrued any amounts for potential future payments.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As of September 30, 2020, we have not accrued any amounts for potential future payments.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discussed in Note 3, we are party to a license agreement with CyDex under which we may be required to make future payments upon the achievement of certain milestones, as well as potential future royalties based upon net sales. Contemporaneously with the license agreement, CyDex entered into a commercial supply agreement with us, pursuant to which we agreed to purchase 100% of our requirements for Captisol from CyDex. As of September 30, 2020, we have not accrued any amounts for potential future payments.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originating in Wuhan, China (the “COVID-19 outbreak”) and the risks to the international community. In March 2020, the WHO classified the COVID-19 outbreak as a pandemic, based on the rapid increase in exposure globally. As a result of the COVID-19 pandemic, which continues to rapidly evolve, “shelter in place” orders and other public health guidance measures have been implemented across much of the United States, Europe and Asia, including in the locations of our offices, clinical trial sites, key vendors and partners. While we continue to enroll and dose patients in our clinical trials, we expect our clinical development program timelines to be negatively affected by COVID-19.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and to minimize its economic impact.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We do not expect that the CARES Act will have a material impact on our financial condition, results of operation, or liquidity.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On August 10, 2020, Guy Bahat, an individual who allegedly purchased 50 shares of our common stock filed a putative securities class action lawsuit (the “Securities Class Action”) in the United States District Court for the Southern District of California against the Company, Daniel P. Gold, and Brian G. Drazba, asserting claims under Sections 10(b) and 20(a) of the Securities Exchange Act of 1934 (the “Exhange Act”) and Rule 10b-5 thereunder. The plaintiff seeks to sue on behalf of all purchasers of our securities from August 2, 2017 through July 1, 2020 and alleges, among other things, that we made false and misleading statements relating to pracinostat during the proposed class period. We believe that the claims are without merit, as to both the facts and the law, and intend to vigorously defend the case.</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October 21, 2020, Peter D’Arcy, an individual who alleges that he is a Company stockholder, filed a putative stockholder derivative action nominally on behalf of the Company in the United States District Court for the District of Delaware (the “Derivative</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Action”) against Dr. Gold, Mr. Drazba, Mr. Charles V. Baltic, III, Dr. Kevan E. Clemens, Mr. Frederick W. Driscoll, Dr. Nicholas R. Glover, Ms. Tamar D. Howson, Dr. Thomas C. Reynolds, Mr. William D. Rueckert, and Dr. Christine A. White, and naming the Company as a nominal defendant. The Derivative Action is based upon the pracinostat-related allegations in the Securities Class Action described above, and alleges claims under Section 14(a) of the Exchange Act and claims for breach of fiduciary duty, unjust enrichment, corporate waste, and contribution. We believe the plaintiff in the Derivative Action lacks standing to sue on behalf of the Company.</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At this stage, we cannot predict the ultimate outcome of the Securities Class Action or the Derivative Action or whether they will result in any loss. Accordingly, we have not accrued an amount for any potential loss associated with these 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December 2019, we entered into a lease agreement for approximately 32,800 square feet of office space in San Diego, California. We have accounted for the lease as an operating lease. The contractual lease term began in July 2020 and is scheduled to expire in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September 30, 2020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2024</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2025</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Less: Present value discount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Lease liability</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Other Balance Sheet Information-Operating Lease</w:t>
            </w: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remaining lease term (in years)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Short-Term Investments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of September 30, 2020 and June 30, 2020, our short-term investments consisted of $165.2 million and $170.3 million, respectively, in U.S. government securities. The short-term investments held as of September 30, 2020 and June 30, 2020 had maturity dates of less than one year, are considered to be “held to maturity” and are carried at amortized cost. As of September 30, 2020 and June 30, 2020, the gross holding gains and losses were immaterial.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November 8, 2017, we entered into an At-The-Market Equity Offering Sales Agreement (the “ATM Sales Agreement”), pursuant to which we may sell an aggregate of up to $30.0 million of our common stock pursuant to the shelf registration statement. During the three months ended September 30, 2020, we sold 958,083 shares under the ATM Sales Agreement for net proceeds of $3.1 million, after costs of $0.1 million. The ATM Sales Agreement expired on November 8, 2020. There are no amounts remaining available under the ATM Sales Agreement.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September 30, 2020, there is $175.7 million aggregate value of securities available under the shelf registration statement.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of September 30, 2020, we have outstanding warrants to purchase 16,061,602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 measured at fair value and reported as a liability in the Condensed Balance Sheet. Therefore, we are required to account for the warrants as liabilities and record them at fair value. The warrants were revalued as of September 30, 2020 at $27.3 million and as of June 30, 2020 at $40.5 million; the changes in fair value were recorded in our Condensed Statement of Operations. No warrants were exercised during the three months ended September 30,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Share-based Compensation</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use equity-based compensation programs to provide long-term performance incentives for our employees. These incentives consist primarily of stock options and RSUs. In December 2008, we adopted the MEI Pharma, Inc. 2008 Stock Omnibus Equity Compensation Plan (“2008 Plan”), as amended and restated in 2011, 2013, 2014, 2015, 2016 and 2018, under which 19,089,794 shares of common stock are authorized for issuance. The 2008 Plan provides for the grant of options and/or other stock-based or stock-denominated awards to our non-employee directors, officers, employees and advisors. As of September 30, 2020, there were 1,791,137 shares available for future grant under the 2008 Plan.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44"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jc w:val="center"/>
        <w:ind w:left="67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1,332</w:t>
            </w:r>
          </w:p>
        </w:tc>
        <w:tc>
          <w:tcPr>
            <w:tcW w:w="4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share-based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2,942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2,113</w:t>
            </w:r>
          </w:p>
        </w:tc>
      </w:tr>
      <w:tr>
        <w:trPr>
          <w:trHeight w:val="20"/>
        </w:trPr>
        <w:tc>
          <w:tcPr>
            <w:tcW w:w="6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for the three months ended September 30, 2020 was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Weighted-</w:t>
            </w: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8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9"/>
              </w:rPr>
              <w:t>Exercise Price</w:t>
            </w: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Term (in years)</w:t>
            </w:r>
          </w:p>
        </w:tc>
        <w:tc>
          <w:tcPr>
            <w:tcW w:w="28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11,252,976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4,280,300</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3.46</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(50,229)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Forfeited / Cancelled</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(70,937)</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3.46</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Outstanding at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15,412,110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2.99</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200" w:type="dxa"/>
            <w:vAlign w:val="bottom"/>
            <w:gridSpan w:val="3"/>
          </w:tcPr>
          <w:p>
            <w:pPr>
              <w:jc w:val="center"/>
              <w:ind w:left="150"/>
              <w:spacing w:after="0"/>
              <w:rPr>
                <w:sz w:val="20"/>
                <w:szCs w:val="20"/>
                <w:color w:val="auto"/>
              </w:rPr>
            </w:pPr>
            <w:r>
              <w:rPr>
                <w:rFonts w:ascii="Arial" w:cs="Arial" w:eastAsia="Arial" w:hAnsi="Arial"/>
                <w:sz w:val="18"/>
                <w:szCs w:val="18"/>
                <w:color w:val="auto"/>
                <w:w w:val="92"/>
              </w:rPr>
              <w:t>$ 6,818,933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2020</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6,636,348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2.68</w:t>
            </w: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20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2"/>
              </w:rPr>
              <w:t>$ 4,895,136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fair value of each stock option granted during the three months ended September 30, 2020 is estimated on the grant date under the fair value method using a Black-Scholes valuation model. Stock options granted to employees during the three months ended September 30, 2020 vest 25% one year from the date of grant and ratably each month thereafter for a period of 36 months and expire ten years from the date of grant. Stock options granted to directors during the three months ended September 30, 2020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4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$ 2.35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1.63</w:t>
            </w:r>
          </w:p>
        </w:tc>
      </w:tr>
    </w:tbl>
    <w:p>
      <w:pPr>
        <w:spacing w:after="0" w:line="20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of September 30, 2020, there was $11.9 million of unrecognized compensation expense related to the unvested portion of stock options. Such compensation expense is expected to be recognized over a weighted-average period of 1.8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July 2020, we granted 442,650 RSUs to employees. Each RSU represented the contingent right to receive one share of our common stock. The RSUs will vest in periods of either one year or two years from the date of grant. The fair value of the RSUs was measured at $3.49 per unit. Under the terms of the 2008 Plan, each of the RSUs is calculated as 1.25 shares of common stock for purposes of determining the number of shares available for future grant. There were forfeitures of 6,000 RSUs during the three months ended September 30, 2020, and 436,650 unvested RSUs were outstanding as of September 30, 2020. As of September 30, 2020, unrecognized compensation expense related to the unvested portion of our RSUs was approximately $1.3 million and is expected to be recognized over approximately 1.5 years.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2020 Annual Report, and elsewhere in this report, including, among other things:</w:t>
      </w:r>
    </w:p>
    <w:p>
      <w:pPr>
        <w:spacing w:after="0" w:line="86" w:lineRule="exact"/>
        <w:rPr>
          <w:sz w:val="20"/>
          <w:szCs w:val="20"/>
          <w:color w:val="auto"/>
        </w:rPr>
      </w:pPr>
    </w:p>
    <w:p>
      <w:pPr>
        <w:ind w:left="1080" w:right="480" w:hanging="532"/>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outbreak of the novel coronavirus disease, COVID-19, or other pandemic, epidemic or outbreak of an infectious disease, and government responses thereto, may materially and adversely impact our business, including our preclinical studies and clinical trials;</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in our clinical development programs and/or receipt of FDA or other required foreign and domestic governmental or regulatory approvals, or the failure to obtain such approvals, for our product candidates;</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required additional financing or financing available to us on acceptable terms, or at all, whether as a result of weaknesses in the capital markets or otherwise, which may cause us to delay, scale-back or eliminate plans related to development of our drug candidates;</w:t>
      </w:r>
    </w:p>
    <w:p>
      <w:pPr>
        <w:spacing w:after="0" w:line="89"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KKC, Helsinn and other parties with which we have entered into collaboration, license, development and/or commercialization agreements may not satisfy their obligations under the agreements which could impact future revenues;</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obligations under the Presage License Agreement and the S*Bio Purchase Agreement, which may reduce our cash available for other development efforts, and other obligations and risks related to the Presage License Agreement and the S*Bio Purchase Agreement;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studies by their nature typically have a high level of risk and may not produce successful results;</w:t>
      </w:r>
    </w:p>
    <w:p>
      <w:pPr>
        <w:spacing w:after="0" w:line="130"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75" w:lineRule="exact"/>
        <w:rPr>
          <w:rFonts w:ascii="Arial" w:cs="Arial" w:eastAsia="Arial" w:hAnsi="Arial"/>
          <w:sz w:val="18"/>
          <w:szCs w:val="18"/>
          <w:color w:val="auto"/>
        </w:rPr>
      </w:pPr>
    </w:p>
    <w:p>
      <w:pPr>
        <w:ind w:left="1080" w:right="56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inability to maintain or enter into, and the risks resulting from our dependence upon, contractual arrangements necessary for the clinical development, manufacture, commercialization, marketing, sales and distribution of our product candidates;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interpretation and our interpretation of data from preclinical and clinical studies may differ significantly;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successfully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regulations, third-party reimbursement practices and healthcare reform initiatives;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any products to gain market acceptance;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manufacture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control the costs of manufacturing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acquisitions or licenses from third parties to expand our pipeline of drug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and competitive factors;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patents or proprietary rights and obtain necessary rights to third party patents and intellectual property to operate our business;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operate our business without infringing the patents and proprietary rights of others;</w:t>
      </w:r>
    </w:p>
    <w:p>
      <w:pPr>
        <w:spacing w:after="0" w:line="130"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stemming from litigation, including the pending securities class action or our defense against third party intellectual property infringement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other claims may exceed our insurance limits;</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generally;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industry practice;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one-time events.</w:t>
      </w:r>
    </w:p>
    <w:p>
      <w:pPr>
        <w:sectPr>
          <w:pgSz w:w="11900" w:h="16838" w:orient="portrait"/>
          <w:cols w:equalWidth="0" w:num="1">
            <w:col w:w="11140"/>
          </w:cols>
          <w:pgMar w:left="320" w:top="459" w:right="439" w:bottom="102"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40"/>
          </w:cols>
          <w:pgMar w:left="320" w:top="459" w:right="439" w:bottom="102"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2020 Annual Report, as filed with the SEC.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and Recent Developments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zandelisib (formerly known as (“f/k/a”) ME-401), currently in an ongoing Phase 2 clinical trial that, subject to the results upon completion of the trial, we intend to submit to the U.S. Food and Drug Administration (“FDA”) to support accelerated approval of a marketing application. Our common stock is listed on the NASDAQ Capital Market under the symbol “MEIP.”</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w:t>
      </w:r>
    </w:p>
    <w:p>
      <w:pPr>
        <w:spacing w:after="0" w:line="170"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 January 2020, the World Health Organization (“WHO”) announced a global health emergency because of a new strain of coronavirus (the “COVID-19 outbreak”) and the risks to the international community. In March 2020, the WHO classified the COVID-19 outbreak as a pandemic based on the rapid increase in exposure globally. As a result of the ongoing and rapidly evolving COVID-19 pandemic, various public health orders and guidance measures have been implemented across much of the United States, and across the globe, including in the locations of our office, clinical trial sites, key vendors and partners. While we continue to enroll and dose patients in our clinical trials, our clinical development program timelines have been negatively affected by COVID-19. The extent to which the ongoing pandemic continues to impact our business, including our preclinical studies, chemistry, manufacturing and controls (“CMC”) studies and clinical trials, will depend on future developments, which are highly uncertain and cannot be predicted with confidence, including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and to minimize its economic impact.</w:t>
      </w:r>
    </w:p>
    <w:p>
      <w:pPr>
        <w:spacing w:after="0" w:line="16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changes that may be necessary to such programs if they proceed, considerations regarding trial suspensions and discontinuations, the potential need to consult with or make submissions to relevant ethics committees, Institutional Review Boards (“IRBs”), and the FDA, the use of alternative drug delivery methods, and considerations with respect the outbreak’s impacts on endpoints, data collection, study procedures, and analysis. In addition, the European Medicines Agency (“EMA”) as well as various country regulatory authorities have issued similar guidance. We have adapted the FDA and EMA guidance for study procedures, data collection, and oversight resulting from the pandemic.</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We continue to examine the impact that the CARES Act may have on our business. Currently, we do not expect that the CARES Act will have a material impact on our financial condition, results of operations, or liquidity.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(f/k/a ME-401), an oral phosphatidylinositol 3-kinase (“PI3K”) delta inhibitor;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ectPr>
          <w:pgSz w:w="11900" w:h="16838" w:orient="portrait"/>
          <w:cols w:equalWidth="0" w:num="1">
            <w:col w:w="11120"/>
          </w:cols>
          <w:pgMar w:left="320" w:top="459"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120765" cy="2091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study intended to support an accelerated approval marketing application with FDA.</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Study arm conducted under clinical collaboration with BeiGene, Ltd.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Initiation of clinical studies is subject to opening of a new Investigational New Drug application with FDA.</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Investigator-initiated trial; completed.</w:t>
      </w:r>
    </w:p>
    <w:p>
      <w:pPr>
        <w:spacing w:after="0" w:line="31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i w:val="1"/>
          <w:iCs w:val="1"/>
          <w:u w:val="single" w:color="auto"/>
          <w:color w:val="auto"/>
        </w:rPr>
        <w:t>Zandelisib (f/k/a ME-401): PI3K</w:t>
      </w:r>
      <w:r>
        <w:rPr>
          <w:rFonts w:ascii="Arial" w:cs="Arial" w:eastAsia="Arial" w:hAnsi="Arial"/>
          <w:sz w:val="18"/>
          <w:szCs w:val="18"/>
          <w:u w:val="single" w:color="auto"/>
          <w:color w:val="auto"/>
        </w:rPr>
        <w:t>d</w:t>
      </w:r>
      <w:r>
        <w:rPr>
          <w:rFonts w:ascii="Arial" w:cs="Arial" w:eastAsia="Arial" w:hAnsi="Arial"/>
          <w:sz w:val="18"/>
          <w:szCs w:val="18"/>
          <w:i w:val="1"/>
          <w:iCs w:val="1"/>
          <w:u w:val="single" w:color="auto"/>
          <w:color w:val="auto"/>
        </w:rPr>
        <w:t xml:space="preserve"> Inhibitor in a Phase 2 Trial Intended to Support an Accelerated Approval in Relapsed or Refractory Follicular Lymphoma</w:t>
      </w:r>
    </w:p>
    <w:p>
      <w:pPr>
        <w:spacing w:after="0" w:line="62"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Zandelisib is an oral, once-daily, selective PI3Kd inhibitor in clinical development for the treatment of B-cell malignancies. In April 2020, we entered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conducting multiple ongoing studies evaluating zandelisib including TIDAL (Trials of PI3K DeltA in Non-Hodgkin’s Lymphoma), a Phase 2 clinical trial currently evaluating zandelisib as a monotherapy for the treatment of adults with relapsed or refractory (“r/r”) follicular lymphoma (“FL”) after failure of at least two prior systemic therapies including chemotherapy and an anti-CD20 antibody. Subject to the results, upon completion of TIDAL, we are planning a submission with the FDA to support an accelerated approval of a marketing application under 21 CFR Part 314.500, Subpart H. 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malignancy, pursuant to the 2018 license, development and commercialization agreement with respect to development and commercialization in Japan that was superseded by the KKC Commercialization Agreement (as defined below).</w:t>
      </w:r>
    </w:p>
    <w:p>
      <w:pPr>
        <w:spacing w:after="0" w:line="18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PI3Kd inhibitors as a group are a clinically validated class for the treatment of B-cell malignancies, the FDA approved orally administered products, idelalisib (marketed as Zydelig</w:t>
      </w:r>
      <w:r>
        <w:rPr>
          <w:rFonts w:ascii="Arial" w:cs="Arial" w:eastAsia="Arial" w:hAnsi="Arial"/>
          <w:sz w:val="15"/>
          <w:szCs w:val="15"/>
          <w:color w:val="auto"/>
        </w:rPr>
        <w:t>®</w:t>
      </w:r>
      <w:r>
        <w:rPr>
          <w:rFonts w:ascii="Arial" w:cs="Arial" w:eastAsia="Arial" w:hAnsi="Arial"/>
          <w:sz w:val="18"/>
          <w:szCs w:val="18"/>
          <w:color w:val="auto"/>
        </w:rPr>
        <w:t>) and duvelisib (marketed as COPIKTRA</w:t>
      </w:r>
      <w:r>
        <w:rPr>
          <w:rFonts w:ascii="Arial" w:cs="Arial" w:eastAsia="Arial" w:hAnsi="Arial"/>
          <w:sz w:val="15"/>
          <w:szCs w:val="15"/>
          <w:color w:val="auto"/>
        </w:rPr>
        <w:t>®</w:t>
      </w:r>
      <w:r>
        <w:rPr>
          <w:rFonts w:ascii="Arial" w:cs="Arial" w:eastAsia="Arial" w:hAnsi="Arial"/>
          <w:sz w:val="18"/>
          <w:szCs w:val="18"/>
          <w:color w:val="auto"/>
        </w:rPr>
        <w:t>), and the intravenously administered PI3Kd/α inhibitor copanlisib (marketed as Aliqopa</w:t>
      </w:r>
      <w:r>
        <w:rPr>
          <w:rFonts w:ascii="Arial" w:cs="Arial" w:eastAsia="Arial" w:hAnsi="Arial"/>
          <w:sz w:val="15"/>
          <w:szCs w:val="15"/>
          <w:color w:val="auto"/>
        </w:rPr>
        <w:t>®</w:t>
      </w:r>
      <w:r>
        <w:rPr>
          <w:rFonts w:ascii="Arial" w:cs="Arial" w:eastAsia="Arial" w:hAnsi="Arial"/>
          <w:sz w:val="18"/>
          <w:szCs w:val="18"/>
          <w:color w:val="auto"/>
        </w:rPr>
        <w:t>), are challenged by dose-limiting toxicities and/or inconvenience of administration route. We believe this provides an opportunity for the development of a next-generation candidate with pharmaceutical properties that may better maximize the therapeutic potential of PI3Kd inhibition by limiting toxicities, which hinder clinical utility.</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molecular structure and pharmacodynamic characteristics of zandelisib are distinct from the FDA approved PI3Kd inhibitors. Zandelisib is characterized by prolonged target binding, preferential cellular accumulation, high volume of distribution throughout the body tissues, and an approximately 28-hour half-life suitable for once daily oral administration. These properties of zandelisib allow exploration of flexible dosing regimens such as an intermittent dosing schedule, which has demonstrated the potential to maintain clinical benefit while minimizing immune-related toxicities common to other PI3Kd agents, either as a monotherapy or in combination with other therapies.</w:t>
      </w:r>
    </w:p>
    <w:p>
      <w:pPr>
        <w:sectPr>
          <w:pgSz w:w="11900" w:h="16838" w:orient="portrait"/>
          <w:cols w:equalWidth="0" w:num="1">
            <w:col w:w="11120"/>
          </w:cols>
          <w:pgMar w:left="320" w:top="459"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April 2020, we entered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125"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KKC will be responsible for the development and commercialization of zandelisib in the Ex-U.S. and, subject to certain exceptions, will be solely responsible for all costs related thereto. We and KKC will co-develop and co-promote zandelisib in the U.S., with us recording all revenue from U.S. sales. We and KKC will share U.S. profits and costs (including development costs) on a 50-50 basis.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in May 2020. Of the $100 million paid by KKC, $20.4 million was remitted by KKC to the Japanese taxing authorities as a result of the U.S. Internal Revenue Service being closed due to the COVID pandemic, and therefore being unable to provide necessary documentation to support an exemption from the required foreign withholding. We received the amount remitted to the Japanese taxing authorities in October 2020. We may also earn up to approximately $582.5 million in potential development, regulatory and commercialization milestone payments, plus royalties on net sales of zandelisib in the Ex-U.S., which are tiered beginning in the teens.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There are several isoforms of PI3K that are expressed in different types of cells. The PI3Kd isoform is at the crossroads of B-cell receptor signaling pathways that are major drivers of survival and proliferation of many B-cell malignancies. Because the d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conducting multiple ongoing studies evaluating zandelisib including TIDAL, a global Phase 2 trial evaluating patients with relapsed or refractory follicular lymphoma intended to support an accelerated approval of a marketing application with the FDA, and a multi-arm, open-label, Phase 1b dose escalation and expansion trial as a monotherapy and in combination with other therapies in patients with FL and other B-cell malignancies. Additionally, KKC has initiated Phase 1 and Phase 2 studies evaluating zandelisib as a monotherapy in patients in Japan with indolent B-cell malignancy; the Phase 2 study is intended to support marketing authorization in Japan.</w:t>
      </w:r>
    </w:p>
    <w:p>
      <w:pPr>
        <w:spacing w:after="0" w:line="1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are also in the process of expanding the zandelisib clinical development program under the KKC Commercialization Agreement. Expansion plans include adding an arm evaluating patients with relapsed or refractory marginal zone lymphoma to the TIDAL study. We are also planning to initiate a Phase 3 study of zandelisib in combination with rituximab evaluating follicular lymphoma and MZL patients who received one or more prior lines of treatment; this study would act as the required confirmatory study for the potential accelerated approval of zandelisib in patients with relapsed FL who have received at least two prior systemic therapies. In addition to other planned clinical studies sponsored by us, we also plan to support select investigator-initiated studies, including one being conducted at the Cleveland Clinic evaluating zandelisib combined with standard of care (“R-CHOP”) in patients with newly diagnosed diffuse large B-cell lymphoma (“DLBCL”).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1b Multi-arm Trial</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May 2020, we reported updated data from the ongoing Phase 1b clinical trial evaluating zandelisib as a monotherapy and in combination with rituximab in patients with relapsed or refractory B-cell malignancies as featured in a poster discussion at the American Society of Clinical Oncology 2020 Virtual Scientific Program.</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Data were reported from a total of 57 patients treated with zandelisib, including 36 patients with r/r FL, 10 patients with r/r chronic lymphocytic leukemia (“CLL”), and 11 patients with other B-cell malignancies. Zandelisib was administered once daily at 60 mg for two 28-day cycles and then on an intermittent schedule (“IS”) of once daily dosing for the first seven days of each subsequent 28-day cycle. A previous cohort of 39 patients in the trial was treated with zandelisib at 60 to 180 mg administered continuously once daily (“CS”) or were switched to the IS in later cycles.</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overall response rate in the 36 patients with r/r FL was 83%, with 22% achieving a complete response. The overall response rate was 76% in 17 patients administered zandelisib as a monotherapy and 89% in 19 patients administered zandelisib in combination with rituximab. The overall response rate in nine evaluable patients with CLL was 89%.</w:t>
      </w:r>
    </w:p>
    <w:p>
      <w:pPr>
        <w:sectPr>
          <w:pgSz w:w="11900" w:h="16838" w:orient="portrait"/>
          <w:cols w:equalWidth="0" w:num="1">
            <w:col w:w="11100"/>
          </w:cols>
          <w:pgMar w:left="320" w:top="459"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00"/>
          </w:cols>
          <w:pgMar w:left="320" w:top="459" w:right="4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Overall Response Rates (“ORR”)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6"/>
              </w:rPr>
              <w:t>Diagnosis</w:t>
            </w:r>
          </w:p>
        </w:tc>
        <w:tc>
          <w:tcPr>
            <w:tcW w:w="5140" w:type="dxa"/>
            <w:vAlign w:val="bottom"/>
            <w:vMerge w:val="restart"/>
          </w:tcPr>
          <w:p>
            <w:pPr>
              <w:spacing w:after="0"/>
              <w:rPr>
                <w:sz w:val="14"/>
                <w:szCs w:val="14"/>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Evaluable Subjects</w:t>
            </w: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ORR</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840" w:type="dxa"/>
            <w:vAlign w:val="bottom"/>
            <w:gridSpan w:val="2"/>
          </w:tcPr>
          <w:p>
            <w:pPr>
              <w:jc w:val="right"/>
              <w:ind w:right="1200"/>
              <w:spacing w:after="0" w:line="158" w:lineRule="exact"/>
              <w:rPr>
                <w:sz w:val="20"/>
                <w:szCs w:val="20"/>
                <w:color w:val="auto"/>
              </w:rPr>
            </w:pPr>
            <w:r>
              <w:rPr>
                <w:rFonts w:ascii="Arial" w:cs="Arial" w:eastAsia="Arial" w:hAnsi="Arial"/>
                <w:sz w:val="14"/>
                <w:szCs w:val="14"/>
                <w:b w:val="1"/>
                <w:bCs w:val="1"/>
                <w:color w:val="auto"/>
              </w:rPr>
              <w:t>N</w:t>
            </w:r>
          </w:p>
        </w:tc>
        <w:tc>
          <w:tcPr>
            <w:tcW w:w="7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rPr>
              <w:t>N (%)</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FL</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By treatment group</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zandelisib monotherapy</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zandelisib + rituximab</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By prior lines of therapy</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1 prior</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(81%)</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³ 2 prior</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CLL SLL</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By treatment group</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zandelisib monotherapy</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 (100%)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zandelisib + rituximab</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Median duration of response in patients with FL has not yet been reached and median follow-up was 13.2 months (range: 3.0-27.6). Responses appeared durable across patient subsets analyzed (prior lines of therapy (1 vs ³ 2), treatment group (i.e. monotherapy or in combination with rituximab) or tumor bulk (&lt; 5 cm vs ³5 cm)).</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Duration of Response: Follicular Lymphoma Patients (N=30)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171450</wp:posOffset>
            </wp:positionV>
            <wp:extent cx="3240405" cy="2297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4040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Zandelisib was generally well-tolerated. The rate of drug related grade 3 Adverse Events of Special Interest (“AESI”) was: diarrhea 3.5% (2/57); colitis 3.5% (2/57); rash 1.8% (1/57); alanine aminotransferase (“ALT”)/ aspartate aminotransferase (”AST”) elevation 1.8% (1/57); non-infectious pneumonitis 1.8% (1/57). No grade ³3 AESI was reported after Cycle 3, when patients are treated with the IS, and the discontinuation rate due to adverse events was 7% (4/57). There were no isolated grade 3 elevations in ALT and AST: such elevations were transient and in each case were associated with grade 3 diarrhea or 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145415</wp:posOffset>
            </wp:positionV>
            <wp:extent cx="3248660" cy="2237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866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Phase 1b trial is additionally evaluating zandelisib (60 mg) in combination with zanubrutinib (marketed as Brukinsa</w:t>
      </w:r>
      <w:r>
        <w:rPr>
          <w:rFonts w:ascii="Arial" w:cs="Arial" w:eastAsia="Arial" w:hAnsi="Arial"/>
          <w:sz w:val="15"/>
          <w:szCs w:val="15"/>
          <w:color w:val="auto"/>
        </w:rPr>
        <w:t>®</w:t>
      </w:r>
      <w:r>
        <w:rPr>
          <w:rFonts w:ascii="Arial" w:cs="Arial" w:eastAsia="Arial" w:hAnsi="Arial"/>
          <w:sz w:val="18"/>
          <w:szCs w:val="18"/>
          <w:color w:val="auto"/>
        </w:rPr>
        <w:t>), an inhibitor of Bruton’s tyrosine kinase (“BTK”) developed by BeiGene, Ltd. (“BeiGene”). Pursuant to a collaboration initiated with</w:t>
      </w:r>
    </w:p>
    <w:p>
      <w:pPr>
        <w:sectPr>
          <w:pgSz w:w="11900" w:h="16838" w:orient="portrait"/>
          <w:cols w:equalWidth="0" w:num="1">
            <w:col w:w="11120"/>
          </w:cols>
          <w:pgMar w:left="320" w:top="459" w:right="459" w:bottom="736"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73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BeiGene in October 2018, we began evaluating the safety and efficacy of zandelisib in combination with zanubrutinib for the treatment of patients with various relapsed or refractory B-cell malignancies. The cost of the combination trial is being equally shared. Each company is supplying its own investigational agent. We retain all commercial rights to zandelisib (subject to the KKC Commercialization Agreement) and BeiGene retains all commercial rights to zanubrutinib.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Trial Intended to Support an Accelerated Approval Marketing Application</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are recruiting patients in TIDAL, a global Phase 2 trial currently evaluating the efficacy, safety, and tolerability of zandelisib in patients with FL after failure of at least two prior systemic therapies including chemotherapy and anti-CD20 antibody. This study is intended to support an FDA accelerated approval New Drug Application (“NDA”). The study is evaluating zandelisib administered once daily at 60 mg for two 28-day cycles and then on an intermittent schedule of once daily dosing for the first seven days of each subsequent 28-day cycle (i.e. IS). Approximately 120 patients will be enrolled and treated with the IS regimen; the primary efficacy endpoint will be the rate of objective responses to therapy and other endpoints will include duration of response and tolerability of zandelisib. Additionally, we have added an arm to this study evaluating patients with relapsed or refractory marginal zone lymphoma.</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Phase 2 TIDAL Study</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While the extent to which the COVID-19 pandemic will impact the completion of the TIDAL study is subject to future developments, which are highly uncertain and cannot be predicted with confidence, currently the integrity of the study remains intact and patient enrollment continues, although at a reduced rate. At this time, TIDAL enrollment is projected to be completed in the first calendar quarter of 2021. We will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Voruciclib: CDK Inhibitor with CDK9 Inhibition in Phase 1 Studies</w:t>
      </w:r>
    </w:p>
    <w:p>
      <w:pPr>
        <w:spacing w:after="0" w:line="117" w:lineRule="exact"/>
        <w:rPr>
          <w:sz w:val="20"/>
          <w:szCs w:val="20"/>
          <w:color w:val="auto"/>
        </w:rPr>
      </w:pPr>
    </w:p>
    <w:p>
      <w:pPr>
        <w:ind w:left="120" w:right="760" w:firstLine="440"/>
        <w:spacing w:after="0" w:line="263" w:lineRule="auto"/>
        <w:rPr>
          <w:sz w:val="20"/>
          <w:szCs w:val="20"/>
          <w:color w:val="auto"/>
        </w:rPr>
      </w:pPr>
      <w:r>
        <w:rPr>
          <w:rFonts w:ascii="Arial" w:cs="Arial" w:eastAsia="Arial" w:hAnsi="Arial"/>
          <w:sz w:val="18"/>
          <w:szCs w:val="18"/>
          <w:color w:val="auto"/>
        </w:rPr>
        <w:t>Voruciclib is an orally administered CDK inhibitor differentiated by its potent in vitro inhibition of CDK9 in addition to CDK6, 4 and 1. Voruciclib is being evaluated in a Phase 1b trial evaluating dose and schedule in patients with acute myeloid leukemia (“AML”) and B-cell malignancies.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CDK family of proteins are important cell cycle regulators. 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15"/>
          <w:szCs w:val="15"/>
          <w:color w:val="auto"/>
        </w:rPr>
        <w:t>®</w:t>
      </w:r>
      <w:r>
        <w:rPr>
          <w:rFonts w:ascii="Arial" w:cs="Arial" w:eastAsia="Arial" w:hAnsi="Arial"/>
          <w:sz w:val="18"/>
          <w:szCs w:val="18"/>
          <w:color w:val="auto"/>
        </w:rPr>
        <w:t>).</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In pre-clinical studies voruciclib shows dose-dependent suppression of MCL1; in December 2017 a study of voruciclib published in the journal </w:t>
      </w:r>
      <w:r>
        <w:rPr>
          <w:rFonts w:ascii="Arial" w:cs="Arial" w:eastAsia="Arial" w:hAnsi="Arial"/>
          <w:sz w:val="18"/>
          <w:szCs w:val="18"/>
          <w:i w:val="1"/>
          <w:iCs w:val="1"/>
          <w:color w:val="auto"/>
        </w:rPr>
        <w:t xml:space="preserve">Nature Scientific Reports </w:t>
      </w:r>
      <w:r>
        <w:rPr>
          <w:rFonts w:ascii="Arial" w:cs="Arial" w:eastAsia="Arial" w:hAnsi="Arial"/>
          <w:sz w:val="18"/>
          <w:szCs w:val="18"/>
          <w:color w:val="auto"/>
        </w:rPr>
        <w:t>reported that the combination of voruciclib plus the BCL-2 inhibitor venetoclax was capable of inhibiting two master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of cell survival, MCL-1 and BCL-2, and achieved synergistic antitumor effect in an aggressive subset of DLBCL pre-clinical models. (Scientific Reports. (2017) 7:18007. DOI:10.1038/s41598-017-18368-w).</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Additionally, a peer reviewed manuscript published in 2020 by Luedtke et al, concluded that the inhibition of CDK9 by voruciclib synergistically enhances cell death induced by the Bcl-2 selective inhibitor venetoclax in preclinical models of acute myeloid leukemia. (Sig Transduct Target Ther 5, 17 (2020). https://doi.org/10.1038/s41392-020-0112-3.</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CDK9 is also a transcriptional regulator of MYC proto-oncogene protein (“MYC”), a transcription factor regulating cell proliferation and growth which contributes to many human cancers and is frequently associated with poor prognosis and unfavorable patient survival. Targeting MYC directly has historically been difficult, but CDK9 is a transcriptional regulator of MYC and is a promising approach to target this oncogene.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and/or refractory B-cell malignancies or AML after failure of prior standard therapies to determine the safety, preliminary efficacy and maximum tolerated dose. Once initial safe dose levels and schedules have been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Voruciclib was previously evaluated in more than 70 patients with solid tumors in multiple Phase 1 studies with a tolerability profile consistent with other drugs in its class. In pre-clinical studies, voruciclib shows dose-dependent suppression of MCL1 at concentrations achievable with doses that appear to be generally well tolerated in earlier Phase 1 studies. Pre-clinical studies additionally show inhibition of MYC protein expression.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although at a reduced rate. We will continue efforts to be proactive in managing the impact from the pandemic, including various actions to communicate with sites and investigators, and making accommodations to patients consistent with FDA guidance as we may deem appropriate.</w:t>
      </w:r>
    </w:p>
    <w:p>
      <w:pPr>
        <w:sectPr>
          <w:pgSz w:w="11900" w:h="16838" w:orient="portrait"/>
          <w:cols w:equalWidth="0" w:num="1">
            <w:col w:w="11120"/>
          </w:cols>
          <w:pgMar w:left="320" w:top="459" w:right="459" w:bottom="61"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61"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ME-344: Mitochondrial Inhibitor with Combinatorial Potential</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ME-344 is our novel and tumor selective, isoflavone-derived mitochondrial inhibitor drug candidate. It directly targets the OXPHOS complex 1, a pathway involved in ATP production in the mitochondria. ME-344 was studied in an investigator-initiated, multi-center, randomized clinical trial in combination with the vascular endothelial growth factor (“VEGF”) inhibitor bevacizumab (marketed as Avastin </w:t>
      </w:r>
      <w:r>
        <w:rPr>
          <w:rFonts w:ascii="Arial" w:cs="Arial" w:eastAsia="Arial" w:hAnsi="Arial"/>
          <w:sz w:val="15"/>
          <w:szCs w:val="15"/>
          <w:color w:val="auto"/>
        </w:rPr>
        <w:t>®</w:t>
      </w:r>
      <w:r>
        <w:rPr>
          <w:rFonts w:ascii="Arial" w:cs="Arial" w:eastAsia="Arial" w:hAnsi="Arial"/>
          <w:sz w:val="18"/>
          <w:szCs w:val="18"/>
          <w:color w:val="auto"/>
        </w:rPr>
        <w:t>) in a total of 42 patients with human epidermal growth factor receptor 2 (“HER2”) negative breast cancer.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adenosine triphosphate (“ATP”). The two major sources of ATP are the specialized cellular organelles termed mitochondria and through the metabolism of carbohydrates, proteins and lipids.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Support for this combinatorial use of ME-344 was first published in the June 2016 edition of </w:t>
      </w:r>
      <w:r>
        <w:rPr>
          <w:rFonts w:ascii="Arial" w:cs="Arial" w:eastAsia="Arial" w:hAnsi="Arial"/>
          <w:sz w:val="16"/>
          <w:szCs w:val="16"/>
          <w:i w:val="1"/>
          <w:iCs w:val="1"/>
          <w:color w:val="auto"/>
        </w:rPr>
        <w:t>Cell Reports</w:t>
      </w:r>
      <w:r>
        <w:rPr>
          <w:rFonts w:ascii="Arial" w:cs="Arial" w:eastAsia="Arial" w:hAnsi="Arial"/>
          <w:sz w:val="16"/>
          <w:szCs w:val="16"/>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16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for the combinatorial use of ME-344 with anti-angiogenic therapeutics.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92" w:lineRule="exact"/>
        <w:rPr>
          <w:sz w:val="20"/>
          <w:szCs w:val="20"/>
          <w:color w:val="auto"/>
        </w:rPr>
      </w:pPr>
    </w:p>
    <w:p>
      <w:pPr>
        <w:ind w:left="1080" w:right="38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issue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Pracinostat: HDAC Inhibitor Candidate in a Phase 2 Clinical Trial</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Pracinostat is an oral HDAC inhibitor being evaluated in a Phase 2 trial in patients with high or very high-risk </w:t>
      </w:r>
      <w:r>
        <w:rPr>
          <w:rFonts w:ascii="Arial" w:cs="Arial" w:eastAsia="Arial" w:hAnsi="Arial"/>
          <w:sz w:val="18"/>
          <w:szCs w:val="18"/>
          <w:i w:val="1"/>
          <w:iCs w:val="1"/>
          <w:color w:val="auto"/>
        </w:rPr>
        <w:t>myelodysplastic syndrome</w:t>
      </w:r>
      <w:r>
        <w:rPr>
          <w:rFonts w:ascii="Arial" w:cs="Arial" w:eastAsia="Arial" w:hAnsi="Arial"/>
          <w:sz w:val="18"/>
          <w:szCs w:val="18"/>
          <w:color w:val="auto"/>
        </w:rPr>
        <w:t xml:space="preserve"> (“MDS”) who are previously untreated with hypomethylating agents (the “POC study”).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(the “Helsinn License Agreement”) as a treatment for patients with MDS or AML. Under the agreement, Helsinn is primarily responsible for funding global development and commercialization costs for pracinostat. We are responsible for conducting the POC study, the cost of which is being shared equally with Helsinn. Any future development and commercialization costs after the completion of the Phase 2 trial will be the responsibility of Helsinn.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Pracinostat Scientific Overview; Epigenetics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HDACs play a key role in epigenetic regulation of gene expression by regulating chromatin structure. Acetylation of positively charged lysine residues present in histone proteins by the histone acetyltransferase (“HATs”) reduces the affinity between histones and negatively charged DNA, resulting in the opening of the chromatin structure. This makes it easier for the transcriptional machinery to access the DNA, enhancing RNA transcription. Conversely, deacetylation by the HDACs closes the chromatin structure leading to a repression of gene transcription. In normal cells, HDACs and HATs together control histone acetylation levels to maintain a balance. In diseases such as cancer, this regulation can be disturbed. HDAC inhibitors cause accumulation of acetylated histones, enhance transcription and result in changes to a variety of cellular responses including differentiation, proliferation, migration, survival and response to metabolic and hypoxic stress. In general, tumor cells are more susceptible than normal cells to the anti-proliferative and pro-apoptotic effects of HDAC inhibitors.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There are currently three HDAC inhibitors, one oral and two injectable, approved by the FDA for the treatment of T-cell lymphoma and a fourth orally administered HDAC inhibitor approved for multiple myeloma. Other HDAC inhibitors are being evaluated in clinical trials as monotherapies and in combination for the treatment of various hematologic diseases and solid tumors.</w:t>
      </w:r>
    </w:p>
    <w:p>
      <w:pPr>
        <w:spacing w:after="0" w:line="184"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Pracinostat is an orally available, potent HDAC inhibitor that we believe has potentially improved physicochemical, pharmaceutical and pharmacokinetic properties when compared to other compounds of this class, including increased bioavailability and increased half-life.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 xml:space="preserve">Pracinostat is being investigated in a Phase 2 dose optimization trial evaluating patients with high and very high-risk MDS who are previously untreated with hypomethylating agents. This patient group represents the highest unmet need in MDS, with median survival estimates of 1.6 years and 0.8 years, respectively (Greenberg et al, </w:t>
      </w:r>
      <w:r>
        <w:rPr>
          <w:rFonts w:ascii="Arial" w:cs="Arial" w:eastAsia="Arial" w:hAnsi="Arial"/>
          <w:sz w:val="17"/>
          <w:szCs w:val="17"/>
          <w:i w:val="1"/>
          <w:iCs w:val="1"/>
          <w:color w:val="auto"/>
        </w:rPr>
        <w:t>Blood 2012</w:t>
      </w:r>
      <w:r>
        <w:rPr>
          <w:rFonts w:ascii="Arial" w:cs="Arial" w:eastAsia="Arial" w:hAnsi="Arial"/>
          <w:sz w:val="17"/>
          <w:szCs w:val="17"/>
          <w:color w:val="auto"/>
        </w:rPr>
        <w:t>). The ongoing Phase 2 open-label trial is evaluating a 45 mg dose of pracinostat in combination with the standard dose of azacitidine. The trial is designed to evaluate tolerability of the combination, with the intent of maintaining patient enrollment longer than in an earlier Phase 2 trial evaluating a 60 mg dose. A prolonged treatment may result in a systemic exposure to pracinostat and azacitidine sufficient to achieve the desired treatment effect; data from the earlier Phase 2 trial suggested that insufficient exposure to treatment may have limited the treatment effect of the combination.</w:t>
      </w:r>
    </w:p>
    <w:p>
      <w:pPr>
        <w:spacing w:after="0" w:line="17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 pre-planned interim analysis of the ongoing Phase 2 MDS trial demonstrated a 10% discontinuation rate among the first 20 evaluable patients treated, meeting the predefined threshold in the first 3 treatment cycles. The 10% rate is consistent with the discontinuation rate for azacitidine given as a monotherapy in earlier studies with pracinostat. Having met this threshold, the trial expanded open-label enrollment to a total of 60 patients in the study. An interim analysis presented at the 2018 ASH meeting demonstrated a discontinuation rate due to adverse events in the first three cycles of 4%, substantially lower than the rate of 26% reported in our prior Phase 2 trial.</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ongoing Phase 2 trial completed enrollment and patients have been followed for at least one year to evaluate safety and efficacy. The primary endpoints of the trial are 1) safety and tolerability and 2) overall response rate, defined as complete remission (“CR”), partial remission (“PR”) and marrow CR. Secondary endpoints include CR rate, overall hematologic improvement (“HI”) response rate, clinical benefit rate (defined as rate of CR + PR + HI + Marrow CR), rate of cytogenetic complete response/remission, duration of response, rate of leukemic transformation, event-free survival, progression-free survival and overall survival.</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Data from the ongoing Phase 2 study (n=64) presented as part of the American Society of Clinical Oncology 2020 Virtual Scientific Program in June 2020 demonstrated an estimated median overall survival (“OS”) rate of 23.5 months with a one-year OS rate of 77%. The median follow-up was 17.6 months (range, 15.7–18.8) and the overall response rate (“ORR”) was 33% (21/64), all of which are complete responses (“CR”). The clinical benefit rate (CR, mCR plus hematologic improvement (“HI”), mCR with no HI, or HI with no mCR) was 77% (49/64). Twenty seven percent of patients (17/64) proceeded to a stem cell transplant while on study. Eleven percent of patients discontinued treatment because of adverse events. The most common grade ³3 treatment emergent adverse events were hematologic, and included decreased neutrophil count (50%), anemia (39%), febrile neutropenia (34%), decreased platelet count (33%), thrombocytopenia (27%), and decreased white blood cell count (20%).</w:t>
      </w:r>
    </w:p>
    <w:p>
      <w:pPr>
        <w:spacing w:after="0" w:line="17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A Phase 3 study evaluating pracinostat in combination with azacitidine in patients with AML who are unfit to receive standard intensive chemotherapy was discontinued by Helsinn, the study sponsor, in July 2020 after an interim futility analysis</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undertaken by the study Independent Data Monitoring Committee demonstrated it was unlikely to meet the primary endpoint of overall survival compared to the control group. In connection with the discontinuation of the Phase 3 study, Helsinn has withdrawn the breakthrough therapy designation FDA granted for pracinostat in combination with azacitidine for the treatment of patients with AML. Following the discontinuation of the Phase 3 AML study, Helsinn communicated to us their plan to continue therapy and observation of the patients currently in the Phase 2 MDS study and that further development of pracinostat, including for the treatment of MDS, is under review.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Three Months Ended September 30, 2020 and 2019</w:t>
      </w:r>
    </w:p>
    <w:p>
      <w:pPr>
        <w:spacing w:after="0" w:line="121"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We had a loss from operations of $15.6 million for the three months ended September 30, 2020 compared to a loss from operations of $12.6 million for the three months ended September 30, 2019.</w:t>
      </w:r>
    </w:p>
    <w:p>
      <w:pPr>
        <w:spacing w:after="0" w:line="170"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$3.8 million for the three months ended September 30, 2020 compared to $1.2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Revenue increased primarily due to our license agreement with KKC and resulted from the partial satisfaction of our research and development obligations. Revenue related to the license agreement with KKC was $3.6 million for the three months ended September 30, 2020 compared to $0.8 million for the three months ended September 30, 2019. Revenue also includes recognition of fees allocated to performance obligations in accordance with the Helsinn License Agreement. Revenue related the Helsinn License Agreement was $0.3 million for the three months ended September 30, 2020 compared to $0.4 million for the three months ended September 30, 2019 due to decreased costs associated with the POC study.</w:t>
      </w:r>
    </w:p>
    <w:p>
      <w:pPr>
        <w:spacing w:after="0" w:line="19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We recognized cost of revenue of $0.5 million for the three months ended September 30, 2020 compared to $0.7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2019.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associated with the POC study.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vMerge w:val="continue"/>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Zandelisib</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$ 4,952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Voruciclib</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784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ME-344</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12,996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$ 8,962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$13.0 million for the three months ended September 30, 2020 compared to $9.0 million for the three months ended September 30, 2019. Costs related to zandelisib for the three months ended September 30, 2020 reflected an increase of $3.0 million of increased clinical trial costs, primarily as a result of increased activity in the Phase 2 study and start-up costs related to the Phase 3 study. Costs related to voruciclib increased for the three months ended September 30, 2020 compared with the three months ended September 30, 2019, due to increased drug manufacturing costs. Other research and development costs increased for the three months ended September 30, 2020 due to higher levels of personnel costs ($0.5 million) and share-based compensation ($0.3 million) associated with increased headcount to support our clinical activities, offset by decreased consulting fees ($0.2 million).</w:t>
      </w:r>
    </w:p>
    <w:p>
      <w:pPr>
        <w:spacing w:after="0" w:line="162"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increased by $1.8 million to $5.9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compared to $4.1 million for the three months ended September 30, 2019. The increase is primarily due to increased personnel costs ($0.4 million) and share-based compensation ($0.5 million) associated with increased headcount to support our activities, as well as external professional services and legal costs ($0.4 million) and corporate overhead costs ($0.5 million).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 xml:space="preserve">Other income or expense: </w:t>
      </w:r>
      <w:r>
        <w:rPr>
          <w:rFonts w:ascii="Arial" w:cs="Arial" w:eastAsia="Arial" w:hAnsi="Arial"/>
          <w:sz w:val="18"/>
          <w:szCs w:val="18"/>
          <w:color w:val="auto"/>
        </w:rPr>
        <w:t>We recorded a non-cash gain of $13.2 million during the three months ended September 30, 2020 due to a change in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our warrant liability for warrants issued in connection with the May 2018 Private Placement. The change in the warrant liability is primarily due to changes in our stock price. Additionally, we received interest and dividend income of $0.3 million for the three months ended September 30, 2020 compared to $0.4 million for the three months ended September 30, 2019. The decrease was due to lower yields during the three months ended September 30, 2020 compared to the three months ended September 30, 2019.</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accumulated losses of $279.3 million since inception and expect to incur operating losses and generate negative cash flows from operations for the foreseeable future. As of September 30, 2020, we had $176.1 million in cash and cash equivalents, and short-term investments. Additionally, we had a receivable of $20.4 million from the Japanese taxing authorities that had been withheld from the $100 million upfront payment associated with the KKC Commercialization Agreement. The receivable was received in October 2020. We believe that these resources will be sufficient to fund our operations into fiscal year 2022 and beyond.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Net cash used in operations for the three months ended September 30, 2020 was $9.1 million. Net cash used in operating activities for the three months ended September 30, 2019 was $14.1 million. The decrease in cash used in operating activities year over year is due to changes in working capital balances.</w:t>
      </w:r>
    </w:p>
    <w:p>
      <w:pPr>
        <w:spacing w:after="0" w:line="18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Net cash provided by investing activities for the three months ended September 30, 2020 was $4.5 million compared to $5.0 million provided by investing activities for the three months ended September 30, 2019. The change was primarily due to increased purchases of short-term investments in 2020, net of maturities, as a result of cash received associated with the KKC License Agreement.</w:t>
      </w:r>
    </w:p>
    <w:p>
      <w:pPr>
        <w:spacing w:after="0" w:line="16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Net cash provided by financing activities during the three months ended September 30, 2020 was $3.3 million compared with $5.5 million provided by financing activities during the quarter ended September 30, 2019. Cash raised during the three months ended September 30, 2020 reflected $3.1 million of net proceeds from the issuance of common stock. Cash raised during the quarter ended September 30, 2019 reflected $0.2 million from the issuance of common stock and $5.3 million of proceeds from the collection of common stock proceeds receivable.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payments over the term of the lease will approximate $1.5 million, plus a pro rata share of certain building expenses. Our total contractual obligation over the term of the lease is approximately $11.6 million.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September 30, 2020, we have not accrued any amounts for potential future payments.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The first milestone payment of $200,000 plus 166,527 shares of our common stock having a value of $500,000 was paid in August 2017 upon the first dosing of a patient in a Phase 3 clinical trial. Subsequent milestone payments will be due upon certain regulatory approvals and sales-based events. As of September 30, 2020, we have not accrued any amounts for potential future payments.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party to a license agreement with CyDex. Under the license agreement, CyDex granted to us an exclusive, non-transferable license to</w:t>
      </w:r>
    </w:p>
    <w:p>
      <w:pPr>
        <w:spacing w:after="0" w:line="45"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intellectual property rights relating to Captisol</w:t>
      </w:r>
      <w:r>
        <w:rPr>
          <w:rFonts w:ascii="Arial" w:cs="Arial" w:eastAsia="Arial" w:hAnsi="Arial"/>
          <w:sz w:val="13"/>
          <w:szCs w:val="13"/>
          <w:color w:val="auto"/>
        </w:rPr>
        <w:t>®</w:t>
      </w:r>
      <w:r>
        <w:rPr>
          <w:rFonts w:ascii="Arial" w:cs="Arial" w:eastAsia="Arial" w:hAnsi="Arial"/>
          <w:sz w:val="16"/>
          <w:szCs w:val="16"/>
          <w:color w:val="auto"/>
        </w:rPr>
        <w:t xml:space="preserve"> for use with our two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for convenience at any time upon 90 days’ prior written notice. As of September 30, 2020, we have not accrued any amounts for potential future payments.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(the “COVID-19 outbreak”) and the risks to the international community. In March 2020, the WHO classified the COVID-19 outbreak as a pandemic based on the rapid increase in exposure globally. While we continue to enroll and dose patients in our clinical trials, our clinical development program timelines have been negatively affected by COVID-19. The extent to which the ongoing pandemic continues to impact our business, including our preclinical studies, chemistry, manufacturing, and control (“CMC”) studies and clinical trials, will depend on future developments, which are highly uncertain and cannot be predicted with confidence, including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and to minimize its economic impact.</w:t>
      </w:r>
    </w:p>
    <w:p>
      <w:pPr>
        <w:spacing w:after="0" w:line="17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light of the COVID-19 outbreak, the FDA issued a number of new guidance documents. Specifically, as a result of the potential effect of the COVID-19 outbreak on many clinical trial programs in the U.S. and globally, the U.S. FDA issued guidance concerning potential impacts on clinical trial programs, changes that may be necessary to such programs if they proceed, considerations regarding trial suspensions and discontinuations, the potential need to consult with or make submissions to relevant ethics committees, IRBs, and the FDA, the use of alternative drug delivery methods, and considerations with respect the outbreak’s impacts on endpoints, data collection, study procedures, and analysis. In addition, the European Medicines Agency (“EMA”) as well as country regulatory authorities have issued similar guidance.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describe our significant accounting policies in Note 1, The Company and Summary of Significant Accounting Policies, of the notes to the financial statements included in our 2020 Annual Report. We discuss our critical accounting estimates in Item 7, Management’s Discussion and Analysis of Financial Condition and Results of Operations, in our 2020 Annual Report. There have been no changes in our significant accounting policies or critical accounting estimates since June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have materially affected, or are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our financial statements, Note 6 — Commitments and Contingencies –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material changes in our risk factors from those included in our 2020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gridSpan w:val="2"/>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Exhibits</w:t>
            </w:r>
          </w:p>
        </w:tc>
        <w:tc>
          <w:tcPr>
            <w:tcW w:w="4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8"/>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06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Rule 13a-14(a) or Rule 15d-14(a) Certification of Principal Executive Officer</w:t>
              </w:r>
            </w:hyperlink>
          </w:p>
        </w:tc>
      </w:tr>
      <w:tr>
        <w:trPr>
          <w:trHeight w:val="324"/>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060" w:type="dxa"/>
            <w:vAlign w:val="bottom"/>
            <w:gridSpan w:val="2"/>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Rule 13a-14(a) or Rule 15d-14(a) Certification of Principal Financial Officer</w:t>
              </w:r>
            </w:hyperlink>
          </w:p>
        </w:tc>
      </w:tr>
      <w:tr>
        <w:trPr>
          <w:trHeight w:val="283"/>
        </w:trPr>
        <w:tc>
          <w:tcPr>
            <w:tcW w:w="64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0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Principal Executive Officer and Principal Financial Officer required by Rule 13a-14(b) or Rule 15d-14(b) and</w:t>
              </w:r>
            </w:hyperlink>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Section 1350 of Chapter 63 of Title 18 of the United States Code (18 U.S.C 1350).</w:t>
              </w:r>
            </w:hyperlink>
          </w:p>
        </w:tc>
        <w:tc>
          <w:tcPr>
            <w:tcW w:w="3100" w:type="dxa"/>
            <w:vAlign w:val="bottom"/>
          </w:tcPr>
          <w:p>
            <w:pPr>
              <w:spacing w:after="0"/>
              <w:rPr>
                <w:sz w:val="17"/>
                <w:szCs w:val="17"/>
                <w:color w:val="auto"/>
              </w:rPr>
            </w:pPr>
          </w:p>
        </w:tc>
      </w:tr>
      <w:tr>
        <w:trPr>
          <w:trHeight w:val="345"/>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0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4"/>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tcPr>
          <w:p>
            <w:pPr>
              <w:ind w:left="4320"/>
              <w:spacing w:after="0"/>
              <w:rPr>
                <w:sz w:val="20"/>
                <w:szCs w:val="20"/>
                <w:color w:val="auto"/>
              </w:rPr>
            </w:pPr>
            <w:r>
              <w:rPr>
                <w:rFonts w:ascii="Arial" w:cs="Arial" w:eastAsia="Arial" w:hAnsi="Arial"/>
                <w:sz w:val="18"/>
                <w:szCs w:val="18"/>
                <w:color w:val="auto"/>
              </w:rPr>
              <w:t>31</w:t>
            </w:r>
          </w:p>
        </w:tc>
        <w:tc>
          <w:tcPr>
            <w:tcW w:w="3100" w:type="dxa"/>
            <w:vAlign w:val="bottom"/>
          </w:tcPr>
          <w:p>
            <w:pPr>
              <w:spacing w:after="0"/>
              <w:rPr>
                <w:sz w:val="24"/>
                <w:szCs w:val="24"/>
                <w:color w:val="auto"/>
              </w:rPr>
            </w:pPr>
          </w:p>
        </w:tc>
      </w:tr>
    </w:tbl>
    <w:p>
      <w:pPr>
        <w:sectPr>
          <w:pgSz w:w="11900" w:h="16838" w:orient="portrait"/>
          <w:cols w:equalWidth="0" w:num="1">
            <w:col w:w="10280"/>
          </w:cols>
          <w:pgMar w:left="320" w:top="459" w:right="1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MEI Pharma,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November 10, 2020</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320" w:top="459" w:right="5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Daniel P. Gold, certify that:</w:t>
      </w:r>
    </w:p>
    <w:p>
      <w:pPr>
        <w:spacing w:after="0" w:line="13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824"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G. Drazba,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824"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Brian G. Drazba</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380"/>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71" w:lineRule="exact"/>
        <w:rPr>
          <w:sz w:val="20"/>
          <w:szCs w:val="20"/>
          <w:color w:val="auto"/>
        </w:rPr>
      </w:pPr>
    </w:p>
    <w:p>
      <w:pPr>
        <w:jc w:val="both"/>
        <w:ind w:left="424" w:right="54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period ended September 30, 2020, (the “Form 10-Q”) to which this Certification is attached as Exhibit 32.1, fully complies with the requirements of Section 13(a) or Section 15(d) of the Securities Exchange Act of 1934, as amended; and</w:t>
      </w:r>
    </w:p>
    <w:p>
      <w:pPr>
        <w:spacing w:after="0" w:line="89" w:lineRule="exact"/>
        <w:rPr>
          <w:rFonts w:ascii="Arial" w:cs="Arial" w:eastAsia="Arial" w:hAnsi="Arial"/>
          <w:sz w:val="18"/>
          <w:szCs w:val="18"/>
          <w:color w:val="auto"/>
        </w:rPr>
      </w:pPr>
    </w:p>
    <w:p>
      <w:pPr>
        <w:ind w:left="424" w:right="440" w:hanging="424"/>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46" w:lineRule="exact"/>
        <w:rPr>
          <w:sz w:val="20"/>
          <w:szCs w:val="20"/>
          <w:color w:val="auto"/>
        </w:rPr>
      </w:pPr>
    </w:p>
    <w:p>
      <w:pPr>
        <w:jc w:val="both"/>
        <w:ind w:left="4" w:right="60"/>
        <w:spacing w:after="0" w:line="311"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Dated: November 10, 2020</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Arial" w:cs="Arial" w:eastAsia="Arial" w:hAnsi="Arial"/>
                <w:sz w:val="18"/>
                <w:szCs w:val="18"/>
                <w:color w:val="auto"/>
              </w:rPr>
              <w:t>/s/ Daniel P. Gold</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Brian G. Drazba</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Gold</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Drazba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Chief Financial Officer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decimal"/>
      <w:start w:val="606"/>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2020-11-10T15:04:48Z</dcterms:created>
  <dcterms:modified xsi:type="dcterms:W3CDTF">2020-11-10T15:04:48Z</dcterms:modified>
</cp:coreProperties>
</file>