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80" w:right="1580" w:hanging="3659"/>
        <w:spacing w:after="0" w:line="391"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2025</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Lite Strategy,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LITS</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February 12, 2026, the number of shares outstanding of the issuer’s common stock, $0.00000002 par value, was 36,361,999.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460" w:type="dxa"/>
            <w:vAlign w:val="bottom"/>
            <w:gridSpan w:val="9"/>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December 31, 2025 and June 30, 2025 (Unaudited)</w:t>
            </w:r>
          </w:p>
        </w:tc>
        <w:tc>
          <w:tcPr>
            <w:tcW w:w="20" w:type="dxa"/>
            <w:vAlign w:val="bottom"/>
            <w:tcBorders>
              <w:bottom w:val="single" w:sz="8" w:color="0000EE"/>
            </w:tcBorders>
          </w:tcPr>
          <w:p>
            <w:pPr>
              <w:spacing w:after="0"/>
              <w:rPr>
                <w:sz w:val="24"/>
                <w:szCs w:val="24"/>
                <w:color w:val="auto"/>
              </w:rPr>
            </w:pPr>
          </w:p>
        </w:tc>
        <w:tc>
          <w:tcPr>
            <w:tcW w:w="1660" w:type="dxa"/>
            <w:vAlign w:val="bottom"/>
            <w:gridSpan w:val="3"/>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December 31, 2025 and 2024</w:t>
            </w:r>
          </w:p>
        </w:tc>
        <w:tc>
          <w:tcPr>
            <w:tcW w:w="34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2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December 31, 2025 and</w:t>
            </w:r>
          </w:p>
        </w:tc>
        <w:tc>
          <w:tcPr>
            <w:tcW w:w="122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2024 (Unaudited)</w:t>
            </w:r>
          </w:p>
        </w:tc>
        <w:tc>
          <w:tcPr>
            <w:tcW w:w="20" w:type="dxa"/>
            <w:vAlign w:val="bottom"/>
            <w:tcBorders>
              <w:bottom w:val="single" w:sz="8" w:color="0000EE"/>
            </w:tcBorders>
          </w:tcPr>
          <w:p>
            <w:pPr>
              <w:spacing w:after="0"/>
              <w:rPr>
                <w:sz w:val="17"/>
                <w:szCs w:val="17"/>
                <w:color w:val="auto"/>
              </w:rPr>
            </w:pPr>
          </w:p>
        </w:tc>
        <w:tc>
          <w:tcPr>
            <w:tcW w:w="7440" w:type="dxa"/>
            <w:vAlign w:val="bottom"/>
            <w:gridSpan w:val="17"/>
          </w:tcPr>
          <w:p>
            <w:pPr>
              <w:spacing w:after="0"/>
              <w:rPr>
                <w:sz w:val="17"/>
                <w:szCs w:val="17"/>
                <w:color w:val="auto"/>
              </w:rPr>
            </w:pPr>
          </w:p>
        </w:tc>
        <w:tc>
          <w:tcPr>
            <w:tcW w:w="12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December 31, 2025 and 2024 (Unaudited)</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0" w:type="dxa"/>
            <w:vAlign w:val="bottom"/>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80" w:type="dxa"/>
            <w:vAlign w:val="bottom"/>
            <w:gridSpan w:val="5"/>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40" w:type="dxa"/>
            <w:vAlign w:val="bottom"/>
            <w:gridSpan w:val="8"/>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700" w:type="dxa"/>
            <w:vAlign w:val="bottom"/>
            <w:gridSpan w:val="13"/>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0" w:type="dxa"/>
            <w:vAlign w:val="bottom"/>
            <w:gridSpan w:val="15"/>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00" w:type="dxa"/>
            <w:vAlign w:val="bottom"/>
            <w:gridSpan w:val="7"/>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60" w:type="dxa"/>
            <w:vAlign w:val="bottom"/>
            <w:gridSpan w:val="12"/>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6960" w:type="dxa"/>
            <w:vAlign w:val="bottom"/>
            <w:gridSpan w:val="14"/>
          </w:tcPr>
          <w:p>
            <w:pPr>
              <w:spacing w:after="0"/>
              <w:rPr>
                <w:sz w:val="24"/>
                <w:szCs w:val="2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87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140" w:type="dxa"/>
            <w:vAlign w:val="bottom"/>
            <w:gridSpan w:val="2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020" w:type="dxa"/>
            <w:vAlign w:val="bottom"/>
            <w:gridSpan w:val="25"/>
          </w:tcPr>
          <w:p>
            <w:pPr>
              <w:ind w:left="2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r>
      <w:tr>
        <w:trPr>
          <w:trHeight w:val="1647"/>
        </w:trPr>
        <w:tc>
          <w:tcPr>
            <w:tcW w:w="26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3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82,937</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140" w:type="dxa"/>
            <w:vAlign w:val="bottom"/>
            <w:tcBorders>
              <w:top w:val="single" w:sz="8" w:color="CFF0FC"/>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36,785 and</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6,663 shares issued at December 31, 2025 and June 30, 2025, respectively.</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at cost, 138 and no shares at December 31, 2025 and</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June 30, 2025, respectively.</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(438,602)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-2836545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-2819400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-2836545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-2819400</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-2125345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-2125345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-1833880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-1833880</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22" w:right="7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26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33,606</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(3,451)</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(33,606)</w:t>
            </w: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(11,803)</w:t>
            </w: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37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 net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(1,533)</w:t>
            </w:r>
          </w:p>
        </w:tc>
        <w:tc>
          <w:tcPr>
            <w:tcW w:w="4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(30,799)</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(34,438)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(10,684)</w:t>
            </w: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-2116455</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-2116455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-2116455</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-2116455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-856615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-856615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-856615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-856615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848995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5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101"/>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421,095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(404,164)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16,931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(3,639)</w:t>
            </w: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Proceeds from the sale of Common Stock at</w:t>
            </w:r>
          </w:p>
        </w:tc>
        <w:tc>
          <w:tcPr>
            <w:tcW w:w="92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$3.42 per share in July 2025, net of issuance</w:t>
            </w:r>
          </w:p>
        </w:tc>
        <w:tc>
          <w:tcPr>
            <w:tcW w:w="9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60,326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Pre-Funded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Warrants at $3.4199 per share in July 2025,</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of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for services</w:t>
            </w:r>
          </w:p>
        </w:tc>
        <w:tc>
          <w:tcPr>
            <w:tcW w:w="92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rendered in the July 2025 PIPE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16,215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Pre-Funded Warrants for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cashless</w:t>
            </w:r>
          </w:p>
        </w:tc>
        <w:tc>
          <w:tcPr>
            <w:tcW w:w="92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Stock through our ATM,</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of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Pre-Funded Warrants to asset</w:t>
            </w:r>
          </w:p>
        </w:tc>
        <w:tc>
          <w:tcPr>
            <w:tcW w:w="92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manager in lieu of cash fees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35,655</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520,072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(407,803)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(30,799)</w:t>
            </w: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cashless</w:t>
            </w:r>
          </w:p>
        </w:tc>
        <w:tc>
          <w:tcPr>
            <w:tcW w:w="92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Advisory Warrants in lieu</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of cash fees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3"/>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520,655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(438,602)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(203)</w:t>
            </w:r>
          </w:p>
        </w:tc>
        <w:tc>
          <w:tcPr>
            <w:tcW w:w="54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81,850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(388,219)</w:t>
            </w:r>
          </w:p>
        </w:tc>
        <w:tc>
          <w:tcPr>
            <w:tcW w:w="3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(396,226)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421,001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(398,903)</w:t>
            </w:r>
          </w:p>
        </w:tc>
        <w:tc>
          <w:tcPr>
            <w:tcW w:w="34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-1748155</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-1731010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-1748155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-1731010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-1748155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-1731010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-1748155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-1731010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-1748155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-1731010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-590550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-590550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-590550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Fiscal Six Months Ended December 31,</w:t>
            </w:r>
          </w:p>
        </w:tc>
      </w:tr>
      <w:tr>
        <w:trPr>
          <w:trHeight w:val="210"/>
        </w:trPr>
        <w:tc>
          <w:tcPr>
            <w:tcW w:w="73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(10,684)</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 receivable, net</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asset management and advisory expense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(2,572)</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(3,496)</w:t>
            </w:r>
          </w:p>
        </w:tc>
      </w:tr>
      <w:tr>
        <w:trPr>
          <w:trHeight w:val="20"/>
        </w:trPr>
        <w:tc>
          <w:tcPr>
            <w:tcW w:w="73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(15,116)</w:t>
            </w:r>
          </w:p>
        </w:tc>
      </w:tr>
      <w:tr>
        <w:trPr>
          <w:trHeight w:val="210"/>
        </w:trPr>
        <w:tc>
          <w:tcPr>
            <w:tcW w:w="7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1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proceeds from written Covered Call Options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disposition of a nonfinancial asset</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(99,431)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20" w:type="dxa"/>
            <w:vAlign w:val="bottom"/>
            <w:shd w:val="clear" w:color="auto" w:fill="CFF0FC"/>
          </w:tcPr>
          <w:p>
            <w:pPr>
              <w:spacing w:after="0"/>
              <w:rPr>
                <w:sz w:val="18"/>
                <w:szCs w:val="18"/>
                <w:color w:val="auto"/>
              </w:rPr>
            </w:pPr>
          </w:p>
        </w:tc>
      </w:tr>
      <w:tr>
        <w:trPr>
          <w:trHeight w:val="425"/>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98"/>
        </w:trPr>
        <w:tc>
          <w:tcPr>
            <w:tcW w:w="73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Pre-Funded Warrants</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 July 2025, net of offering costs</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92,190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through our ATM Program, net</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issuance costs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through our Share Repurchase Program</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8"/>
                <w:szCs w:val="18"/>
                <w:color w:val="auto"/>
              </w:rPr>
            </w:pPr>
          </w:p>
        </w:tc>
      </w:tr>
      <w:tr>
        <w:trPr>
          <w:trHeight w:val="25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20" w:type="dxa"/>
            <w:vAlign w:val="bottom"/>
            <w:shd w:val="clear" w:color="auto" w:fill="CFF0FC"/>
          </w:tcPr>
          <w:p>
            <w:pPr>
              <w:spacing w:after="0"/>
              <w:rPr>
                <w:sz w:val="21"/>
                <w:szCs w:val="21"/>
                <w:color w:val="auto"/>
              </w:rPr>
            </w:pPr>
          </w:p>
        </w:tc>
      </w:tr>
      <w:tr>
        <w:trPr>
          <w:trHeight w:val="41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Advisory Warrants for services rendered in the July 2025 PIPE</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Warrants to asset manager in lieu of cash fees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Advisory Warrants in lieu of cash fees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-3514090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-3514090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-2253615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-1297940</wp:posOffset>
            </wp:positionV>
            <wp:extent cx="939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-1297940</wp:posOffset>
            </wp:positionV>
            <wp:extent cx="10287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-710565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-693420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-693420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Lite Strategy, Inc. (Nasdaq: LITS) is a pharmaceutical company that has historically developed novel and differentiated cancer therapies and is currently assessing pre-clinical development programs potentially in nononcology disease indications. We also hold Litecoin (LTC) tokens as a primary reserve asset as part of our broader institutional treasury strategy. We initially built our pipeline by acquiring promising cancer agents and creating value in programs through development, strategic partnerships, and out-licensing or commercialization, as appropriate. Our approach to drug 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8"/>
          <w:szCs w:val="18"/>
          <w:color w:val="231F20"/>
        </w:rPr>
        <w:t>nd, prior to its sale in October 2024 to Aardvark Therapeutics, Inc., ME-344,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intravenous small molecule mitochondrial inhibitor targeting the oxidative phosphorylation pathway in the mitochondria</w:t>
      </w:r>
      <w:r>
        <w:rPr>
          <w:rFonts w:ascii="Times New Roman" w:cs="Times New Roman" w:eastAsia="Times New Roman" w:hAnsi="Times New Roman"/>
          <w:sz w:val="18"/>
          <w:szCs w:val="18"/>
          <w:color w:val="000000"/>
        </w:rPr>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Buy Back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shifting our Litecoin Treasury Strategy (as defined below) from initial LTC accumulation to active capital market operations,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we announced that our board of directors (Board) authorized a program to repurchase shares of our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$0.00000002 (Common Stock), up to an aggregate amount of $25.0 million (the Share Repurchase Program), excluding fees, commissions, and excise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under the Inflation Reduction Act of 2022. The Share Repurchase Program was effective immediately and provides for shares to be repurchased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privately negotiated transactions or otherwise. The timing of purchases and the exact number of shares to be purchased under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will depend on market conditions, does not include specific price targets or timetables and may be suspended or terminated by us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We intend to finance the purchases using proceeds from our Covered Call Options (as defined below) or from the liquidation of a portion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LTC tokens.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i w:val="1"/>
          <w:iCs w:val="1"/>
          <w:u w:val="single" w:color="auto"/>
          <w:color w:val="0000FF"/>
        </w:rPr>
        <w:t>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December 2025, we initiated our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-6350</wp:posOffset>
            </wp:positionV>
            <wp:extent cx="13633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implement treasury management strategies and align with emerging financial technologies with an emphasis on privacy and payment processing.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Public Equity (PIPE) and Related Agreements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(the Shares) of Common Stock, at an offering price of $3.42 per share and (ii) pre-funded warrants (the Pre-Funded Warrants, and together with the Shares, the Securities), to purchase up to an aggregate of 6,022,869 shares of Common Stock, at an offering price of $3.4199 per Pre-Funded Warrant (the Offering).</w:t>
      </w:r>
    </w:p>
    <w:p>
      <w:pPr>
        <w:spacing w:after="0" w:line="68"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implementation of the Litecoin Treasury Strategy and a commitment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nononcology disease indications for potential out-licensing or sale related opportunities.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U.S. (U.S. GAAP) for interim financial information and in accordance with the instructions to Form 10-Q and Articles 8 and 10 of Regulation S-X. Accordingly, the condensed financial statements do not include all information and notes required by U.S. GAAP for complete financial statements. In the opinion of management, the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Lite Strategy, Inc. and our wholly owned subsidiary, Meadow Merger Sub, Inc. We have eliminated all intercompany accounts and transactions in consolidation.</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for the quarterly period ended December 31, 2025 should be read in conjunction with the audited financial statements and notes thereto as of and for the fiscal year ended June 30, 2025, included in our Annual Report on Form 10-K filed with the Securities and Exchange Commission (SEC) on September 26, 2025 (2025 Annual Report). Interim results are not necessarily indicative of results for a full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evaluated subsequent events through the date the condensed consolidated financial statements were issued.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Except as disclosed below for </w:t>
      </w:r>
      <w:r>
        <w:rPr>
          <w:rFonts w:ascii="Times New Roman" w:cs="Times New Roman" w:eastAsia="Times New Roman" w:hAnsi="Times New Roman"/>
          <w:sz w:val="18"/>
          <w:szCs w:val="18"/>
          <w:i w:val="1"/>
          <w:iCs w:val="1"/>
          <w:u w:val="single" w:color="auto"/>
          <w:color w:val="0000FF"/>
        </w:rPr>
        <w:t>Digital Assets, Digital Assets Receivable,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Derivatives - Covered Call Options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auto"/>
        </w:rPr>
        <w:t>, there have been no material changes to our significant accounting policies from those described in the notes to our audited consolidated financial statements contained in the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-313690</wp:posOffset>
            </wp:positionV>
            <wp:extent cx="44132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13250" cy="8890"/>
                    </a:xfrm>
                    <a:prstGeom prst="rect">
                      <a:avLst/>
                    </a:prstGeom>
                    <a:noFill/>
                  </pic:spPr>
                </pic:pic>
              </a:graphicData>
            </a:graphic>
          </wp:anchor>
        </w:drawing>
      </w:r>
    </w:p>
    <w:p>
      <w:pPr>
        <w:spacing w:after="0" w:line="43"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derivatives liabilities associated with our Covered Call Options (as defined below), valuation of share-based awards including warrants issued for services, clinical trial accruals, potential loss contingencies,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Custody and Operational Risks of Digital Assets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various risks including market risk, liquidity risk, and other risks related to our concentration in a single asset, LTC. Investing in LTC is highly speculative and volatile.</w:t>
      </w:r>
    </w:p>
    <w:p>
      <w:pPr>
        <w:spacing w:after="0" w:line="54"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Because the fair value of our digital assets is calculated by reference to the principal market price in accordance with U.S. GAAP, fluctuations in the price of LTC could materially and adversely affect an investment in us. LTC prices have been volatile and subject to influence by many factors, including LTC's levels of liquidity, which have historically been limited. If digital asset markets continue to experience significant price fluctuations, we may experience losses. During LTC's limited history, it has been subject to various factors affecting the price of LTC, including, but not limited to, global LTC supply and demand, compliance and internal control failures leading to the theft of LTC from global trading platforms or vaults, limited liquidity and trading volumes compared to sovereign currencies market and competition from other forms of digital currency or payment services, and global or regional political, economic or financial conditions.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is a risk that some or all our LTC could be lost or stolen. There can be no assurance that the custodian will maintain adequate insurance or that such coverage will cover losses with respect to our LTC. Further, transactions in LTC are irrevocable. Stolen or incorrectly transferred LTC may be irretrievable. Further, any LTC we hold with our custodians and transact with our trade execution partners does not enjoy the same protections as are available to cash or securities deposited with or transacted by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ind w:right="160"/>
        <w:spacing w:after="0" w:line="282" w:lineRule="auto"/>
        <w:rPr>
          <w:sz w:val="20"/>
          <w:szCs w:val="20"/>
          <w:color w:val="auto"/>
        </w:rPr>
      </w:pPr>
      <w:r>
        <w:rPr>
          <w:rFonts w:ascii="Times New Roman" w:cs="Times New Roman" w:eastAsia="Times New Roman" w:hAnsi="Times New Roman"/>
          <w:sz w:val="18"/>
          <w:szCs w:val="18"/>
          <w:color w:val="auto"/>
        </w:rPr>
        <w:t>subject to regulation by the Federal Deposit Insurance Corporation or the Securities Investor Protection Corporation. As a result, any incorrectly executed LTC transactions could adversely affect an investment in us.</w:t>
      </w:r>
    </w:p>
    <w:p>
      <w:pPr>
        <w:spacing w:after="0" w:line="54" w:lineRule="exact"/>
        <w:rPr>
          <w:sz w:val="20"/>
          <w:szCs w:val="20"/>
          <w:color w:val="auto"/>
        </w:rPr>
      </w:pPr>
    </w:p>
    <w:p>
      <w:pPr>
        <w:jc w:val="both"/>
        <w:ind w:right="80" w:firstLine="554"/>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to perform certain functions essential to our operations. Any disruptions to our service providers’ business operations resulting from business failures, financial instability, security failures, government mandated regulation or operational problems could have an adverse impact on our ability to access critical services and be disruptive to our operations.</w:t>
      </w:r>
    </w:p>
    <w:p>
      <w:pPr>
        <w:spacing w:after="0" w:line="68"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LTC is subject to a developing regulatory landscape. The SEC has stated that certain digital assets may be considered “securities” under federal securities laws but has been inconsistent in its nonbinding statements and informal assurances via no action letters. The test for determining whether a particular digital asset is a “security” is complex and difficult to apply, and the outcome is difficult to predict.</w:t>
      </w:r>
    </w:p>
    <w:p>
      <w:pPr>
        <w:spacing w:after="0" w:line="68"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we will be able to register under the Investment Company Act of 1940 at such time, or take such other actions as may be necessary to ensure our activities comply with applicable law, which could force us to liquidate our LTC holdings.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consider all highly liquid investments with a maturity date of three months or less, when purchased, to be cash equivalents. We maintain cash and cash equivalent balances at financial institutions insured by the Federal Deposit Insurance Corporation (FDIC). At times, deposits held may exceed the amount of insurance provided by the FDIC. We have not experienced any losses in our cash and cash equivalents and management believes we are not exposed to significant credit risk with respect to such accounts. Our cash equivalents are classified as Level 1 inputs within the fair value hierarchy.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further information on the fair value hierarchy</w:t>
      </w:r>
      <w:r>
        <w:rPr>
          <w:rFonts w:ascii="Times New Roman" w:cs="Times New Roman" w:eastAsia="Times New Roman" w:hAnsi="Times New Roman"/>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551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our Litecoin Treasury Strategy, we intend to hold our LTC for long-term investment purposes. We seek to generate returns on our LTC holdings, as LTC appreciates and actively pursue risk-adjusted return opportunities to generate cash flows that support our operating expenses. As a result, our LTC digital assets are included in long-term assets in the condensed consolidated balances sheets, due to our intent to retain and hold our LTC. Pursuant to Accounting Standards Codification (ASC) Topic 350-60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 Crypto Assets</w:t>
      </w:r>
      <w:r>
        <w:rPr>
          <w:rFonts w:ascii="Times New Roman" w:cs="Times New Roman" w:eastAsia="Times New Roman" w:hAnsi="Times New Roman"/>
          <w:sz w:val="18"/>
          <w:szCs w:val="18"/>
          <w:color w:val="auto"/>
        </w:rPr>
        <w:t xml:space="preserve"> (ASC 350-60) in-scope crypto assets are required to be measured at fair value in the statement of financial position, with gains and losses from changes in the fair value of such crypto assets recognized in net loss each reporting period.</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ASC 350-60 does not address the initial measurement, recognition, and derecognition of crypto assets. As such, our digital assets were initially recorded at cost plus fees in accordance with ASC 350-30 </w:t>
      </w:r>
      <w:r>
        <w:rPr>
          <w:rFonts w:ascii="Times New Roman" w:cs="Times New Roman" w:eastAsia="Times New Roman" w:hAnsi="Times New Roman"/>
          <w:sz w:val="18"/>
          <w:szCs w:val="18"/>
          <w:i w:val="1"/>
          <w:iCs w:val="1"/>
          <w:color w:val="auto"/>
        </w:rPr>
        <w:t>Intangibles - Goodwill and Other - General Intangibles Other Than Goodwill</w:t>
      </w:r>
      <w:r>
        <w:rPr>
          <w:rFonts w:ascii="Times New Roman" w:cs="Times New Roman" w:eastAsia="Times New Roman" w:hAnsi="Times New Roman"/>
          <w:sz w:val="18"/>
          <w:szCs w:val="18"/>
          <w:color w:val="auto"/>
        </w:rPr>
        <w:t>. Our digital assets are recorded at fair value at each reporting period with changes in fair value of digital assets included as a component of operating activities in the condensed consolidated statements of operations, as our LTC tokens could, if needed, be sold for use in our operations.</w:t>
      </w:r>
    </w:p>
    <w:p>
      <w:pPr>
        <w:spacing w:after="0" w:line="7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first purchase of LTC was on July 30, 2025. In accordance with ASC 350-60, our required adoption date was July 1, 2025 (beginning of the fiscal year that includes the interim period of adoption). LTC tokens are measured using Level 1 inputs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based on quoted prices from a principal market, Coinbase, as Coinbase has the highest trading volume of LTC tokens (LTC Tokens), the native cryptocurrency of LTC, and is the market in which we transact in LTC Tokens. We track the cost basis of our digital assets based upon a first-in-first-out methodology. See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color w:val="auto"/>
        </w:rPr>
        <w:t xml:space="preserve"> for further information. Except for digital assets pledged as collateral for our Covered Call Options (as defined below), our digital asset holdings are not subject to any contractual sale restrictions. Digital assets pledged as collateral are reported as digital assets receivable, net, and classified as long-term assets on the condensed consolidated balance sheets, consistent with our intent to primarily retain LTC under our Litecoin Treasury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-440690</wp:posOffset>
            </wp:positionV>
            <wp:extent cx="9963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Receivable,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In connection with these arrangements, we transfer LTC as collateral to GSR Markets, on a title-transfer basis. Upon transfer, we no longer have control of the specific LTC transferred; however, we retain a contractual right to receive the same quantity of LTC if the Covered Call Options expire unexercised.</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title transfer, the amount of LTC collateralized is reclassified from digital assets to digital assets receivable, net, in the condensed consolidated balance sheets. In addition, we recognize the difference between the fair value at the date of transfer and the initial purchase price of the LTC as a realized gain or loss within change in fair value of digital assets, a component of operating expenses in the condensed consolidated statements of operations. The digital assets receivable, net, is remeasured at fair value at each reporting date in accordance with ASC 350-60.</w:t>
      </w:r>
    </w:p>
    <w:p>
      <w:pPr>
        <w:spacing w:after="0" w:line="72"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When Covered Call Options expire unexercised, GSR Markets may either return the LTC to us or retain the LTC to support future Covered Call Option contracts. If the LTC is retained by GSR Markets after expiration, the balance continues to be reported as digital assets receivable, net and remeasured at fair value. If the LTC is returned to us, the receivable is derecognized by reclassifying the fair value of the LTC to digital assets in the condensed consolidated balance sheets.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When Covered Call Options are exercised, the associated digital assets receivable, net, is derecognized as the underlying LTC is retained by GSR Markets and removed from our collateral balance held by GSR Markets. Gains or losses related to the exercise of Covered Call Options are recorded within gain on derivative liabilities or loss on derivatives liabilities, respectively, within other expense (income), net, in the condensed consolidated statements of operations.</w:t>
      </w:r>
    </w:p>
    <w:p>
      <w:pPr>
        <w:spacing w:after="0" w:line="7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evaluate our digital assets receivable for expected credit losses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Our assessment considers, among other factors, the short-term nature of the Covered Call Options contractual term, the creditworthiness and risk management practices of GSR, the amount of LTC collateralized, and historical loss experience. As of December 31, 2025, we concluded expected credit losses were immaterial and, therefore, recorded no allowance for credit losses related to our digital assets receivable,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financial instruments consist primarily of cash and cash equivalents, prepaid expenses and other current assets, digital assets, including Covered Call Options, digital assets receivable, net, accounts payable, accrued liabilities and Advisory Warrants (as defined below). The carrying amounts of cash and cash equivalents, prepaid expenses and other current assets, accounts payable and accrued liabilities are considered to be representative of their respective fair values because of the relatively short-term nature of those instruments. For information regarding the fair value of our digital assets and our Covered Call Options, see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-34290</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 Covered Call Options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to generate cash flows on a portion of our LTC, we sell Covered Call Options. These options do not qualify as accounting hedges under ASC 815 (as defined below); however, we consider them to be economic hedges. We classify our Covered Call Options as derivative liabilities, which are recorded within the accrued liabilities line item in the condensed consolidated balance sheets, and accordingly recorded at fair value at inception and subsequently remeasured at fair value at each reporting date. Changes in fair value of our Covered Call Options and/or realized gains on Covered Call Options which expire unexercised are recognized upon settlement (expiration) of the related Covered Call Option contract within gain on derivative liabilities, a component of other (expense) income, net, in the condensed consolidated statements of operations.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notional amount of Covered Call Options represents the quantity of digital assets underlying the option contracts multiplied by the spot entry price when the contract is written. Notional amounts are not recorded on the balance sheet and do not represent our maximum exposure to loss, which is limited to the opportunity cost of foregone appreciation in the underlying digital assets above the strike price. Premiums received from the sale of Covered Call Options are recorded as cash inflows within investing activities in the condensed consolidated statements of cash flows. See </w:t>
      </w:r>
      <w:r>
        <w:rPr>
          <w:rFonts w:ascii="Times New Roman" w:cs="Times New Roman" w:eastAsia="Times New Roman" w:hAnsi="Times New Roman"/>
          <w:sz w:val="18"/>
          <w:szCs w:val="18"/>
          <w:i w:val="1"/>
          <w:iCs w:val="1"/>
          <w:u w:val="single" w:color="auto"/>
          <w:color w:val="0000FF"/>
        </w:rPr>
        <w:t>Note 8. Derivatives</w:t>
      </w:r>
      <w:r>
        <w:rPr>
          <w:rFonts w:ascii="Times New Roman" w:cs="Times New Roman" w:eastAsia="Times New Roman" w:hAnsi="Times New Roman"/>
          <w:sz w:val="18"/>
          <w:szCs w:val="18"/>
          <w:color w:val="auto"/>
        </w:rPr>
        <w:t xml:space="preserve"> for additional information related to our Covered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5919470</wp:posOffset>
            </wp:positionH>
            <wp:positionV relativeFrom="paragraph">
              <wp:posOffset>-171450</wp:posOffset>
            </wp:positionV>
            <wp:extent cx="8851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Loan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7. Master Loan Agreement</w:t>
      </w:r>
      <w:r>
        <w:rPr>
          <w:rFonts w:ascii="Times New Roman" w:cs="Times New Roman" w:eastAsia="Times New Roman" w:hAnsi="Times New Roman"/>
          <w:sz w:val="18"/>
          <w:szCs w:val="18"/>
          <w:color w:val="auto"/>
        </w:rPr>
        <w:t>, we entered into a master loan agreement (the MLA) with BitGo Prime (the Lender). The MLA provides a framework under which we may borrow digital assets or cash from the Lender, from time-to-time. Each loan is documented in a separate loan request agreed to by the parties setting forth the specific terms, including principal amount, fees, collateral requirements and the date on which the loan is to commence and mature (each a Loan). Each Loan may have a fixed term, or may include a call option or prepayment option, as specified in each loan request. In general, either party may terminate a Loan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-581660</wp:posOffset>
            </wp:positionV>
            <wp:extent cx="14693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 w:name="page11"/>
    <w:bookmarkEnd w:id="10"/>
    <w:p>
      <w:pPr>
        <w:ind w:right="340"/>
        <w:spacing w:after="0" w:line="282" w:lineRule="auto"/>
        <w:rPr>
          <w:sz w:val="20"/>
          <w:szCs w:val="20"/>
          <w:color w:val="auto"/>
        </w:rPr>
      </w:pPr>
      <w:r>
        <w:rPr>
          <w:rFonts w:ascii="Times New Roman" w:cs="Times New Roman" w:eastAsia="Times New Roman" w:hAnsi="Times New Roman"/>
          <w:sz w:val="18"/>
          <w:szCs w:val="18"/>
          <w:color w:val="auto"/>
        </w:rPr>
        <w:t>providing notice within the time frame set forth in the respective Loan. Upon termination, the borrowed digital assets or cash must be returned, and the related collateral released.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account for the Pre-Funded Warrants issued in the PIPE as equity-classified instruments based on an assessment of the Pre-Funded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Pre-Funded Warrants are freestanding financial instruments pursuant to ASC 480, meet the definition of a liability pursuant to ASC 480, and meet all the requirements for equity classification under ASC 815, including but not limited to, whether the Pre-Funded Warrants are indexed to our own Common Stock and whether the Pre-Funded Warrant holders could potentially require “net cash settlement” in a circumstance outside our control. This assessment, which requires the use of professional judgment, is conducted at the time of the Pre-Funded Warrant's issuance and as of each subsequent quarterly period end date while the Pre-Funded Warrants are outstanding.</w:t>
      </w:r>
    </w:p>
    <w:p>
      <w:pPr>
        <w:spacing w:after="0" w:line="8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For other warrants that meet all criteria for equity classification, such warrants are required to be recorded as additional paid-in capital in the condensed consolidated balance sheets at the time of issuance.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issued the following warrants for services rendered in connection with the PIPE: (i) the Asset Manager GSR 1 Warrant (AMA GSR 1 Warrant),</w:t>
      </w:r>
    </w:p>
    <w:p>
      <w:pPr>
        <w:spacing w:after="0" w:line="27" w:lineRule="exact"/>
        <w:rPr>
          <w:sz w:val="20"/>
          <w:szCs w:val="20"/>
          <w:color w:val="auto"/>
        </w:rPr>
      </w:pPr>
    </w:p>
    <w:p>
      <w:pPr>
        <w:ind w:right="20" w:firstLine="8"/>
        <w:spacing w:after="0" w:line="251"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Manager GSR 2 Warrant (AMA GSR 2 Warrant), (iii) Asset Manager GSR 3 Warrant (AMA GSR 3 Warrant), (iv) Asset Manager GSR 4 Warrant (AMA GSR 4 Warrant), (v) Placement Agent (PA) Warrant and (vi) Strategic Advisor (SA) Warrant (collectively the Advisory Warrants), and we issued the Asset Manager's Pre-Funded Warrant (AMA Pre-Funded Warrant) after the Closing Date. The Advisory Warrants are accounted for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which requires us to recognize the fair value of the Advisory Warrants at either (i) the fair value of the equity instruments issued or (ii) the liabilities settled. The fair value of the Advisory Warrants was determined based upon the Common Stock underlying the Advisory Warrants using the Black-Scholes-Merton (BSM) option pricing model (BSM Model) based on the applicable assumptions, which include the exercise price of the warrants, our stock price and historical volatility, the expected warrant term, the risk-free interest rate, the expected dividends, and if applicable, the vesting behavior.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 and a summary of the Warrants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-165100</wp:posOffset>
            </wp:positionV>
            <wp:extent cx="8470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65"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the AMA Pre-Funded Warrant along with the GSR Pre-Funded Warrants issued in September 2025 as payment of the annual Asset-based Fee under the GSR Asset Management Agreement and the GD Advisory Warrants issued in October 2025 in settlement of the Annual Advisory Fee with Green Dragon Investment LLC (Green Dragon) were determined by the settlement amount of the Asset-based Fee and the Annual Advisory Fee, respectively. The GSR Pre-Funded Warrants, the GD Advisory Warrants and their agreements under which they were issued are further discussed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and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-34290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For fully vested, nonforfeitable equity instruments granted at the date we and a nonemployee enter into an agreement for goods or services, we recognize the equity instruments when they are granted. The corresponding cost is recognized as an immediate expense or a prepaid asset depending on the specific facts and circumstances of the agreement with the nonemployee. For the three and six months ended December 31, 2025, 546,348 Pre-Funded Warrants were issued as fully vested, nonforfeitable equity instruments to a nonemployee. The agreement with the nonemployee does not include any provisions to claw back the share-based payments in the event of nonperformance by the nonemployee. Before July 21, 2026, GSR is expected to provide asset management services related to our LTC holdings under the GSR Asset Management Agreement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entered into by us and GSR. As of December 31, 2025, we recorded $1.1 million in current unamortized deferred prepaid assets associated with the GSR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-303530</wp:posOffset>
            </wp:positionV>
            <wp:extent cx="1672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weighted-average number of shares of common stock outstanding during the period, without consideration for common stock equivalents. Issued and outstanding warrants to purchase shares of our Common Stock are included in the calculation of basic net loss per common share if the exercise price of the warrants represents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consideration and is nonsubstantive in relation to the price paid for the warrant and if the warrants are immediately exercisable with no further vesting conditions or contingencies associated with them. The 546,348 shares of our Common Stock underlying Pre-Funded Warrants, as described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and 58,537 shares of our Common Stock underlying the vested portion of our GD Advisory Warrants are included in the calculation of our weighted-average shares used in computing net loss per share, basic and diluted due to their nominal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-305435</wp:posOffset>
            </wp:positionV>
            <wp:extent cx="847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6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consider our Pre-Funded Warrants, including the GSR Pre-Funded Warrants and our Advisory Warrants, including the GD Advisory Warrant (collectively, the Warrants) to be participating securities, because the holders of such instruments participate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ind w:right="120"/>
        <w:spacing w:after="0" w:line="261" w:lineRule="auto"/>
        <w:rPr>
          <w:sz w:val="20"/>
          <w:szCs w:val="20"/>
          <w:color w:val="auto"/>
        </w:rPr>
      </w:pPr>
      <w:r>
        <w:rPr>
          <w:rFonts w:ascii="Times New Roman" w:cs="Times New Roman" w:eastAsia="Times New Roman" w:hAnsi="Times New Roman"/>
          <w:sz w:val="18"/>
          <w:szCs w:val="18"/>
          <w:color w:val="auto"/>
        </w:rPr>
        <w:t>a dividend is paid on common stock. The holders of the Warrants do not have a contractual obligation to share in our losses. Because such losses are attributable entirely to common stockholders, for periods in which we have reported a net loss, diluted loss per common share is the same as basic loss per common share. Diluted net loss per share is calculated by dividing the net loss by the weighted-average number of common stock and common stock equivalents outstanding for the period determined using the treasury-stock method.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each of the periods presented, basic and diluted net loss per share were the same.</w:t>
      </w:r>
    </w:p>
    <w:p>
      <w:pPr>
        <w:spacing w:after="0" w:line="11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per share because of their anti-dilutive effect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6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26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4580" w:type="dxa"/>
            <w:vAlign w:val="bottom"/>
          </w:tcPr>
          <w:p>
            <w:pPr>
              <w:spacing w:after="0"/>
              <w:rPr>
                <w:sz w:val="20"/>
                <w:szCs w:val="20"/>
                <w:color w:val="auto"/>
              </w:rPr>
            </w:pPr>
          </w:p>
        </w:tc>
        <w:tc>
          <w:tcPr>
            <w:tcW w:w="18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45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Advisory Warrants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GD Advisory Warrant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warrant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2023-08,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Other—Crypto Assets (Subtopic 350-60): Accounting for and Disclosure of Crypto Assets </w:t>
      </w:r>
      <w:r>
        <w:rPr>
          <w:rFonts w:ascii="Times New Roman" w:cs="Times New Roman" w:eastAsia="Times New Roman" w:hAnsi="Times New Roman"/>
          <w:sz w:val="18"/>
          <w:szCs w:val="18"/>
          <w:color w:val="auto"/>
        </w:rPr>
        <w:t>(ASC 350-60). The amendments in ASC 350-60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intended to improve the accounting for certain crypto assets by requiring an entity to measure those crypto assets at fair value each reporting period with changes in fair value recognized in net income. The amendments also improve the information provided to investors about an entity’s crypto asset holdings by requiring disclosure about significant holdings, contractual sale restrictions, and changes during the reporting period. The amendments were effective for us beginning July 1, 2025. ASC 350-60 requires a cumulative-effect adjustment to the opening balance of retained earnings (or other appropriate components of equity or net assets) as of the beginning of the annual reporting period in which an entity adopts the amendments. As we did not hold cryptocurrency prior to July 30, 2025, the adoption of ASC 350-60 did not impact our financial position, results of operations or cash flows. See </w:t>
      </w:r>
      <w:r>
        <w:rPr>
          <w:rFonts w:ascii="Times New Roman" w:cs="Times New Roman" w:eastAsia="Times New Roman" w:hAnsi="Times New Roman"/>
          <w:sz w:val="18"/>
          <w:szCs w:val="18"/>
          <w:i w:val="1"/>
          <w:iCs w:val="1"/>
          <w:u w:val="single" w:color="auto"/>
          <w:color w:val="0000FF"/>
        </w:rPr>
        <w:t>Digital 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discussion within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related disclosures related to our LTC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695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95440" cy="8255"/>
                    </a:xfrm>
                    <a:prstGeom prst="rect">
                      <a:avLst/>
                    </a:prstGeom>
                    <a:noFill/>
                  </pic:spPr>
                </pic:pic>
              </a:graphicData>
            </a:graphic>
          </wp:anchor>
        </w:drawing>
      </w:r>
    </w:p>
    <w:p>
      <w:pPr>
        <w:spacing w:after="0" w:line="57"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xml:space="preserve">. The amendments in this update apply to all entities that provide interim financial statements and notes in accordance with GAAP. The amendments in this update include guidance about what is meant by the phrase </w:t>
      </w:r>
      <w:r>
        <w:rPr>
          <w:rFonts w:ascii="Times New Roman" w:cs="Times New Roman" w:eastAsia="Times New Roman" w:hAnsi="Times New Roman"/>
          <w:sz w:val="18"/>
          <w:szCs w:val="18"/>
          <w:i w:val="1"/>
          <w:iCs w:val="1"/>
          <w:color w:val="auto"/>
        </w:rPr>
        <w:t>interim financial statements and notes in accordance with GAAP,</w:t>
      </w:r>
      <w:r>
        <w:rPr>
          <w:rFonts w:ascii="Times New Roman" w:cs="Times New Roman" w:eastAsia="Times New Roman" w:hAnsi="Times New Roman"/>
          <w:sz w:val="18"/>
          <w:szCs w:val="18"/>
          <w:color w:val="auto"/>
        </w:rPr>
        <w:t xml:space="preserve"> including referencing SEC requirement for entities to which those requirements apply. As permitted under ASU 2025-11, we early adopted this update effective October 1, 2025, on a retrospective basis. Adoption of ASU 2025-11 did not have a financial impact on our condensed consolidated financial position, results of operations or cash flows in all periods presented. Due to the adoption of ASU 2025-11, we removed our lease footnote disclosure as there were no significant changes from the prior year, and no other footnote disclosures were removed and or added upon adoption of ASU 2025-11.</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and any issued but not yet effective standards will not have a material impact on our condensed consolidated financial statements upon adoption.</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ind w:right="520"/>
        <w:spacing w:after="0" w:line="282" w:lineRule="auto"/>
        <w:rPr>
          <w:sz w:val="20"/>
          <w:szCs w:val="20"/>
          <w:color w:val="auto"/>
        </w:rPr>
      </w:pPr>
      <w:r>
        <w:rPr>
          <w:rFonts w:ascii="Times New Roman" w:cs="Times New Roman" w:eastAsia="Times New Roman" w:hAnsi="Times New Roman"/>
          <w:sz w:val="18"/>
          <w:szCs w:val="18"/>
          <w:color w:val="auto"/>
        </w:rPr>
        <w:t>disclosures for all periods presented. We expect this ASU to only impact our disclosures with no impact to our results of operations, cash flows, and financial condition.</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amendments in this update require disclosure, in the notes to the financial statements, of specific expense categories present within expense captions presented on the face of the statements of operations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FASB issued ASU No. 2025-01, Income Statement—Reporting Comprehensive Income—Expense Disaggregation Disclosures (Subtopic 220-40): Clarifying the Effective Date. The amendment in this update clarifies the effective date of ASU 2024-03, which is that public business 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100% bonus depreciation, domestic research cost expensing and the business interest expense limitation, among other tax changes. Many of the tax provisions of the OBBBA are designed to accelerate tax deductions, which could lead to lower cash tax payments. The new legislation has multiple effective dates, with certain provisions effective in 2025 and others in the future. While we continue to assess the impact of the tax provisions of the OBBBA on our condensed consolidated financial statements, we currently believe that the tax provisions of the legislation are not expected to have a material impact on our statement of operations.</w:t>
      </w:r>
    </w:p>
    <w:p>
      <w:pPr>
        <w:spacing w:after="0" w:line="7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(ASU 2025-12). The amendments in this update represent changes to the Codification that (1) clarify, (2) correct errors, or (3) make minor improvements. The amendments make the Codification easier to understand and apply. An entity should apply the amendments in this update (except for the amendments to Topic 206, Earnings Per Share, related to Issue</w:t>
      </w:r>
    </w:p>
    <w:p>
      <w:pPr>
        <w:spacing w:after="0" w:line="1" w:lineRule="exact"/>
        <w:rPr>
          <w:sz w:val="20"/>
          <w:szCs w:val="20"/>
          <w:color w:val="auto"/>
        </w:rPr>
      </w:pPr>
    </w:p>
    <w:p>
      <w:pPr>
        <w:ind w:right="100" w:firstLine="8"/>
        <w:spacing w:after="0" w:line="253"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prospectively to all transactions recognized on or after the date that the entity first applies the amendments or retrospectively to the beginning of the earliest comparative period presented. Entities may elect the transition method on an issue-by-issue basis. The amendments in this update clarify the effective date of ASU 2024-03, which is that public business entities are required to adopt the guidance in annual reporting periods beginning after December 15, 2026 and in interim periods within those annual reporting periods. Early adoption is permitted in both interim and annual reporting periods. The impact of adoption of this ASU on our disclosures is currently being evaluated.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gridSpan w:val="3"/>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 management fee</w:t>
            </w: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Software license</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8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51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 - Covered Call Options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 w:type="dxa"/>
            <w:vAlign w:val="bottom"/>
          </w:tcPr>
          <w:p>
            <w:pPr>
              <w:spacing w:after="0"/>
              <w:rPr>
                <w:sz w:val="18"/>
                <w:szCs w:val="18"/>
                <w:color w:val="auto"/>
              </w:rPr>
            </w:pPr>
          </w:p>
        </w:tc>
        <w:tc>
          <w:tcPr>
            <w:tcW w:w="5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-1670685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-1653540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-1670685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-1653540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3" w:name="page14"/>
    <w:bookmarkEnd w:id="13"/>
    <w:p>
      <w:pPr>
        <w:ind w:left="820" w:right="700" w:hanging="303"/>
        <w:spacing w:after="0" w:line="284" w:lineRule="auto"/>
        <w:tabs>
          <w:tab w:leader="none" w:pos="77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employee termination benefits of approximately $0.7 million as of June 30, 2025, as more fully described in </w:t>
      </w:r>
      <w:r>
        <w:rPr>
          <w:rFonts w:ascii="Times New Roman" w:cs="Times New Roman" w:eastAsia="Times New Roman" w:hAnsi="Times New Roman"/>
          <w:sz w:val="18"/>
          <w:szCs w:val="18"/>
          <w:i w:val="1"/>
          <w:iCs w:val="1"/>
          <w:u w:val="single" w:color="auto"/>
          <w:color w:val="0000FF"/>
        </w:rPr>
        <w:t>Note 6.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Termination Benefits</w:t>
      </w:r>
      <w:r>
        <w:rPr>
          <w:rFonts w:ascii="Times New Roman" w:cs="Times New Roman" w:eastAsia="Times New Roman" w:hAnsi="Times New Roman"/>
          <w:sz w:val="18"/>
          <w:szCs w:val="18"/>
          <w:color w:val="000000"/>
        </w:rPr>
        <w:t>.</w:t>
      </w:r>
    </w:p>
    <w:p>
      <w:pPr>
        <w:spacing w:after="0" w:line="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-347980</wp:posOffset>
            </wp:positionV>
            <wp:extent cx="8375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-210820</wp:posOffset>
            </wp:positionV>
            <wp:extent cx="9613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0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did not hold digital assets. The following table summarizes our digital asset holdings as of December 31, 2025 (in thousands, except quantity):</w:t>
      </w:r>
    </w:p>
    <w:p>
      <w:pPr>
        <w:sectPr>
          <w:pgSz w:w="11900" w:h="16838" w:orient="portrait"/>
          <w:cols w:equalWidth="0" w:num="1">
            <w:col w:w="11240"/>
          </w:cols>
          <w:pgMar w:left="320" w:top="10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Digital assets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Digital assets receivable, net </w:t>
      </w:r>
      <w:r>
        <w:rPr>
          <w:rFonts w:ascii="Times New Roman" w:cs="Times New Roman" w:eastAsia="Times New Roman" w:hAnsi="Times New Roman"/>
          <w:sz w:val="23"/>
          <w:szCs w:val="23"/>
          <w:color w:val="auto"/>
          <w:vertAlign w:val="superscript"/>
        </w:rPr>
        <w:t>(1)</w:t>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digital assets</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1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833,748</w:t>
            </w:r>
          </w:p>
        </w:tc>
        <w:tc>
          <w:tcPr>
            <w:tcW w:w="2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89,153</w:t>
            </w:r>
          </w:p>
        </w:tc>
        <w:tc>
          <w:tcPr>
            <w:tcW w:w="22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63,970</w:t>
            </w:r>
          </w:p>
        </w:tc>
      </w:tr>
      <w:tr>
        <w:trPr>
          <w:trHeight w:val="23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r>
      <w:tr>
        <w:trPr>
          <w:trHeight w:val="209"/>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929,548</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71,320</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-445135</wp:posOffset>
            </wp:positionV>
            <wp:extent cx="641223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-162560</wp:posOffset>
            </wp:positionV>
            <wp:extent cx="641223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4540" w:space="720"/>
            <w:col w:w="5980"/>
          </w:cols>
          <w:pgMar w:left="320" w:top="1024" w:right="339" w:bottom="1440" w:gutter="0" w:footer="0" w:header="0"/>
          <w:type w:val="continuous"/>
        </w:sectPr>
      </w:pPr>
    </w:p>
    <w:p>
      <w:pPr>
        <w:ind w:left="780" w:hanging="263"/>
        <w:spacing w:after="0"/>
        <w:tabs>
          <w:tab w:leader="none" w:pos="7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receivable, net, include LTC pledged as collateral and those unencumbered but residing with GSR.</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1540" w:right="140" w:hanging="778"/>
        <w:spacing w:after="0" w:line="312" w:lineRule="auto"/>
        <w:rPr>
          <w:sz w:val="20"/>
          <w:szCs w:val="20"/>
          <w:color w:val="auto"/>
        </w:rPr>
      </w:pPr>
      <w:r>
        <w:rPr>
          <w:rFonts w:ascii="Times New Roman" w:cs="Times New Roman" w:eastAsia="Times New Roman" w:hAnsi="Times New Roman"/>
          <w:sz w:val="17"/>
          <w:szCs w:val="17"/>
          <w:color w:val="auto"/>
        </w:rPr>
        <w:t>Level 2 - Inputs other than Level 1 that are observable, either directly or indirectly, such as quoted prices in markets that are not active, or other inputs that are observable or can be corroborated by observable market data for substantially the full term of the assets or liabilities.</w:t>
      </w:r>
    </w:p>
    <w:p>
      <w:pPr>
        <w:spacing w:after="0" w:line="32" w:lineRule="exact"/>
        <w:rPr>
          <w:sz w:val="20"/>
          <w:szCs w:val="20"/>
          <w:color w:val="auto"/>
        </w:rPr>
      </w:pPr>
    </w:p>
    <w:p>
      <w:pPr>
        <w:ind w:left="1540" w:right="720" w:hanging="77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and that are significant to the fair value of the assets or liabilities.</w:t>
      </w:r>
    </w:p>
    <w:p>
      <w:pPr>
        <w:spacing w:after="0" w:line="162"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We review the fair value hierarchy classification at each reporting period. As of December 31, 2025 and June 30, 2025, we had no financial assets or liabilities measured at fair value on a nonrecurring basis. As of June 30, 2025, we had no financial liabilities measured at fair value on a recurring basis.</w:t>
      </w:r>
    </w:p>
    <w:p>
      <w:pPr>
        <w:spacing w:after="0" w:line="6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our financial assets measured at fair value, on a recurring basis, consisted of our cash equivalents of $17.8 million. The following table presents our financial assets and liabilities measured at fair value on a recurring basis as of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36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4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 measured on a recurring basis</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77,882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 - Covered Call Options</w:t>
            </w:r>
          </w:p>
        </w:tc>
        <w:tc>
          <w:tcPr>
            <w:tcW w:w="1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 w:type="dxa"/>
            <w:vAlign w:val="bottom"/>
          </w:tcPr>
          <w:p>
            <w:pPr>
              <w:spacing w:after="0"/>
              <w:rPr>
                <w:sz w:val="16"/>
                <w:szCs w:val="16"/>
                <w:color w:val="auto"/>
              </w:rPr>
            </w:pPr>
          </w:p>
        </w:tc>
        <w:tc>
          <w:tcPr>
            <w:tcW w:w="364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liabilities measured on a recurring</w:t>
            </w:r>
          </w:p>
        </w:tc>
        <w:tc>
          <w:tcPr>
            <w:tcW w:w="1360" w:type="dxa"/>
            <w:vAlign w:val="bottom"/>
            <w:gridSpan w:val="2"/>
            <w:vMerge w:val="restart"/>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28</w:t>
            </w:r>
          </w:p>
        </w:tc>
        <w:tc>
          <w:tcPr>
            <w:tcW w:w="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4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basis</w:t>
            </w:r>
          </w:p>
        </w:tc>
        <w:tc>
          <w:tcPr>
            <w:tcW w:w="1360" w:type="dxa"/>
            <w:vAlign w:val="bottom"/>
            <w:gridSpan w:val="2"/>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420" w:type="dxa"/>
            <w:vAlign w:val="bottom"/>
            <w:gridSpan w:val="2"/>
            <w:vMerge w:val="continue"/>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400" w:type="dxa"/>
            <w:vAlign w:val="bottom"/>
            <w:gridSpan w:val="2"/>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1"/>
        </w:trPr>
        <w:tc>
          <w:tcPr>
            <w:tcW w:w="580" w:type="dxa"/>
            <w:vAlign w:val="bottom"/>
            <w:tcBorders>
              <w:bottom w:val="single" w:sz="8" w:color="9A9A9A"/>
            </w:tcBorders>
          </w:tcPr>
          <w:p>
            <w:pPr>
              <w:spacing w:after="0"/>
              <w:rPr>
                <w:sz w:val="24"/>
                <w:szCs w:val="24"/>
                <w:color w:val="auto"/>
              </w:rPr>
            </w:pPr>
          </w:p>
        </w:tc>
        <w:tc>
          <w:tcPr>
            <w:tcW w:w="364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CFF0FC"/>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-2489200</wp:posOffset>
            </wp:positionV>
            <wp:extent cx="939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-2489200</wp:posOffset>
            </wp:positionV>
            <wp:extent cx="8572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-2489200</wp:posOffset>
            </wp:positionV>
            <wp:extent cx="8509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-2489200</wp:posOffset>
            </wp:positionV>
            <wp:extent cx="8572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-1773555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-1773555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-1773555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-1773555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-916305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-933450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-916305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-933450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digital assets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digital assets</w:t>
            </w:r>
          </w:p>
        </w:tc>
        <w:tc>
          <w:tcPr>
            <w:tcW w:w="10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digital assets</w:t>
            </w:r>
          </w:p>
        </w:tc>
        <w:tc>
          <w:tcPr>
            <w:tcW w:w="10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(631)</w:t>
            </w:r>
          </w:p>
        </w:tc>
      </w:tr>
      <w:tr>
        <w:trPr>
          <w:trHeight w:val="196"/>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0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99,369</w:t>
            </w:r>
          </w:p>
        </w:tc>
        <w:tc>
          <w:tcPr>
            <w:tcW w:w="120" w:type="dxa"/>
            <w:vAlign w:val="bottom"/>
            <w:tcBorders>
              <w:top w:val="single" w:sz="8" w:color="CFF0FC"/>
            </w:tcBorders>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digital assets</w:t>
            </w:r>
          </w:p>
        </w:tc>
        <w:tc>
          <w:tcPr>
            <w:tcW w:w="10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(26,516)</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Digital assets transferred as collateral</w:t>
            </w:r>
          </w:p>
        </w:tc>
        <w:tc>
          <w:tcPr>
            <w:tcW w:w="10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(10,696)</w:t>
            </w:r>
          </w:p>
        </w:tc>
      </w:tr>
      <w:tr>
        <w:trPr>
          <w:trHeight w:val="20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Digital assets returned by GSR Markets</w:t>
            </w:r>
          </w:p>
        </w:tc>
        <w:tc>
          <w:tcPr>
            <w:tcW w:w="10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63,970</w:t>
            </w:r>
          </w:p>
        </w:tc>
        <w:tc>
          <w:tcPr>
            <w:tcW w:w="12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-685165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-162560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Employee Termination Benefits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which was completed during fiscal year 2024.</w:t>
      </w:r>
    </w:p>
    <w:p>
      <w:pPr>
        <w:spacing w:after="0" w:line="6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in connection with our announcement to evaluate strategic alternatives as described in </w:t>
      </w:r>
      <w:r>
        <w:rPr>
          <w:rFonts w:ascii="Times New Roman" w:cs="Times New Roman" w:eastAsia="Times New Roman" w:hAnsi="Times New Roman"/>
          <w:sz w:val="18"/>
          <w:szCs w:val="18"/>
          <w:i w:val="1"/>
          <w:iCs w:val="1"/>
          <w:u w:val="single" w:color="auto"/>
          <w:color w:val="0000FF"/>
        </w:rPr>
        <w:t>Note 1. Description of Business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Presentation</w:t>
      </w:r>
      <w:r>
        <w:rPr>
          <w:rFonts w:ascii="Times New Roman" w:cs="Times New Roman" w:eastAsia="Times New Roman" w:hAnsi="Times New Roman"/>
          <w:sz w:val="18"/>
          <w:szCs w:val="18"/>
          <w:color w:val="000000"/>
        </w:rPr>
        <w:t>, we commenced the Strategic Alternatives RIF. All activities related to the Strategic Alternatives RIF were completed as of September 30,</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2025. Total charges incurred for the Strategic Alternatives RIF totaled $5.9 million which included charges for retention, contractual pro rata fiscal year 2025 bonuses, severance and COBRA costs related to the termination of our employees due to our related wind down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-447040</wp:posOffset>
            </wp:positionV>
            <wp:extent cx="2065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5835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2025, no employee termination benefits were recognized. During the six months ended December 31, 2025, we recorded employee termination benefits of $0.1 million within general and administrative expense. During the three months ended December 31, 2024, we recorded employee termination benefits of $0.3 million within research and development expense and $0.9 million within general and administrative expense. During the six months ended December 31, 2024, we recorded employee termination benefits of $1.6 million within research and development expense and $2.7 million within general and administrative expense. All one-time termination benefits were associated with our development of pharmaceutical products segment.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tc>
        <w:tc>
          <w:tcPr>
            <w:tcW w:w="0" w:type="dxa"/>
            <w:vAlign w:val="bottom"/>
          </w:tcPr>
          <w:p>
            <w:pPr>
              <w:spacing w:after="0"/>
              <w:rPr>
                <w:sz w:val="1"/>
                <w:szCs w:val="1"/>
                <w:color w:val="auto"/>
              </w:rPr>
            </w:pPr>
          </w:p>
        </w:tc>
      </w:tr>
      <w:tr>
        <w:trPr>
          <w:trHeight w:val="238"/>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40" w:type="dxa"/>
            <w:vAlign w:val="bottom"/>
          </w:tcPr>
          <w:p>
            <w:pPr>
              <w:spacing w:after="0"/>
              <w:rPr>
                <w:sz w:val="20"/>
                <w:szCs w:val="20"/>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5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9"/>
        </w:trPr>
        <w:tc>
          <w:tcPr>
            <w:tcW w:w="7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4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730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40" w:type="dxa"/>
            <w:vAlign w:val="bottom"/>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Master Loan Agreement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September 3, 2025 (the MLA Date), we entered into the MLA with the Lender. The MLA provides a framework under which we may borrow any digital assets or cash from the Lender, from time-to-time. We must request a loan from the Lender with the Loan Request. Once approved by the Lender, a loan will be documented in a loan agreement (each, a Loan Agreement).</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Loan may have a fixed term, or may include a call option or prepayment option, as specified in each Loan Request. In general, either party may terminate a Loan Agreement by providing notice within the time frame set forth in the Loan Agreement. Upon termination, the borrowed digital assets or cash must be returned and the related collateral released.</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Borrowings under a Loan Agreement are secured by collateral in favor of the Lender. Collateral may include cash or other forms agreed upon by the Parties (as defined in the applicable Loan Agreement). The collateral's required value is typically higher than the borrowed amount, subject to margin calls as set form in the applicable Loan Agreement. If the value of the posted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5" w:name="page16"/>
    <w:bookmarkEnd w:id="15"/>
    <w:p>
      <w:pPr>
        <w:ind w:right="120"/>
        <w:spacing w:after="0" w:line="282" w:lineRule="auto"/>
        <w:rPr>
          <w:sz w:val="20"/>
          <w:szCs w:val="20"/>
          <w:color w:val="auto"/>
        </w:rPr>
      </w:pPr>
      <w:r>
        <w:rPr>
          <w:rFonts w:ascii="Times New Roman" w:cs="Times New Roman" w:eastAsia="Times New Roman" w:hAnsi="Times New Roman"/>
          <w:sz w:val="18"/>
          <w:szCs w:val="18"/>
          <w:color w:val="auto"/>
        </w:rPr>
        <w:t>falls below the margin call threshold, we must promptly post additional collateral. Failure to maintain sufficient collateral can result in an event of default and remedies available to the Lender, including the right to liquidate pledged collateral.</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MLA contains representations and warranties and affirmative and negative covenants customary for financings of this type, as well as customary events of default.</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evaluated the MLA and determined as of the MLA Date, the MLA does not represent a loan commitment in accordance with U.S. GAAP. As of December 31, 2025, we had not requested any Loans nor did we have any Loan Agreements outstanding under the MLA.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condensed consolidated balance sheets classification of derivatives carried at fair value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30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32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Balance Sheet Line</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Covered Call Options</w:t>
            </w:r>
          </w:p>
        </w:tc>
        <w:tc>
          <w:tcPr>
            <w:tcW w:w="32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32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derivatives</w:t>
            </w:r>
          </w:p>
        </w:tc>
        <w:tc>
          <w:tcPr>
            <w:tcW w:w="3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-612140</wp:posOffset>
            </wp:positionV>
            <wp:extent cx="85725"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-612140</wp:posOffset>
            </wp:positionV>
            <wp:extent cx="8572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condensed statements of operations classification of derivatives carried at fair value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Three and Six</w:t>
            </w:r>
          </w:p>
        </w:tc>
      </w:tr>
      <w:tr>
        <w:trPr>
          <w:trHeight w:val="216"/>
        </w:trPr>
        <w:tc>
          <w:tcPr>
            <w:tcW w:w="40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38"/>
        </w:trPr>
        <w:tc>
          <w:tcPr>
            <w:tcW w:w="40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Statements of Operations Line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Covered Call Options</w:t>
            </w:r>
          </w:p>
        </w:tc>
        <w:tc>
          <w:tcPr>
            <w:tcW w:w="39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FF0FC"/>
          </w:tcPr>
          <w:p>
            <w:pPr>
              <w:spacing w:after="0"/>
              <w:rPr>
                <w:sz w:val="18"/>
                <w:szCs w:val="18"/>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derivatives</w:t>
            </w:r>
          </w:p>
        </w:tc>
        <w:tc>
          <w:tcPr>
            <w:tcW w:w="39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Covered Call Options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carry our Covered Call Options at fair value with any realized gains or losses and/or changes in fair value recognized within gains or losses on derivative liabilities, a component of other (expense) income, net, in our condensed consolidated statements of operations.</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estimating the fair value of our Covered Call Options, we use the Black-76 Model (the Black-76 Model), a derivation of the BSM Model, which includes several inputs and assumptions, including the forward price of the underlying asset (LTC), the underlying asset’s implied volatility, the risk-free interest rate, and the expected term of the Covered Call Options. The expected term of the Covered Call Options is the contractual term given the Covered Call Options can only be exercised on their expiration date (i.e., European-style options). We determined that the Covered Call Options are Level 2 liabilities given all inputs are observable.</w:t>
      </w:r>
    </w:p>
    <w:p>
      <w:pPr>
        <w:spacing w:after="0" w:line="75"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December 31, 2025, we issued Covered Call Options of $22.0 million notional for proceeds of $0.6 million to generate cash flows on a portion of our digital assets, which is expected to be utilized in our Share Repurchase Program. We transferred to GSR Markets LTC as collateral in a quantity equal to the underlying notional for the Covered Call Options sold. The Covered Call Options are only exercisable upon the date of expiration, automatically exercised if the underlying reference price was greater than the strike price of the Covered Call Option, and settled with delivery of the underlying LTC. The reference price for the Covered Call Options is/was GSR's internal pricing index, aggregating prices from multiple exchanges, quoted in USD at 6:00pm UTC time for a given date.</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2025, Covered Call Options on $16.0 million notional expired with the underlying reference price below their strike price and we recorded a realized gain of $0.5 million. As of December 31, 2025, we had three Covered Call Options outstanding on $6.0 million notional.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an employment agreement with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6" w:name="page17"/>
    <w:bookmarkEnd w:id="16"/>
    <w:p>
      <w:pPr>
        <w:ind w:right="400"/>
        <w:spacing w:after="0" w:line="282" w:lineRule="auto"/>
        <w:rPr>
          <w:sz w:val="20"/>
          <w:szCs w:val="20"/>
          <w:color w:val="auto"/>
        </w:rPr>
      </w:pPr>
      <w:r>
        <w:rPr>
          <w:rFonts w:ascii="Times New Roman" w:cs="Times New Roman" w:eastAsia="Times New Roman" w:hAnsi="Times New Roman"/>
          <w:sz w:val="18"/>
          <w:szCs w:val="18"/>
          <w:color w:val="auto"/>
        </w:rPr>
        <w:t>and chief financial officer that provides for severance payments and accelerated vesting for share-based awards if his employment is terminated under specified circumstances.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December 31, 2025,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u w:val="single" w:color="auto"/>
          <w:color w:val="0000FF"/>
        </w:rPr>
        <w:t>Note 10. License Agreements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December 31, 2025,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-325120</wp:posOffset>
            </wp:positionV>
            <wp:extent cx="13328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Biosciences License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six months ended December 31, 2025 and 2024, we made no payments under the Presage license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5" w:lineRule="exact"/>
        <w:rPr>
          <w:sz w:val="20"/>
          <w:szCs w:val="20"/>
          <w:color w:val="auto"/>
        </w:rPr>
      </w:pPr>
    </w:p>
    <w:p>
      <w:pPr>
        <w:ind w:left="520" w:right="900"/>
        <w:spacing w:after="0" w:line="375" w:lineRule="auto"/>
        <w:rPr>
          <w:sz w:val="20"/>
          <w:szCs w:val="20"/>
          <w:color w:val="auto"/>
        </w:rPr>
      </w:pPr>
      <w:r>
        <w:rPr>
          <w:rFonts w:ascii="Times New Roman" w:cs="Times New Roman" w:eastAsia="Times New Roman" w:hAnsi="Times New Roman"/>
          <w:sz w:val="18"/>
          <w:szCs w:val="18"/>
          <w:color w:val="auto"/>
        </w:rPr>
        <w:t xml:space="preserve">In conjunction with the PIPE, we issued 23,216,898 shares of Common Stock at $3.42 per share, for net cash proceeds of $92.2 million. </w:t>
      </w:r>
      <w:r>
        <w:rPr>
          <w:rFonts w:ascii="Times New Roman" w:cs="Times New Roman" w:eastAsia="Times New Roman" w:hAnsi="Times New Roman"/>
          <w:sz w:val="18"/>
          <w:szCs w:val="18"/>
          <w:i w:val="1"/>
          <w:iCs w:val="1"/>
          <w:color w:val="auto"/>
        </w:rPr>
        <w:t>Preferred Stock</w:t>
      </w:r>
    </w:p>
    <w:p>
      <w:pPr>
        <w:spacing w:after="0" w:line="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7" w:name="page18"/>
    <w:bookmarkEnd w:id="17"/>
    <w:p>
      <w:pPr>
        <w:ind w:right="200"/>
        <w:spacing w:after="0" w:line="266" w:lineRule="auto"/>
        <w:rPr>
          <w:sz w:val="20"/>
          <w:szCs w:val="20"/>
          <w:color w:val="auto"/>
        </w:rPr>
      </w:pPr>
      <w:r>
        <w:rPr>
          <w:rFonts w:ascii="Times New Roman" w:cs="Times New Roman" w:eastAsia="Times New Roman" w:hAnsi="Times New Roman"/>
          <w:sz w:val="18"/>
          <w:szCs w:val="18"/>
          <w:color w:val="auto"/>
        </w:rPr>
        <w:t>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December 31, 2025 and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announced in October 2025 by repurchasing 137,541 shares of our Common Stock from the open market (the Treasury Shares) at a weighted-average price of $1.47 per share. Treasury Shares repurchased through the Share Repurchase Program are considered held in treasury and returned to the status of authorized but unissued shares of Common Stock. Accordingly, the cost of our Treasury Shares, including excise taxes as applicable, were recorded as a treasury stock transaction with our condensed consolidated balance sheets and statements of stockholder's equity. The Share Repurchase Program does not have an expiration date, does not include specific price targets or timetables and may be suspended or terminated by us at any time.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activity under our Share Repurchase Program (cost in thousands):</w:t>
      </w:r>
    </w:p>
    <w:p>
      <w:pPr>
        <w:spacing w:after="0" w:line="221"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December 31,</w:t>
      </w:r>
    </w:p>
    <w:p>
      <w:pPr>
        <w:spacing w:after="0" w:line="31"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5715</wp:posOffset>
            </wp:positionV>
            <wp:extent cx="27686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700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768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7700" w:val="left"/>
          <w:tab w:leader="none" w:pos="8540" w:val="left"/>
          <w:tab w:leader="none" w:pos="10280" w:val="left"/>
        </w:tabs>
        <w:rPr>
          <w:sz w:val="20"/>
          <w:szCs w:val="20"/>
          <w:color w:val="auto"/>
        </w:rPr>
      </w:pPr>
      <w:r>
        <w:rPr>
          <w:rFonts w:ascii="Times New Roman" w:cs="Times New Roman" w:eastAsia="Times New Roman" w:hAnsi="Times New Roman"/>
          <w:sz w:val="18"/>
          <w:szCs w:val="18"/>
          <w:color w:val="auto"/>
        </w:rPr>
        <w:t>Treasury shares repurchased</w:t>
      </w:r>
      <w:r>
        <w:rPr>
          <w:sz w:val="20"/>
          <w:szCs w:val="20"/>
          <w:color w:val="auto"/>
        </w:rPr>
        <w:tab/>
      </w:r>
      <w:r>
        <w:rPr>
          <w:rFonts w:ascii="Times New Roman" w:cs="Times New Roman" w:eastAsia="Times New Roman" w:hAnsi="Times New Roman"/>
          <w:sz w:val="18"/>
          <w:szCs w:val="18"/>
          <w:color w:val="auto"/>
        </w:rPr>
        <w:t>137,541</w:t>
        <w:tab/>
        <w:t>$</w:t>
      </w:r>
      <w:r>
        <w:rPr>
          <w:sz w:val="20"/>
          <w:szCs w:val="20"/>
          <w:color w:val="auto"/>
        </w:rPr>
        <w:tab/>
      </w: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filed a shelf registration statement on Form S-3 which was declared effective by the SEC on February 28, 2024 (February 2024 Shelf Registration Statement) that permits us to sell, from time to time, up to $100.0 million of common stock, preferred stock, warrants, rights and units.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(On Demand Sales Agreement) with JonesTrading Institution Services LLC, pursuant to which we could offer and sell shares having an aggregate offering price of up to $25.0 million. We did not offer or sell any shares of Common Stock under the On Demand Sales Agreement. Effective July 21, 2025, we terminated the On Demand Sales Agreement.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22, 2025, we entered a Sales Agreement with Titan Partners Group LLC, a division of American Capital Partners LLC (in such capacity, the Agent), pursuant to which we may sell, from time to time, at our option, up to $100.0 million in aggregate principal amount of an indeterminate amount of shares (the ATM Shares) of Common Stock, through the Agent (ATM Program). We will pay the Agent a commission of 3.5% of the gross sales price of the ATM Shares sold pursuant to the Sales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ATM Shares to be offered and sold under the Sales Agreement will be issued and sold (i) by methods deemed to be an at-the-market offering as defined in Rule 415(a)(4) promulgated under the Securities Act of 1933, as amended, if authorized by us and (ii) pursuant to the February 2024 Shelf Registration Statement as supplemented by a prospectus supplement, filed with the SEC on July 23, 2025.</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882,924 shares of our Common Stock have been issued and sold under our ATM Program for aggregate net proceeds of $4.6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cooperation agreement, with Anson Funds Management LP and Cable Car Capital LLC (the Cooperation Agreement) among other nonfinancial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 Effective July 22, 2025, in conjunction with the closing of the Offering, the parties to the Cooperation Agreement mutually agreed to terminate the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The Rights were distributable to stockholders of record as of the close of business on October 12, 2023. The Rights and the Rights Agreement expired at the close of business on September 30, 2024. No rights were redeemed or exchanged under the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have the following warrants outstanding: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Initial Exercise Date</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Issued for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24,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Until Exercised in Full</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Advisory Warrants</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Manager Warrants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GSR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GSR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GSR 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GSR 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Strategic Advisor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438,597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Placement Agent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r>
      <w:tr>
        <w:trPr>
          <w:trHeight w:val="198"/>
        </w:trPr>
        <w:tc>
          <w:tcPr>
            <w:tcW w:w="4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GD Advisory Warrants in lieu of cash</w:t>
            </w: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34"/>
        </w:trPr>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8, 2025</w:t>
            </w:r>
          </w:p>
        </w:tc>
        <w:tc>
          <w:tcPr>
            <w:tcW w:w="10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8, 2030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warrant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2022</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50"/>
        </w:trPr>
        <w:tc>
          <w:tcPr>
            <w:tcW w:w="40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3,953,187</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1. Description of Business and Basis of Presentation</w:t>
      </w:r>
      <w:r>
        <w:rPr>
          <w:rFonts w:ascii="Times New Roman" w:cs="Times New Roman" w:eastAsia="Times New Roman" w:hAnsi="Times New Roman"/>
          <w:sz w:val="18"/>
          <w:szCs w:val="18"/>
          <w:color w:val="auto"/>
        </w:rPr>
        <w:t>, we issued Pre-Funded Warrants to purchase up to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-6350</wp:posOffset>
            </wp:positionV>
            <wp:extent cx="26498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6,022,869 shares of Common Stock. Each Pre-Funded Warrant was immediately exercisable for one share of Common Stock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Pre-Funded Warrant Share and could be exercised at any time until all the Pre-Funded Warrants issued in the Offering are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the Pre-Funded Warrant's ability to exercise its Pre-Funded Warrants in exchange for shares of Common Stock was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limitations set forth therein. On July 24, 2025, Pre-Funded Warrants for the purchase of 2,084,509 shares of Common Stock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During the three months ended September 30, 2025, we issued 2,807,967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cashless exercises of 2,808,070 Pre-Funded Warrants. In October 2025, the remaining Pre-Funded Warrants issued in the PIPE for the 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1,130,290 shares of Common Stock were cashless exercised in exchange for 1,130,242 shares of Common Stock. As of December 31, 2025, no Pre-Funded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issued in the PIPE remain outstanding.</w:t>
      </w:r>
    </w:p>
    <w:p>
      <w:pPr>
        <w:spacing w:after="0" w:line="9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2025, as payment of the annual Asset-based Fee under the GSR Asset Management Agreement, we issued GSR fully vested, nonforfeitable pre-funded warrants (the GSR Pre-Funded Warrants, as more fully discussed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purchase of up to 546,348 shares of our Common Stock with an exercise price of $0.0001 per share. During the first year of the GSR Asset Management Agreement, it is noncancelable, by us, other than for Cause (as defined therein). The annual Asset-based Fee of $1.9 million will be amortized to expense through the one-year anniversary of the GSR Asset Management Agreement. Amounts in excess of fees recognized through December 31, 2025, are recorded in prepaid expenses and other current assets in the condensed consolidated balance sheets. We concluded the fair value of services received by GSR represented the fair value of the warrants issued in settlement of the Asset-based Fee and recorded such fair value as additional paid-in capital in the condensed consolidated balance sheets. During the three and six months ended December 31, 2025, we recognized $0.5 million and $0.8 million, respectively, of the Asset-based Fee within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-1124585</wp:posOffset>
            </wp:positionV>
            <wp:extent cx="16725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-164465</wp:posOffset>
            </wp:positionV>
            <wp:extent cx="13773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Advisory Warrants</w:t>
      </w:r>
    </w:p>
    <w:p>
      <w:pPr>
        <w:spacing w:after="0" w:line="117"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On July 22, 2025, in conjunction with the closing of the PIPE, we issued the Advisory Warrants (as discussed in </w:t>
      </w:r>
      <w:r>
        <w:rPr>
          <w:rFonts w:ascii="Times New Roman" w:cs="Times New Roman" w:eastAsia="Times New Roman" w:hAnsi="Times New Roman"/>
          <w:sz w:val="18"/>
          <w:szCs w:val="18"/>
          <w:i w:val="1"/>
          <w:iCs w:val="1"/>
          <w:u w:val="single" w:color="auto"/>
          <w:color w:val="0000FF"/>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Accounting Policies</w:t>
      </w:r>
      <w:r>
        <w:rPr>
          <w:rFonts w:ascii="Times New Roman" w:cs="Times New Roman" w:eastAsia="Times New Roman" w:hAnsi="Times New Roman"/>
          <w:sz w:val="18"/>
          <w:szCs w:val="18"/>
          <w:color w:val="000000"/>
        </w:rPr>
        <w:t>) for the purchase of 3,070,177 shares of our Common Stock to our advisors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-186055</wp:posOffset>
            </wp:positionV>
            <wp:extent cx="14598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9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169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(the Advisory Warrants). The Advisory Warrants are immediately exercisable, expire five years from the issuance date and have exercise prices between $3.42 and $5.13 per share. Upon issuance, we recognized the fair value of the Advisory Warrants of $16.2 million within additional paid-in capital that is included in the condensed consolidated statements of stockholders' equity for the six months ended December 31, 2025. The weighted-average grant date fair value of the Advisory Warrants was $5.28 per share as determined using the following weighted-average grant date assumptions: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GD Advisory Warrants Issued in Lieu of Cash Fees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October 2025, in settlement of the Annual Advisory Fee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annual period ending July 21, 2026, we issued a GD Advisory Warrants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for the purchase of up to 234,149 shares of Common Stock with an exercise price of $0.0001 per share. The Annual Advisory Fee of $0.8 million will be recorded to expense through the one-year anniversary of the GD Advisory Agreement (as defined 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over the requisite service period. We concluded the fair value of services received or to be received by Green Dragon represented the fair value of the warrants issued in settlement of the Annual Advisory Fee. During the three and six months ended December 31, 2025, we recognized $0.2 million and $0.3 million, respectively, of the Annual Advisory Fee 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-856615</wp:posOffset>
            </wp:positionV>
            <wp:extent cx="16725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-719455</wp:posOffset>
            </wp:positionV>
            <wp:extent cx="16725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-445135</wp:posOffset>
            </wp:positionV>
            <wp:extent cx="16725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-33655</wp:posOffset>
            </wp:positionV>
            <wp:extent cx="1377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Warrant</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have a warrant to purchase 102,513 shares of our common stock issued to Torreya Partners LLC. The warrant is fully vested, exercisable at a price of $6.80 per share and expires in October 2027. The warrant wasn't exercised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for which separate financial information is regularly evaluated by the chief operating decision maker (CODM), which is our Chief Executive Officer and Chief Financial Officer, in deciding how to allocate resources and assess performance. During fiscal year 2025, when allocating financial and personnel resources, due to pursuing our strategic alternatives initiative, the CODM evaluated our financial information, including year over year profit and loss comparisons and cash projections, on an aggregate basis. During fiscal year 2026, our CODM evaluates financial information including budget versus actual comparisons when assessing performance for allocating financial and personnel resources. Prior to the commencement of writing the Covered Call Options in the second quarter of fiscal year 2026, the CODM considered our cash and cash equivalents and other corporate expenses to be primarily available for use in our development of pharmaceutical products segment. However, since the proceeds from the issuance of our Covered Call Options are being utilized to repurchase our Common Stock, the CODM reevaluated its position during the second quarter of fiscal year 2026 and concluded cash and cash equivalents and corporate expenses were no longer segment expenses and therefore would represent corporate expenses and be a reconciling item between total segment costs and our consolidated results. We are not organized by market.</w:t>
      </w:r>
    </w:p>
    <w:p>
      <w:pPr>
        <w:spacing w:after="0" w:line="6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Prior to the initiation of our Litecoin Treasury Strategy in August 2025, we operated as a single operating segment, the development of pharmaceutical products. Subsequently, we now operate under two operating segments (development of pharmaceutical products and digital asset treasury strategy), which we identify based upon the underlying business activities supporting these two segments. During the first quarter of fiscal year 2026 and for fiscal year 2025, we did not generate any revenue. Consistent with the CODM's reevaluation in the section quarter of 2026, he concluded our administrative functions including finance, business development and information systems, no longer were primarily supportive of our development of pharmaceutical products segment, and would be primarily included in corporate expenses. We operate in one geographic area, the United States. The CODM allocates resources (inclusive of both capital and personnel) based upon our net loss, which is utilized to monitor year over year variances on a quarterly basis.</w:t>
      </w:r>
    </w:p>
    <w:p>
      <w:pPr>
        <w:spacing w:after="0" w:line="82"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both our segments are the same as those described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All our assets are in the United States. We do not have intra-entity sales or transfers.</w:t>
      </w:r>
    </w:p>
    <w:p>
      <w:pPr>
        <w:spacing w:after="0" w:line="5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December 31, 2025 and 2024, we had no transactions denominated in foreign currencies nor any intangible property for which we recognized amortization expense. During the three and six months ended December 31, 2025, and the three months ended December 31, 2024, we did not recognize depreciation expense. During the six months ended December 31, 2024, we recognized depreciation expense that we have included in "other segment expenses" within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0" w:name="page21"/>
    <w:bookmarkEnd w:id="20"/>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expense is reported in our statements of cash flows and is expected to be zero during fiscal year 2026. Noncash expenses such as depreciating assets and share-based compensation are not part of the CODM's evaluation or decision-making process.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financial data for our segments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0"/>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Digital Asset</w:t>
            </w:r>
          </w:p>
        </w:tc>
        <w:tc>
          <w:tcPr>
            <w:tcW w:w="120" w:type="dxa"/>
            <w:vAlign w:val="bottom"/>
          </w:tcPr>
          <w:p>
            <w:pPr>
              <w:spacing w:after="0"/>
              <w:rPr>
                <w:sz w:val="10"/>
                <w:szCs w:val="10"/>
                <w:color w:val="auto"/>
              </w:rPr>
            </w:pPr>
          </w:p>
        </w:tc>
        <w:tc>
          <w:tcPr>
            <w:tcW w:w="118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80" w:type="dxa"/>
            <w:vAlign w:val="bottom"/>
          </w:tcPr>
          <w:p>
            <w:pPr>
              <w:spacing w:after="0"/>
              <w:rPr>
                <w:sz w:val="10"/>
                <w:szCs w:val="10"/>
                <w:color w:val="auto"/>
              </w:rPr>
            </w:pPr>
          </w:p>
        </w:tc>
        <w:tc>
          <w:tcPr>
            <w:tcW w:w="12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Segment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w:t>
            </w: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FF0FF"/>
          </w:tcPr>
          <w:p>
            <w:pPr>
              <w:spacing w:after="0" w:line="142" w:lineRule="exact"/>
              <w:rPr>
                <w:sz w:val="20"/>
                <w:szCs w:val="20"/>
                <w:color w:val="auto"/>
              </w:rPr>
            </w:pPr>
            <w:r>
              <w:rPr>
                <w:rFonts w:ascii="Times New Roman" w:cs="Times New Roman" w:eastAsia="Times New Roman" w:hAnsi="Times New Roman"/>
                <w:sz w:val="14"/>
                <w:szCs w:val="14"/>
                <w:color w:val="auto"/>
              </w:rPr>
              <w:t>Operating and other (income) expense</w:t>
            </w:r>
          </w:p>
        </w:tc>
        <w:tc>
          <w:tcPr>
            <w:tcW w:w="1220" w:type="dxa"/>
            <w:vAlign w:val="bottom"/>
            <w:shd w:val="clear" w:color="auto" w:fill="CFF0FF"/>
          </w:tcPr>
          <w:p>
            <w:pPr>
              <w:spacing w:after="0"/>
              <w:rPr>
                <w:sz w:val="12"/>
                <w:szCs w:val="12"/>
                <w:color w:val="auto"/>
              </w:rPr>
            </w:pPr>
          </w:p>
        </w:tc>
        <w:tc>
          <w:tcPr>
            <w:tcW w:w="100" w:type="dxa"/>
            <w:vAlign w:val="bottom"/>
            <w:tcBorders>
              <w:top w:val="single" w:sz="8" w:color="auto"/>
            </w:tcBorders>
            <w:shd w:val="clear" w:color="auto" w:fill="CFF0FF"/>
          </w:tcPr>
          <w:p>
            <w:pPr>
              <w:spacing w:after="0"/>
              <w:rPr>
                <w:sz w:val="12"/>
                <w:szCs w:val="12"/>
                <w:color w:val="auto"/>
              </w:rPr>
            </w:pPr>
          </w:p>
        </w:tc>
        <w:tc>
          <w:tcPr>
            <w:tcW w:w="960" w:type="dxa"/>
            <w:vAlign w:val="bottom"/>
            <w:tcBorders>
              <w:top w:val="single" w:sz="8" w:color="auto"/>
            </w:tcBorders>
            <w:shd w:val="clear" w:color="auto" w:fill="CFF0FF"/>
          </w:tcPr>
          <w:p>
            <w:pPr>
              <w:spacing w:after="0"/>
              <w:rPr>
                <w:sz w:val="12"/>
                <w:szCs w:val="12"/>
                <w:color w:val="auto"/>
              </w:rPr>
            </w:pPr>
          </w:p>
        </w:tc>
        <w:tc>
          <w:tcPr>
            <w:tcW w:w="16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40" w:type="dxa"/>
            <w:vAlign w:val="bottom"/>
            <w:tcBorders>
              <w:top w:val="single" w:sz="8" w:color="auto"/>
            </w:tcBorders>
            <w:shd w:val="clear" w:color="auto" w:fill="CFF0FF"/>
          </w:tcPr>
          <w:p>
            <w:pPr>
              <w:spacing w:after="0"/>
              <w:rPr>
                <w:sz w:val="12"/>
                <w:szCs w:val="12"/>
                <w:color w:val="auto"/>
              </w:rPr>
            </w:pPr>
          </w:p>
        </w:tc>
        <w:tc>
          <w:tcPr>
            <w:tcW w:w="900" w:type="dxa"/>
            <w:vAlign w:val="bottom"/>
            <w:tcBorders>
              <w:top w:val="single" w:sz="8" w:color="auto"/>
            </w:tcBorders>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220" w:type="dxa"/>
            <w:vAlign w:val="bottom"/>
            <w:tcBorders>
              <w:top w:val="single" w:sz="8" w:color="auto"/>
            </w:tcBorders>
            <w:shd w:val="clear" w:color="auto" w:fill="CFF0FF"/>
          </w:tcPr>
          <w:p>
            <w:pPr>
              <w:spacing w:after="0"/>
              <w:rPr>
                <w:sz w:val="12"/>
                <w:szCs w:val="12"/>
                <w:color w:val="auto"/>
              </w:rPr>
            </w:pPr>
          </w:p>
        </w:tc>
        <w:tc>
          <w:tcPr>
            <w:tcW w:w="840" w:type="dxa"/>
            <w:vAlign w:val="bottom"/>
            <w:tcBorders>
              <w:top w:val="single" w:sz="8" w:color="auto"/>
            </w:tcBorders>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20" w:type="dxa"/>
            <w:vAlign w:val="bottom"/>
            <w:tcBorders>
              <w:top w:val="single" w:sz="8" w:color="auto"/>
            </w:tcBorders>
            <w:shd w:val="clear" w:color="auto" w:fill="CFF0FF"/>
          </w:tcPr>
          <w:p>
            <w:pPr>
              <w:spacing w:after="0"/>
              <w:rPr>
                <w:sz w:val="12"/>
                <w:szCs w:val="12"/>
                <w:color w:val="auto"/>
              </w:rPr>
            </w:pPr>
          </w:p>
        </w:tc>
        <w:tc>
          <w:tcPr>
            <w:tcW w:w="940" w:type="dxa"/>
            <w:vAlign w:val="bottom"/>
            <w:tcBorders>
              <w:top w:val="single" w:sz="8" w:color="auto"/>
            </w:tcBorders>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80" w:type="dxa"/>
            <w:vAlign w:val="bottom"/>
            <w:tcBorders>
              <w:top w:val="single" w:sz="8" w:color="auto"/>
            </w:tcBorders>
            <w:shd w:val="clear" w:color="auto" w:fill="CFF0FF"/>
          </w:tcPr>
          <w:p>
            <w:pPr>
              <w:spacing w:after="0"/>
              <w:rPr>
                <w:sz w:val="12"/>
                <w:szCs w:val="12"/>
                <w:color w:val="auto"/>
              </w:rPr>
            </w:pPr>
          </w:p>
        </w:tc>
        <w:tc>
          <w:tcPr>
            <w:tcW w:w="960" w:type="dxa"/>
            <w:vAlign w:val="bottom"/>
            <w:tcBorders>
              <w:top w:val="single" w:sz="8" w:color="auto"/>
            </w:tcBorders>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Employee expenses</w:t>
            </w:r>
          </w:p>
        </w:tc>
        <w:tc>
          <w:tcPr>
            <w:tcW w:w="13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0"/>
                <w:szCs w:val="10"/>
                <w:color w:val="auto"/>
              </w:rPr>
            </w:pPr>
          </w:p>
        </w:tc>
        <w:tc>
          <w:tcPr>
            <w:tcW w:w="260" w:type="dxa"/>
            <w:vAlign w:val="bottom"/>
            <w:gridSpan w:val="2"/>
          </w:tcPr>
          <w:p>
            <w:pPr>
              <w:jc w:val="right"/>
              <w:ind w:right="15"/>
              <w:spacing w:after="0" w:line="12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0"/>
                <w:szCs w:val="10"/>
                <w:color w:val="auto"/>
              </w:rPr>
            </w:pPr>
          </w:p>
        </w:tc>
        <w:tc>
          <w:tcPr>
            <w:tcW w:w="300" w:type="dxa"/>
            <w:vAlign w:val="bottom"/>
            <w:gridSpan w:val="2"/>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0"/>
                <w:szCs w:val="10"/>
                <w:color w:val="auto"/>
              </w:rPr>
            </w:pPr>
          </w:p>
        </w:tc>
        <w:tc>
          <w:tcPr>
            <w:tcW w:w="220" w:type="dxa"/>
            <w:vAlign w:val="bottom"/>
            <w:gridSpan w:val="2"/>
          </w:tcPr>
          <w:p>
            <w:pPr>
              <w:jc w:val="right"/>
              <w:ind w:right="3"/>
              <w:spacing w:after="0" w:line="12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332</w:t>
            </w:r>
          </w:p>
        </w:tc>
        <w:tc>
          <w:tcPr>
            <w:tcW w:w="14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00"/>
              <w:spacing w:after="0" w:line="153" w:lineRule="exact"/>
              <w:rPr>
                <w:sz w:val="20"/>
                <w:szCs w:val="20"/>
                <w:color w:val="auto"/>
              </w:rPr>
            </w:pPr>
            <w:r>
              <w:rPr>
                <w:rFonts w:ascii="Times New Roman" w:cs="Times New Roman" w:eastAsia="Times New Roman" w:hAnsi="Times New Roman"/>
                <w:sz w:val="13"/>
                <w:szCs w:val="13"/>
                <w:color w:val="auto"/>
              </w:rPr>
              <w:t>Other segment expenses</w:t>
            </w:r>
            <w:r>
              <w:rPr>
                <w:rFonts w:ascii="Times New Roman" w:cs="Times New Roman" w:eastAsia="Times New Roman" w:hAnsi="Times New Roman"/>
                <w:sz w:val="17"/>
                <w:szCs w:val="17"/>
                <w:color w:val="auto"/>
                <w:vertAlign w:val="superscript"/>
              </w:rPr>
              <w:t>(1)</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838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Professional fees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FF0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Legal fees</w:t>
            </w:r>
          </w:p>
        </w:tc>
        <w:tc>
          <w:tcPr>
            <w:tcW w:w="122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96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90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220" w:type="dxa"/>
            <w:vAlign w:val="bottom"/>
            <w:shd w:val="clear" w:color="auto" w:fill="CFF0FF"/>
          </w:tcPr>
          <w:p>
            <w:pPr>
              <w:spacing w:after="0"/>
              <w:rPr>
                <w:sz w:val="12"/>
                <w:szCs w:val="12"/>
                <w:color w:val="auto"/>
              </w:rPr>
            </w:pPr>
          </w:p>
        </w:tc>
        <w:tc>
          <w:tcPr>
            <w:tcW w:w="8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9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96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voruciclib</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FF0FF"/>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 management fee and advisory fees</w:t>
            </w:r>
          </w:p>
        </w:tc>
        <w:tc>
          <w:tcPr>
            <w:tcW w:w="122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96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6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040" w:type="dxa"/>
            <w:vAlign w:val="bottom"/>
            <w:gridSpan w:val="2"/>
            <w:shd w:val="clear" w:color="auto" w:fill="CFF0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F"/>
          </w:tcPr>
          <w:p>
            <w:pPr>
              <w:spacing w:after="0"/>
              <w:rPr>
                <w:sz w:val="12"/>
                <w:szCs w:val="12"/>
                <w:color w:val="auto"/>
              </w:rPr>
            </w:pPr>
          </w:p>
        </w:tc>
        <w:tc>
          <w:tcPr>
            <w:tcW w:w="220" w:type="dxa"/>
            <w:vAlign w:val="bottom"/>
            <w:shd w:val="clear" w:color="auto" w:fill="CFF0FF"/>
          </w:tcPr>
          <w:p>
            <w:pPr>
              <w:spacing w:after="0"/>
              <w:rPr>
                <w:sz w:val="12"/>
                <w:szCs w:val="12"/>
                <w:color w:val="auto"/>
              </w:rPr>
            </w:pPr>
          </w:p>
        </w:tc>
        <w:tc>
          <w:tcPr>
            <w:tcW w:w="84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4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080" w:type="dxa"/>
            <w:vAlign w:val="bottom"/>
            <w:gridSpan w:val="2"/>
            <w:shd w:val="clear" w:color="auto" w:fill="CFF0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960" w:type="dxa"/>
            <w:vAlign w:val="bottom"/>
            <w:shd w:val="clear" w:color="auto" w:fill="CFF0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FF0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fair value of digital assets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80" w:type="dxa"/>
            <w:vAlign w:val="bottom"/>
            <w:shd w:val="clear" w:color="auto" w:fill="CFF0FF"/>
          </w:tcPr>
          <w:p>
            <w:pPr>
              <w:ind w:left="100"/>
              <w:spacing w:after="0" w:line="126" w:lineRule="exact"/>
              <w:rPr>
                <w:sz w:val="20"/>
                <w:szCs w:val="20"/>
                <w:color w:val="auto"/>
              </w:rPr>
            </w:pPr>
            <w:r>
              <w:rPr>
                <w:rFonts w:ascii="Times New Roman" w:cs="Times New Roman" w:eastAsia="Times New Roman" w:hAnsi="Times New Roman"/>
                <w:sz w:val="14"/>
                <w:szCs w:val="14"/>
                <w:color w:val="auto"/>
              </w:rPr>
              <w:t>Change in fair value of digital assets</w:t>
            </w:r>
          </w:p>
        </w:tc>
        <w:tc>
          <w:tcPr>
            <w:tcW w:w="1220" w:type="dxa"/>
            <w:vAlign w:val="bottom"/>
            <w:shd w:val="clear" w:color="auto" w:fill="CFF0FF"/>
          </w:tcPr>
          <w:p>
            <w:pPr>
              <w:spacing w:after="0"/>
              <w:rPr>
                <w:sz w:val="10"/>
                <w:szCs w:val="10"/>
                <w:color w:val="auto"/>
              </w:rPr>
            </w:pPr>
          </w:p>
        </w:tc>
        <w:tc>
          <w:tcPr>
            <w:tcW w:w="100" w:type="dxa"/>
            <w:vAlign w:val="bottom"/>
            <w:shd w:val="clear" w:color="auto" w:fill="CFF0FF"/>
          </w:tcPr>
          <w:p>
            <w:pPr>
              <w:spacing w:after="0"/>
              <w:rPr>
                <w:sz w:val="10"/>
                <w:szCs w:val="10"/>
                <w:color w:val="auto"/>
              </w:rPr>
            </w:pPr>
          </w:p>
        </w:tc>
        <w:tc>
          <w:tcPr>
            <w:tcW w:w="96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60" w:type="dxa"/>
            <w:vAlign w:val="bottom"/>
            <w:shd w:val="clear" w:color="auto" w:fill="CFF0FF"/>
          </w:tcPr>
          <w:p>
            <w:pPr>
              <w:spacing w:after="0"/>
              <w:rPr>
                <w:sz w:val="10"/>
                <w:szCs w:val="10"/>
                <w:color w:val="auto"/>
              </w:rPr>
            </w:pPr>
          </w:p>
        </w:tc>
        <w:tc>
          <w:tcPr>
            <w:tcW w:w="120" w:type="dxa"/>
            <w:vAlign w:val="bottom"/>
            <w:shd w:val="clear" w:color="auto" w:fill="CFF0FF"/>
          </w:tcPr>
          <w:p>
            <w:pPr>
              <w:spacing w:after="0"/>
              <w:rPr>
                <w:sz w:val="10"/>
                <w:szCs w:val="10"/>
                <w:color w:val="auto"/>
              </w:rPr>
            </w:pPr>
          </w:p>
        </w:tc>
        <w:tc>
          <w:tcPr>
            <w:tcW w:w="140" w:type="dxa"/>
            <w:vAlign w:val="bottom"/>
            <w:shd w:val="clear" w:color="auto" w:fill="CFF0FF"/>
          </w:tcPr>
          <w:p>
            <w:pPr>
              <w:spacing w:after="0"/>
              <w:rPr>
                <w:sz w:val="10"/>
                <w:szCs w:val="10"/>
                <w:color w:val="auto"/>
              </w:rPr>
            </w:pPr>
          </w:p>
        </w:tc>
        <w:tc>
          <w:tcPr>
            <w:tcW w:w="1040" w:type="dxa"/>
            <w:vAlign w:val="bottom"/>
            <w:gridSpan w:val="2"/>
            <w:vMerge w:val="restart"/>
            <w:shd w:val="clear" w:color="auto" w:fill="CFF0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F"/>
          </w:tcPr>
          <w:p>
            <w:pPr>
              <w:spacing w:after="0"/>
              <w:rPr>
                <w:sz w:val="10"/>
                <w:szCs w:val="10"/>
                <w:color w:val="auto"/>
              </w:rPr>
            </w:pPr>
          </w:p>
        </w:tc>
        <w:tc>
          <w:tcPr>
            <w:tcW w:w="220" w:type="dxa"/>
            <w:vAlign w:val="bottom"/>
            <w:shd w:val="clear" w:color="auto" w:fill="CFF0FF"/>
          </w:tcPr>
          <w:p>
            <w:pPr>
              <w:spacing w:after="0"/>
              <w:rPr>
                <w:sz w:val="10"/>
                <w:szCs w:val="10"/>
                <w:color w:val="auto"/>
              </w:rPr>
            </w:pPr>
          </w:p>
        </w:tc>
        <w:tc>
          <w:tcPr>
            <w:tcW w:w="84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40" w:type="dxa"/>
            <w:vAlign w:val="bottom"/>
            <w:shd w:val="clear" w:color="auto" w:fill="CFF0FF"/>
          </w:tcPr>
          <w:p>
            <w:pPr>
              <w:spacing w:after="0"/>
              <w:rPr>
                <w:sz w:val="10"/>
                <w:szCs w:val="10"/>
                <w:color w:val="auto"/>
              </w:rPr>
            </w:pPr>
          </w:p>
        </w:tc>
        <w:tc>
          <w:tcPr>
            <w:tcW w:w="100" w:type="dxa"/>
            <w:vAlign w:val="bottom"/>
            <w:shd w:val="clear" w:color="auto" w:fill="CFF0FF"/>
          </w:tcPr>
          <w:p>
            <w:pPr>
              <w:spacing w:after="0"/>
              <w:rPr>
                <w:sz w:val="10"/>
                <w:szCs w:val="10"/>
                <w:color w:val="auto"/>
              </w:rPr>
            </w:pPr>
          </w:p>
        </w:tc>
        <w:tc>
          <w:tcPr>
            <w:tcW w:w="120" w:type="dxa"/>
            <w:vAlign w:val="bottom"/>
            <w:shd w:val="clear" w:color="auto" w:fill="CFF0FF"/>
          </w:tcPr>
          <w:p>
            <w:pPr>
              <w:spacing w:after="0"/>
              <w:rPr>
                <w:sz w:val="10"/>
                <w:szCs w:val="10"/>
                <w:color w:val="auto"/>
              </w:rPr>
            </w:pPr>
          </w:p>
        </w:tc>
        <w:tc>
          <w:tcPr>
            <w:tcW w:w="1080" w:type="dxa"/>
            <w:vAlign w:val="bottom"/>
            <w:gridSpan w:val="2"/>
            <w:vMerge w:val="restart"/>
            <w:shd w:val="clear" w:color="auto" w:fill="CFF0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0"/>
                <w:szCs w:val="10"/>
                <w:color w:val="auto"/>
              </w:rPr>
            </w:pPr>
          </w:p>
        </w:tc>
        <w:tc>
          <w:tcPr>
            <w:tcW w:w="80" w:type="dxa"/>
            <w:vAlign w:val="bottom"/>
            <w:shd w:val="clear" w:color="auto" w:fill="CFF0FF"/>
          </w:tcPr>
          <w:p>
            <w:pPr>
              <w:spacing w:after="0"/>
              <w:rPr>
                <w:sz w:val="10"/>
                <w:szCs w:val="10"/>
                <w:color w:val="auto"/>
              </w:rPr>
            </w:pPr>
          </w:p>
        </w:tc>
        <w:tc>
          <w:tcPr>
            <w:tcW w:w="96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FF0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FF0FF"/>
          </w:tcPr>
          <w:p>
            <w:pPr>
              <w:ind w:left="240"/>
              <w:spacing w:after="0"/>
              <w:rPr>
                <w:sz w:val="20"/>
                <w:szCs w:val="20"/>
                <w:color w:val="auto"/>
              </w:rPr>
            </w:pPr>
            <w:r>
              <w:rPr>
                <w:rFonts w:ascii="Times New Roman" w:cs="Times New Roman" w:eastAsia="Times New Roman" w:hAnsi="Times New Roman"/>
                <w:sz w:val="14"/>
                <w:szCs w:val="14"/>
                <w:color w:val="auto"/>
              </w:rPr>
              <w:t>receivable, net</w:t>
            </w:r>
          </w:p>
        </w:tc>
        <w:tc>
          <w:tcPr>
            <w:tcW w:w="1220" w:type="dxa"/>
            <w:vAlign w:val="bottom"/>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960" w:type="dxa"/>
            <w:vAlign w:val="bottom"/>
            <w:vMerge w:val="continue"/>
            <w:shd w:val="clear" w:color="auto" w:fill="CFF0FF"/>
          </w:tcPr>
          <w:p>
            <w:pPr>
              <w:spacing w:after="0"/>
              <w:rPr>
                <w:sz w:val="14"/>
                <w:szCs w:val="14"/>
                <w:color w:val="auto"/>
              </w:rPr>
            </w:pPr>
          </w:p>
        </w:tc>
        <w:tc>
          <w:tcPr>
            <w:tcW w:w="160" w:type="dxa"/>
            <w:vAlign w:val="bottom"/>
            <w:shd w:val="clear" w:color="auto" w:fill="CFF0FF"/>
          </w:tcPr>
          <w:p>
            <w:pPr>
              <w:spacing w:after="0"/>
              <w:rPr>
                <w:sz w:val="14"/>
                <w:szCs w:val="14"/>
                <w:color w:val="auto"/>
              </w:rPr>
            </w:pPr>
          </w:p>
        </w:tc>
        <w:tc>
          <w:tcPr>
            <w:tcW w:w="120" w:type="dxa"/>
            <w:vAlign w:val="bottom"/>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1040" w:type="dxa"/>
            <w:vAlign w:val="bottom"/>
            <w:gridSpan w:val="2"/>
            <w:vMerge w:val="continue"/>
            <w:shd w:val="clear" w:color="auto" w:fill="CFF0FF"/>
          </w:tcPr>
          <w:p>
            <w:pPr>
              <w:spacing w:after="0"/>
              <w:rPr>
                <w:sz w:val="14"/>
                <w:szCs w:val="14"/>
                <w:color w:val="auto"/>
              </w:rPr>
            </w:pPr>
          </w:p>
        </w:tc>
        <w:tc>
          <w:tcPr>
            <w:tcW w:w="80" w:type="dxa"/>
            <w:vAlign w:val="bottom"/>
            <w:shd w:val="clear" w:color="auto" w:fill="CFF0FF"/>
          </w:tcPr>
          <w:p>
            <w:pPr>
              <w:spacing w:after="0"/>
              <w:rPr>
                <w:sz w:val="14"/>
                <w:szCs w:val="14"/>
                <w:color w:val="auto"/>
              </w:rPr>
            </w:pPr>
          </w:p>
        </w:tc>
        <w:tc>
          <w:tcPr>
            <w:tcW w:w="220" w:type="dxa"/>
            <w:vAlign w:val="bottom"/>
            <w:shd w:val="clear" w:color="auto" w:fill="CFF0FF"/>
          </w:tcPr>
          <w:p>
            <w:pPr>
              <w:spacing w:after="0"/>
              <w:rPr>
                <w:sz w:val="14"/>
                <w:szCs w:val="14"/>
                <w:color w:val="auto"/>
              </w:rPr>
            </w:pPr>
          </w:p>
        </w:tc>
        <w:tc>
          <w:tcPr>
            <w:tcW w:w="840" w:type="dxa"/>
            <w:vAlign w:val="bottom"/>
            <w:vMerge w:val="continue"/>
            <w:shd w:val="clear" w:color="auto" w:fill="CFF0FF"/>
          </w:tcPr>
          <w:p>
            <w:pPr>
              <w:spacing w:after="0"/>
              <w:rPr>
                <w:sz w:val="14"/>
                <w:szCs w:val="14"/>
                <w:color w:val="auto"/>
              </w:rPr>
            </w:pPr>
          </w:p>
        </w:tc>
        <w:tc>
          <w:tcPr>
            <w:tcW w:w="140" w:type="dxa"/>
            <w:vAlign w:val="bottom"/>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120" w:type="dxa"/>
            <w:vAlign w:val="bottom"/>
            <w:shd w:val="clear" w:color="auto" w:fill="CFF0FF"/>
          </w:tcPr>
          <w:p>
            <w:pPr>
              <w:spacing w:after="0"/>
              <w:rPr>
                <w:sz w:val="14"/>
                <w:szCs w:val="14"/>
                <w:color w:val="auto"/>
              </w:rPr>
            </w:pPr>
          </w:p>
        </w:tc>
        <w:tc>
          <w:tcPr>
            <w:tcW w:w="1080" w:type="dxa"/>
            <w:vAlign w:val="bottom"/>
            <w:gridSpan w:val="2"/>
            <w:vMerge w:val="continue"/>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80" w:type="dxa"/>
            <w:vAlign w:val="bottom"/>
            <w:shd w:val="clear" w:color="auto" w:fill="CFF0FF"/>
          </w:tcPr>
          <w:p>
            <w:pPr>
              <w:spacing w:after="0"/>
              <w:rPr>
                <w:sz w:val="14"/>
                <w:szCs w:val="14"/>
                <w:color w:val="auto"/>
              </w:rPr>
            </w:pPr>
          </w:p>
        </w:tc>
        <w:tc>
          <w:tcPr>
            <w:tcW w:w="960" w:type="dxa"/>
            <w:vAlign w:val="bottom"/>
            <w:vMerge w:val="continue"/>
            <w:shd w:val="clear" w:color="auto" w:fill="CFF0FF"/>
          </w:tcPr>
          <w:p>
            <w:pPr>
              <w:spacing w:after="0"/>
              <w:rPr>
                <w:sz w:val="14"/>
                <w:szCs w:val="14"/>
                <w:color w:val="auto"/>
              </w:rPr>
            </w:pPr>
          </w:p>
        </w:tc>
        <w:tc>
          <w:tcPr>
            <w:tcW w:w="100" w:type="dxa"/>
            <w:vAlign w:val="bottom"/>
            <w:shd w:val="clear" w:color="auto" w:fill="CFF0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derivative liabilities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48"/>
        </w:trPr>
        <w:tc>
          <w:tcPr>
            <w:tcW w:w="3680" w:type="dxa"/>
            <w:vAlign w:val="bottom"/>
            <w:shd w:val="clear" w:color="auto" w:fill="CFF0FF"/>
          </w:tcPr>
          <w:p>
            <w:pPr>
              <w:ind w:left="100"/>
              <w:spacing w:after="0" w:line="149" w:lineRule="exact"/>
              <w:rPr>
                <w:sz w:val="20"/>
                <w:szCs w:val="20"/>
                <w:color w:val="auto"/>
              </w:rPr>
            </w:pPr>
            <w:r>
              <w:rPr>
                <w:rFonts w:ascii="Times New Roman" w:cs="Times New Roman" w:eastAsia="Times New Roman" w:hAnsi="Times New Roman"/>
                <w:sz w:val="13"/>
                <w:szCs w:val="13"/>
                <w:color w:val="auto"/>
              </w:rPr>
              <w:t>Interest and dividend income</w:t>
            </w:r>
            <w:r>
              <w:rPr>
                <w:rFonts w:ascii="Times New Roman" w:cs="Times New Roman" w:eastAsia="Times New Roman" w:hAnsi="Times New Roman"/>
                <w:sz w:val="17"/>
                <w:szCs w:val="17"/>
                <w:color w:val="auto"/>
                <w:vertAlign w:val="superscript"/>
              </w:rPr>
              <w:t>(2)</w:t>
            </w:r>
          </w:p>
        </w:tc>
        <w:tc>
          <w:tcPr>
            <w:tcW w:w="1220" w:type="dxa"/>
            <w:vAlign w:val="bottom"/>
            <w:shd w:val="clear" w:color="auto" w:fill="CFF0FF"/>
          </w:tcPr>
          <w:p>
            <w:pPr>
              <w:spacing w:after="0"/>
              <w:rPr>
                <w:sz w:val="12"/>
                <w:szCs w:val="12"/>
                <w:color w:val="auto"/>
              </w:rPr>
            </w:pPr>
          </w:p>
        </w:tc>
        <w:tc>
          <w:tcPr>
            <w:tcW w:w="100" w:type="dxa"/>
            <w:vAlign w:val="bottom"/>
            <w:shd w:val="clear" w:color="auto" w:fill="CFF0FF"/>
          </w:tcPr>
          <w:p>
            <w:pPr>
              <w:spacing w:after="0"/>
              <w:rPr>
                <w:sz w:val="12"/>
                <w:szCs w:val="12"/>
                <w:color w:val="auto"/>
              </w:rPr>
            </w:pPr>
          </w:p>
        </w:tc>
        <w:tc>
          <w:tcPr>
            <w:tcW w:w="1120" w:type="dxa"/>
            <w:vAlign w:val="bottom"/>
            <w:gridSpan w:val="2"/>
            <w:shd w:val="clear" w:color="auto" w:fill="CFF0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F"/>
          </w:tcPr>
          <w:p>
            <w:pPr>
              <w:spacing w:after="0"/>
              <w:rPr>
                <w:sz w:val="12"/>
                <w:szCs w:val="12"/>
                <w:color w:val="auto"/>
              </w:rPr>
            </w:pPr>
          </w:p>
        </w:tc>
        <w:tc>
          <w:tcPr>
            <w:tcW w:w="140" w:type="dxa"/>
            <w:vAlign w:val="bottom"/>
            <w:shd w:val="clear" w:color="auto" w:fill="CFF0FF"/>
          </w:tcPr>
          <w:p>
            <w:pPr>
              <w:spacing w:after="0"/>
              <w:rPr>
                <w:sz w:val="12"/>
                <w:szCs w:val="12"/>
                <w:color w:val="auto"/>
              </w:rPr>
            </w:pPr>
          </w:p>
        </w:tc>
        <w:tc>
          <w:tcPr>
            <w:tcW w:w="1040" w:type="dxa"/>
            <w:vAlign w:val="bottom"/>
            <w:gridSpan w:val="2"/>
            <w:shd w:val="clear" w:color="auto" w:fill="CFF0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F"/>
          </w:tcPr>
          <w:p>
            <w:pPr>
              <w:spacing w:after="0"/>
              <w:rPr>
                <w:sz w:val="12"/>
                <w:szCs w:val="12"/>
                <w:color w:val="auto"/>
              </w:rPr>
            </w:pPr>
          </w:p>
        </w:tc>
        <w:tc>
          <w:tcPr>
            <w:tcW w:w="220" w:type="dxa"/>
            <w:vAlign w:val="bottom"/>
            <w:shd w:val="clear" w:color="auto" w:fill="CFF0FF"/>
          </w:tcPr>
          <w:p>
            <w:pPr>
              <w:spacing w:after="0"/>
              <w:rPr>
                <w:sz w:val="12"/>
                <w:szCs w:val="12"/>
                <w:color w:val="auto"/>
              </w:rPr>
            </w:pPr>
          </w:p>
        </w:tc>
        <w:tc>
          <w:tcPr>
            <w:tcW w:w="980" w:type="dxa"/>
            <w:vAlign w:val="bottom"/>
            <w:gridSpan w:val="2"/>
            <w:shd w:val="clear" w:color="auto" w:fill="CFF0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F"/>
          </w:tcPr>
          <w:p>
            <w:pPr>
              <w:spacing w:after="0"/>
              <w:rPr>
                <w:sz w:val="12"/>
                <w:szCs w:val="12"/>
                <w:color w:val="auto"/>
              </w:rPr>
            </w:pPr>
          </w:p>
        </w:tc>
        <w:tc>
          <w:tcPr>
            <w:tcW w:w="120" w:type="dxa"/>
            <w:vAlign w:val="bottom"/>
            <w:shd w:val="clear" w:color="auto" w:fill="CFF0FF"/>
          </w:tcPr>
          <w:p>
            <w:pPr>
              <w:spacing w:after="0"/>
              <w:rPr>
                <w:sz w:val="12"/>
                <w:szCs w:val="12"/>
                <w:color w:val="auto"/>
              </w:rPr>
            </w:pPr>
          </w:p>
        </w:tc>
        <w:tc>
          <w:tcPr>
            <w:tcW w:w="1080" w:type="dxa"/>
            <w:vAlign w:val="bottom"/>
            <w:gridSpan w:val="2"/>
            <w:shd w:val="clear" w:color="auto" w:fill="CFF0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F"/>
          </w:tcPr>
          <w:p>
            <w:pPr>
              <w:spacing w:after="0"/>
              <w:rPr>
                <w:sz w:val="12"/>
                <w:szCs w:val="12"/>
                <w:color w:val="auto"/>
              </w:rPr>
            </w:pPr>
          </w:p>
        </w:tc>
        <w:tc>
          <w:tcPr>
            <w:tcW w:w="80" w:type="dxa"/>
            <w:vAlign w:val="bottom"/>
            <w:shd w:val="clear" w:color="auto" w:fill="CFF0FF"/>
          </w:tcPr>
          <w:p>
            <w:pPr>
              <w:spacing w:after="0"/>
              <w:rPr>
                <w:sz w:val="12"/>
                <w:szCs w:val="12"/>
                <w:color w:val="auto"/>
              </w:rPr>
            </w:pPr>
          </w:p>
        </w:tc>
        <w:tc>
          <w:tcPr>
            <w:tcW w:w="1060" w:type="dxa"/>
            <w:vAlign w:val="bottom"/>
            <w:gridSpan w:val="2"/>
            <w:shd w:val="clear" w:color="auto" w:fill="CFF0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19"/>
        </w:trPr>
        <w:tc>
          <w:tcPr>
            <w:tcW w:w="3680" w:type="dxa"/>
            <w:vAlign w:val="bottom"/>
            <w:tcBorders>
              <w:top w:val="single" w:sz="8" w:color="CFF0FF"/>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Total operating and other (income)</w:t>
            </w:r>
          </w:p>
        </w:tc>
        <w:tc>
          <w:tcPr>
            <w:tcW w:w="1220" w:type="dxa"/>
            <w:vAlign w:val="bottom"/>
            <w:tcBorders>
              <w:top w:val="single" w:sz="8" w:color="CFF0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28,731</w:t>
            </w:r>
          </w:p>
        </w:tc>
        <w:tc>
          <w:tcPr>
            <w:tcW w:w="160" w:type="dxa"/>
            <w:vAlign w:val="bottom"/>
            <w:tcBorders>
              <w:top w:val="single" w:sz="8" w:color="CFF0FF"/>
            </w:tcBorders>
          </w:tcPr>
          <w:p>
            <w:pPr>
              <w:spacing w:after="0"/>
              <w:rPr>
                <w:sz w:val="10"/>
                <w:szCs w:val="10"/>
                <w:color w:val="auto"/>
              </w:rPr>
            </w:pPr>
          </w:p>
        </w:tc>
        <w:tc>
          <w:tcPr>
            <w:tcW w:w="120" w:type="dxa"/>
            <w:vAlign w:val="bottom"/>
            <w:tcBorders>
              <w:top w:val="single" w:sz="8" w:color="CFF0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tcBorders>
              <w:top w:val="single" w:sz="8" w:color="CFF0FF"/>
            </w:tcBorders>
          </w:tcPr>
          <w:p>
            <w:pPr>
              <w:spacing w:after="0"/>
              <w:rPr>
                <w:sz w:val="10"/>
                <w:szCs w:val="10"/>
                <w:color w:val="auto"/>
              </w:rPr>
            </w:pPr>
          </w:p>
        </w:tc>
        <w:tc>
          <w:tcPr>
            <w:tcW w:w="80" w:type="dxa"/>
            <w:vAlign w:val="bottom"/>
            <w:tcBorders>
              <w:top w:val="single" w:sz="8" w:color="CFF0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28,949</w:t>
            </w:r>
          </w:p>
        </w:tc>
        <w:tc>
          <w:tcPr>
            <w:tcW w:w="140" w:type="dxa"/>
            <w:vAlign w:val="bottom"/>
            <w:tcBorders>
              <w:top w:val="single" w:sz="8" w:color="CFF0FF"/>
            </w:tcBorders>
          </w:tcPr>
          <w:p>
            <w:pPr>
              <w:spacing w:after="0"/>
              <w:rPr>
                <w:sz w:val="10"/>
                <w:szCs w:val="10"/>
                <w:color w:val="auto"/>
              </w:rPr>
            </w:pPr>
          </w:p>
        </w:tc>
        <w:tc>
          <w:tcPr>
            <w:tcW w:w="100" w:type="dxa"/>
            <w:vAlign w:val="bottom"/>
            <w:tcBorders>
              <w:top w:val="single" w:sz="8" w:color="CFF0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40" w:type="dxa"/>
            <w:vAlign w:val="bottom"/>
            <w:tcBorders>
              <w:top w:val="single" w:sz="8" w:color="CFF0FF"/>
            </w:tcBorders>
          </w:tcPr>
          <w:p>
            <w:pPr>
              <w:spacing w:after="0"/>
              <w:rPr>
                <w:sz w:val="10"/>
                <w:szCs w:val="10"/>
                <w:color w:val="auto"/>
              </w:rPr>
            </w:pPr>
          </w:p>
        </w:tc>
        <w:tc>
          <w:tcPr>
            <w:tcW w:w="100" w:type="dxa"/>
            <w:vAlign w:val="bottom"/>
            <w:tcBorders>
              <w:top w:val="single" w:sz="8" w:color="CFF0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30,799</w:t>
            </w:r>
          </w:p>
        </w:tc>
        <w:tc>
          <w:tcPr>
            <w:tcW w:w="100" w:type="dxa"/>
            <w:vAlign w:val="bottom"/>
            <w:tcBorders>
              <w:top w:val="single" w:sz="8" w:color="CFF0FF"/>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80" w:type="dxa"/>
            <w:vAlign w:val="bottom"/>
          </w:tcPr>
          <w:p>
            <w:pPr>
              <w:ind w:left="360"/>
              <w:spacing w:after="0" w:line="158" w:lineRule="exact"/>
              <w:rPr>
                <w:sz w:val="20"/>
                <w:szCs w:val="20"/>
                <w:color w:val="auto"/>
              </w:rPr>
            </w:pPr>
            <w:r>
              <w:rPr>
                <w:rFonts w:ascii="Times New Roman" w:cs="Times New Roman" w:eastAsia="Times New Roman" w:hAnsi="Times New Roman"/>
                <w:sz w:val="14"/>
                <w:szCs w:val="14"/>
                <w:color w:val="auto"/>
              </w:rPr>
              <w:t>expense</w:t>
            </w:r>
          </w:p>
        </w:tc>
        <w:tc>
          <w:tcPr>
            <w:tcW w:w="1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80" w:type="dxa"/>
            <w:vAlign w:val="bottom"/>
            <w:tcBorders>
              <w:bottom w:val="single" w:sz="8" w:color="CFF0FF"/>
            </w:tcBorders>
            <w:shd w:val="clear" w:color="auto" w:fill="CFF0FF"/>
          </w:tcPr>
          <w:p>
            <w:pPr>
              <w:spacing w:after="0" w:line="142" w:lineRule="exact"/>
              <w:rPr>
                <w:sz w:val="20"/>
                <w:szCs w:val="20"/>
                <w:color w:val="auto"/>
              </w:rPr>
            </w:pPr>
            <w:r>
              <w:rPr>
                <w:rFonts w:ascii="Times New Roman" w:cs="Times New Roman" w:eastAsia="Times New Roman" w:hAnsi="Times New Roman"/>
                <w:sz w:val="14"/>
                <w:szCs w:val="14"/>
                <w:color w:val="auto"/>
              </w:rPr>
              <w:t>Total segment costs loss and net loss</w:t>
            </w:r>
          </w:p>
        </w:tc>
        <w:tc>
          <w:tcPr>
            <w:tcW w:w="122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(28,731)</w:t>
            </w:r>
          </w:p>
        </w:tc>
        <w:tc>
          <w:tcPr>
            <w:tcW w:w="160" w:type="dxa"/>
            <w:vAlign w:val="bottom"/>
            <w:tcBorders>
              <w:bottom w:val="single" w:sz="8" w:color="CFF0FF"/>
            </w:tcBorders>
            <w:shd w:val="clear" w:color="auto" w:fill="CFF0FF"/>
          </w:tcPr>
          <w:p>
            <w:pPr>
              <w:spacing w:after="0"/>
              <w:rPr>
                <w:sz w:val="15"/>
                <w:szCs w:val="15"/>
                <w:color w:val="auto"/>
              </w:rPr>
            </w:pPr>
          </w:p>
        </w:tc>
        <w:tc>
          <w:tcPr>
            <w:tcW w:w="120" w:type="dxa"/>
            <w:vAlign w:val="bottom"/>
            <w:tcBorders>
              <w:bottom w:val="single" w:sz="8" w:color="CFF0FF"/>
            </w:tcBorders>
            <w:shd w:val="clear" w:color="auto" w:fill="CFF0FF"/>
          </w:tcPr>
          <w:p>
            <w:pPr>
              <w:spacing w:after="0"/>
              <w:rPr>
                <w:sz w:val="15"/>
                <w:szCs w:val="15"/>
                <w:color w:val="auto"/>
              </w:rPr>
            </w:pPr>
          </w:p>
        </w:tc>
        <w:tc>
          <w:tcPr>
            <w:tcW w:w="140" w:type="dxa"/>
            <w:vAlign w:val="bottom"/>
            <w:tcBorders>
              <w:bottom w:val="single" w:sz="8" w:color="auto"/>
            </w:tcBorders>
            <w:shd w:val="clear" w:color="auto" w:fill="CFF0FF"/>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(218)</w:t>
            </w:r>
          </w:p>
        </w:tc>
        <w:tc>
          <w:tcPr>
            <w:tcW w:w="140" w:type="dxa"/>
            <w:vAlign w:val="bottom"/>
            <w:tcBorders>
              <w:bottom w:val="single" w:sz="8" w:color="CFF0FF"/>
            </w:tcBorders>
            <w:shd w:val="clear" w:color="auto" w:fill="CFF0FF"/>
          </w:tcPr>
          <w:p>
            <w:pPr>
              <w:spacing w:after="0"/>
              <w:rPr>
                <w:sz w:val="15"/>
                <w:szCs w:val="15"/>
                <w:color w:val="auto"/>
              </w:rPr>
            </w:pPr>
          </w:p>
        </w:tc>
        <w:tc>
          <w:tcPr>
            <w:tcW w:w="80" w:type="dxa"/>
            <w:vAlign w:val="bottom"/>
            <w:tcBorders>
              <w:bottom w:val="single" w:sz="8" w:color="CFF0FF"/>
            </w:tcBorders>
            <w:shd w:val="clear" w:color="auto" w:fill="CFF0FF"/>
          </w:tcPr>
          <w:p>
            <w:pPr>
              <w:spacing w:after="0"/>
              <w:rPr>
                <w:sz w:val="15"/>
                <w:szCs w:val="15"/>
                <w:color w:val="auto"/>
              </w:rPr>
            </w:pPr>
          </w:p>
        </w:tc>
        <w:tc>
          <w:tcPr>
            <w:tcW w:w="220" w:type="dxa"/>
            <w:vAlign w:val="bottom"/>
            <w:tcBorders>
              <w:bottom w:val="single" w:sz="8" w:color="auto"/>
            </w:tcBorders>
            <w:shd w:val="clear" w:color="auto" w:fill="CFF0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(28,949)</w:t>
            </w:r>
          </w:p>
        </w:tc>
        <w:tc>
          <w:tcPr>
            <w:tcW w:w="14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CFF0FF"/>
            </w:tcBorders>
            <w:shd w:val="clear" w:color="auto" w:fill="CFF0FF"/>
          </w:tcPr>
          <w:p>
            <w:pPr>
              <w:spacing w:after="0"/>
              <w:rPr>
                <w:sz w:val="15"/>
                <w:szCs w:val="15"/>
                <w:color w:val="auto"/>
              </w:rPr>
            </w:pPr>
          </w:p>
        </w:tc>
        <w:tc>
          <w:tcPr>
            <w:tcW w:w="120" w:type="dxa"/>
            <w:vAlign w:val="bottom"/>
            <w:tcBorders>
              <w:bottom w:val="single" w:sz="8" w:color="auto"/>
            </w:tcBorders>
            <w:shd w:val="clear" w:color="auto" w:fill="CFF0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(1,850)</w:t>
            </w:r>
          </w:p>
        </w:tc>
        <w:tc>
          <w:tcPr>
            <w:tcW w:w="140" w:type="dxa"/>
            <w:vAlign w:val="bottom"/>
            <w:tcBorders>
              <w:bottom w:val="single" w:sz="8" w:color="CFF0FF"/>
            </w:tcBorders>
            <w:shd w:val="clear" w:color="auto" w:fill="CFF0FF"/>
          </w:tcPr>
          <w:p>
            <w:pPr>
              <w:spacing w:after="0"/>
              <w:rPr>
                <w:sz w:val="15"/>
                <w:szCs w:val="15"/>
                <w:color w:val="auto"/>
              </w:rPr>
            </w:pPr>
          </w:p>
        </w:tc>
        <w:tc>
          <w:tcPr>
            <w:tcW w:w="100" w:type="dxa"/>
            <w:vAlign w:val="bottom"/>
            <w:tcBorders>
              <w:bottom w:val="single" w:sz="8" w:color="CFF0FF"/>
            </w:tcBorders>
            <w:shd w:val="clear" w:color="auto" w:fill="CFF0FF"/>
          </w:tcPr>
          <w:p>
            <w:pPr>
              <w:spacing w:after="0"/>
              <w:rPr>
                <w:sz w:val="15"/>
                <w:szCs w:val="15"/>
                <w:color w:val="auto"/>
              </w:rPr>
            </w:pPr>
          </w:p>
        </w:tc>
        <w:tc>
          <w:tcPr>
            <w:tcW w:w="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(30,799)</w:t>
            </w:r>
          </w:p>
        </w:tc>
        <w:tc>
          <w:tcPr>
            <w:tcW w:w="100" w:type="dxa"/>
            <w:vAlign w:val="bottom"/>
            <w:tcBorders>
              <w:bottom w:val="single" w:sz="8" w:color="CFF0FF"/>
            </w:tcBorders>
            <w:shd w:val="clear" w:color="auto" w:fill="CFF0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-316230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-316230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-316230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-316230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780" w:right="840" w:hanging="263"/>
        <w:spacing w:after="0" w:line="260" w:lineRule="auto"/>
        <w:tabs>
          <w:tab w:leader="none" w:pos="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share-based compensation costs, administrative costs, travel and business taxes.</w:t>
      </w:r>
    </w:p>
    <w:p>
      <w:pPr>
        <w:ind w:left="740" w:hanging="223"/>
        <w:spacing w:after="0"/>
        <w:tabs>
          <w:tab w:leader="none" w:pos="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2024</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Total Segment 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120" w:type="dxa"/>
            <w:vAlign w:val="bottom"/>
            <w:tcBorders>
              <w:top w:val="single" w:sz="8" w:color="auto"/>
            </w:tcBorders>
            <w:shd w:val="clear" w:color="auto" w:fill="CFF0FF"/>
          </w:tcPr>
          <w:p>
            <w:pPr>
              <w:spacing w:after="0"/>
              <w:rPr>
                <w:sz w:val="18"/>
                <w:szCs w:val="18"/>
                <w:color w:val="auto"/>
              </w:rPr>
            </w:pPr>
          </w:p>
        </w:tc>
        <w:tc>
          <w:tcPr>
            <w:tcW w:w="1820" w:type="dxa"/>
            <w:vAlign w:val="bottom"/>
            <w:tcBorders>
              <w:top w:val="single" w:sz="8" w:color="auto"/>
            </w:tcBorders>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1460" w:type="dxa"/>
            <w:vAlign w:val="bottom"/>
            <w:tcBorders>
              <w:top w:val="single" w:sz="8" w:color="auto"/>
            </w:tcBorders>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260" w:type="dxa"/>
            <w:vAlign w:val="bottom"/>
            <w:tcBorders>
              <w:top w:val="single" w:sz="8" w:color="auto"/>
            </w:tcBorders>
            <w:shd w:val="clear" w:color="auto" w:fill="CFF0FF"/>
          </w:tcPr>
          <w:p>
            <w:pPr>
              <w:spacing w:after="0"/>
              <w:rPr>
                <w:sz w:val="18"/>
                <w:szCs w:val="18"/>
                <w:color w:val="auto"/>
              </w:rPr>
            </w:pPr>
          </w:p>
        </w:tc>
        <w:tc>
          <w:tcPr>
            <w:tcW w:w="116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F"/>
          </w:tcPr>
          <w:p>
            <w:pPr>
              <w:spacing w:after="0"/>
              <w:rPr>
                <w:sz w:val="18"/>
                <w:szCs w:val="18"/>
                <w:color w:val="auto"/>
              </w:rPr>
            </w:pPr>
          </w:p>
        </w:tc>
        <w:tc>
          <w:tcPr>
            <w:tcW w:w="19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4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120" w:type="dxa"/>
            <w:vAlign w:val="bottom"/>
            <w:shd w:val="clear" w:color="auto" w:fill="CFF0FF"/>
          </w:tcPr>
          <w:p>
            <w:pPr>
              <w:spacing w:after="0"/>
              <w:rPr>
                <w:sz w:val="18"/>
                <w:szCs w:val="18"/>
                <w:color w:val="auto"/>
              </w:rPr>
            </w:pPr>
          </w:p>
        </w:tc>
        <w:tc>
          <w:tcPr>
            <w:tcW w:w="1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4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1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ME-344</w:t>
            </w:r>
          </w:p>
        </w:tc>
        <w:tc>
          <w:tcPr>
            <w:tcW w:w="120" w:type="dxa"/>
            <w:vAlign w:val="bottom"/>
            <w:shd w:val="clear" w:color="auto" w:fill="CFF0FF"/>
          </w:tcPr>
          <w:p>
            <w:pPr>
              <w:spacing w:after="0"/>
              <w:rPr>
                <w:sz w:val="18"/>
                <w:szCs w:val="18"/>
                <w:color w:val="auto"/>
              </w:rPr>
            </w:pPr>
          </w:p>
        </w:tc>
        <w:tc>
          <w:tcPr>
            <w:tcW w:w="19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64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F"/>
          </w:tcPr>
          <w:p>
            <w:pPr>
              <w:spacing w:after="0"/>
              <w:rPr>
                <w:sz w:val="18"/>
                <w:szCs w:val="18"/>
                <w:color w:val="auto"/>
              </w:rPr>
            </w:pPr>
          </w:p>
        </w:tc>
        <w:tc>
          <w:tcPr>
            <w:tcW w:w="126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12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F"/>
          </w:tcPr>
          <w:p>
            <w:pPr>
              <w:spacing w:after="0"/>
              <w:rPr>
                <w:sz w:val="18"/>
                <w:szCs w:val="18"/>
                <w:color w:val="auto"/>
              </w:rPr>
            </w:pPr>
          </w:p>
        </w:tc>
        <w:tc>
          <w:tcPr>
            <w:tcW w:w="198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64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shd w:val="clear" w:color="auto" w:fill="CFF0FF"/>
          </w:tcPr>
          <w:p>
            <w:pPr>
              <w:spacing w:after="0"/>
              <w:rPr>
                <w:sz w:val="18"/>
                <w:szCs w:val="18"/>
                <w:color w:val="auto"/>
              </w:rPr>
            </w:pPr>
          </w:p>
        </w:tc>
        <w:tc>
          <w:tcPr>
            <w:tcW w:w="126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1"/>
        </w:trPr>
        <w:tc>
          <w:tcPr>
            <w:tcW w:w="462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Borders>
              <w:top w:val="single" w:sz="8" w:color="CFF0FF"/>
            </w:tcBorders>
          </w:tcPr>
          <w:p>
            <w:pPr>
              <w:spacing w:after="0"/>
              <w:rPr>
                <w:sz w:val="16"/>
                <w:szCs w:val="16"/>
                <w:color w:val="auto"/>
              </w:rPr>
            </w:pPr>
          </w:p>
        </w:tc>
        <w:tc>
          <w:tcPr>
            <w:tcW w:w="100" w:type="dxa"/>
            <w:vAlign w:val="bottom"/>
            <w:tcBorders>
              <w:top w:val="single" w:sz="8" w:color="CFF0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Borders>
              <w:top w:val="single" w:sz="8" w:color="CFF0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260" w:type="dxa"/>
            <w:vAlign w:val="bottom"/>
            <w:shd w:val="clear" w:color="auto" w:fill="CFF0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F"/>
            </w:tcBorders>
            <w:shd w:val="clear" w:color="auto" w:fill="CFF0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-445135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-445135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780" w:right="420" w:hanging="263"/>
        <w:spacing w:after="0" w:line="260" w:lineRule="auto"/>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(including rent and utilities), share-based compensation costs, depreciation expense, administrative costs, travel and business taxes.</w:t>
      </w:r>
    </w:p>
    <w:p>
      <w:pPr>
        <w:ind w:left="740" w:hanging="223"/>
        <w:spacing w:after="0"/>
        <w:tabs>
          <w:tab w:leader="none" w:pos="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3"/>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Development of</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Digital Asset</w:t>
            </w:r>
          </w:p>
        </w:tc>
        <w:tc>
          <w:tcPr>
            <w:tcW w:w="10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Pharmaceutical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Segment</w:t>
            </w:r>
          </w:p>
        </w:tc>
        <w:tc>
          <w:tcPr>
            <w:tcW w:w="160" w:type="dxa"/>
            <w:vAlign w:val="bottom"/>
          </w:tcPr>
          <w:p>
            <w:pPr>
              <w:spacing w:after="0"/>
              <w:rPr>
                <w:sz w:val="11"/>
                <w:szCs w:val="11"/>
                <w:color w:val="auto"/>
              </w:rPr>
            </w:pPr>
          </w:p>
        </w:tc>
        <w:tc>
          <w:tcPr>
            <w:tcW w:w="104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Treasury Strategy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6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210"/>
        </w:trPr>
        <w:tc>
          <w:tcPr>
            <w:tcW w:w="49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140" w:type="dxa"/>
            <w:vAlign w:val="bottom"/>
            <w:tcBorders>
              <w:top w:val="single" w:sz="8" w:color="auto"/>
            </w:tcBorders>
            <w:shd w:val="clear" w:color="auto" w:fill="CFF0FF"/>
          </w:tcPr>
          <w:p>
            <w:pPr>
              <w:spacing w:after="0"/>
              <w:rPr>
                <w:sz w:val="18"/>
                <w:szCs w:val="18"/>
                <w:color w:val="auto"/>
              </w:rPr>
            </w:pPr>
          </w:p>
        </w:tc>
        <w:tc>
          <w:tcPr>
            <w:tcW w:w="900" w:type="dxa"/>
            <w:vAlign w:val="bottom"/>
            <w:tcBorders>
              <w:top w:val="single" w:sz="8" w:color="auto"/>
            </w:tcBorders>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86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960" w:type="dxa"/>
            <w:vAlign w:val="bottom"/>
            <w:tcBorders>
              <w:top w:val="single" w:sz="8" w:color="auto"/>
            </w:tcBorders>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60" w:type="dxa"/>
            <w:vAlign w:val="bottom"/>
            <w:tcBorders>
              <w:top w:val="single" w:sz="8" w:color="auto"/>
            </w:tcBorders>
            <w:shd w:val="clear" w:color="auto" w:fill="CFF0FF"/>
          </w:tcPr>
          <w:p>
            <w:pPr>
              <w:spacing w:after="0"/>
              <w:rPr>
                <w:sz w:val="18"/>
                <w:szCs w:val="18"/>
                <w:color w:val="auto"/>
              </w:rPr>
            </w:pPr>
          </w:p>
        </w:tc>
        <w:tc>
          <w:tcPr>
            <w:tcW w:w="900" w:type="dxa"/>
            <w:vAlign w:val="bottom"/>
            <w:tcBorders>
              <w:top w:val="single" w:sz="8" w:color="auto"/>
            </w:tcBorders>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4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F"/>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4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F"/>
          </w:tcPr>
          <w:p>
            <w:pPr>
              <w:ind w:left="100"/>
              <w:spacing w:after="0"/>
              <w:rPr>
                <w:sz w:val="20"/>
                <w:szCs w:val="20"/>
                <w:color w:val="auto"/>
              </w:rPr>
            </w:pPr>
            <w:r>
              <w:rPr>
                <w:rFonts w:ascii="Times New Roman" w:cs="Times New Roman" w:eastAsia="Times New Roman" w:hAnsi="Times New Roman"/>
                <w:sz w:val="18"/>
                <w:szCs w:val="18"/>
                <w:color w:val="auto"/>
              </w:rPr>
              <w:t>Legal fees</w:t>
            </w:r>
          </w:p>
        </w:tc>
        <w:tc>
          <w:tcPr>
            <w:tcW w:w="14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voruciclib</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F"/>
          </w:tcPr>
          <w:p>
            <w:pPr>
              <w:ind w:left="100"/>
              <w:spacing w:after="0"/>
              <w:rPr>
                <w:sz w:val="20"/>
                <w:szCs w:val="20"/>
                <w:color w:val="auto"/>
              </w:rPr>
            </w:pPr>
            <w:r>
              <w:rPr>
                <w:rFonts w:ascii="Times New Roman" w:cs="Times New Roman" w:eastAsia="Times New Roman" w:hAnsi="Times New Roman"/>
                <w:sz w:val="18"/>
                <w:szCs w:val="18"/>
                <w:color w:val="auto"/>
              </w:rPr>
              <w:t>Asset management fee and advisory fees</w:t>
            </w:r>
          </w:p>
        </w:tc>
        <w:tc>
          <w:tcPr>
            <w:tcW w:w="140" w:type="dxa"/>
            <w:vAlign w:val="bottom"/>
            <w:shd w:val="clear" w:color="auto" w:fill="CFF0FF"/>
          </w:tcPr>
          <w:p>
            <w:pPr>
              <w:spacing w:after="0"/>
              <w:rPr>
                <w:sz w:val="18"/>
                <w:szCs w:val="18"/>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8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FF0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140" w:type="dxa"/>
            <w:vAlign w:val="bottom"/>
            <w:shd w:val="clear" w:color="auto" w:fill="CFF0FF"/>
          </w:tcPr>
          <w:p>
            <w:pPr>
              <w:spacing w:after="0"/>
              <w:rPr>
                <w:sz w:val="17"/>
                <w:szCs w:val="17"/>
                <w:color w:val="auto"/>
              </w:rPr>
            </w:pPr>
          </w:p>
        </w:tc>
        <w:tc>
          <w:tcPr>
            <w:tcW w:w="900" w:type="dxa"/>
            <w:vAlign w:val="bottom"/>
            <w:shd w:val="clear" w:color="auto" w:fill="CFF0FF"/>
          </w:tcPr>
          <w:p>
            <w:pPr>
              <w:spacing w:after="0"/>
              <w:rPr>
                <w:sz w:val="17"/>
                <w:szCs w:val="17"/>
                <w:color w:val="auto"/>
              </w:rPr>
            </w:pPr>
          </w:p>
        </w:tc>
        <w:tc>
          <w:tcPr>
            <w:tcW w:w="18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180" w:type="dxa"/>
            <w:vAlign w:val="bottom"/>
            <w:shd w:val="clear" w:color="auto" w:fill="CFF0FF"/>
          </w:tcPr>
          <w:p>
            <w:pPr>
              <w:spacing w:after="0"/>
              <w:rPr>
                <w:sz w:val="17"/>
                <w:szCs w:val="17"/>
                <w:color w:val="auto"/>
              </w:rPr>
            </w:pPr>
          </w:p>
        </w:tc>
        <w:tc>
          <w:tcPr>
            <w:tcW w:w="860" w:type="dxa"/>
            <w:vAlign w:val="bottom"/>
            <w:shd w:val="clear" w:color="auto" w:fill="CFF0FF"/>
          </w:tcPr>
          <w:p>
            <w:pPr>
              <w:spacing w:after="0"/>
              <w:rPr>
                <w:sz w:val="17"/>
                <w:szCs w:val="17"/>
                <w:color w:val="auto"/>
              </w:rPr>
            </w:pPr>
          </w:p>
        </w:tc>
        <w:tc>
          <w:tcPr>
            <w:tcW w:w="12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960" w:type="dxa"/>
            <w:vAlign w:val="bottom"/>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0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80" w:type="dxa"/>
            <w:vAlign w:val="bottom"/>
            <w:shd w:val="clear" w:color="auto" w:fill="CFF0FF"/>
          </w:tcPr>
          <w:p>
            <w:pPr>
              <w:spacing w:after="0"/>
              <w:rPr>
                <w:sz w:val="17"/>
                <w:szCs w:val="17"/>
                <w:color w:val="auto"/>
              </w:rPr>
            </w:pPr>
          </w:p>
        </w:tc>
        <w:tc>
          <w:tcPr>
            <w:tcW w:w="140" w:type="dxa"/>
            <w:vAlign w:val="bottom"/>
            <w:shd w:val="clear" w:color="auto" w:fill="CFF0FF"/>
          </w:tcPr>
          <w:p>
            <w:pPr>
              <w:spacing w:after="0"/>
              <w:rPr>
                <w:sz w:val="17"/>
                <w:szCs w:val="17"/>
                <w:color w:val="auto"/>
              </w:rPr>
            </w:pPr>
          </w:p>
        </w:tc>
        <w:tc>
          <w:tcPr>
            <w:tcW w:w="940" w:type="dxa"/>
            <w:vAlign w:val="bottom"/>
            <w:shd w:val="clear" w:color="auto" w:fill="CFF0FF"/>
          </w:tcPr>
          <w:p>
            <w:pPr>
              <w:spacing w:after="0"/>
              <w:rPr>
                <w:sz w:val="17"/>
                <w:szCs w:val="17"/>
                <w:color w:val="auto"/>
              </w:rPr>
            </w:pPr>
          </w:p>
        </w:tc>
        <w:tc>
          <w:tcPr>
            <w:tcW w:w="10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FF0FF"/>
          </w:tcPr>
          <w:p>
            <w:pPr>
              <w:ind w:left="280"/>
              <w:spacing w:after="0"/>
              <w:rPr>
                <w:sz w:val="20"/>
                <w:szCs w:val="20"/>
                <w:color w:val="auto"/>
              </w:rPr>
            </w:pPr>
            <w:r>
              <w:rPr>
                <w:rFonts w:ascii="Times New Roman" w:cs="Times New Roman" w:eastAsia="Times New Roman" w:hAnsi="Times New Roman"/>
                <w:sz w:val="18"/>
                <w:szCs w:val="18"/>
                <w:color w:val="auto"/>
              </w:rPr>
              <w:t>receivable, net</w:t>
            </w:r>
          </w:p>
        </w:tc>
        <w:tc>
          <w:tcPr>
            <w:tcW w:w="140" w:type="dxa"/>
            <w:vAlign w:val="bottom"/>
            <w:shd w:val="clear" w:color="auto" w:fill="CFF0FF"/>
          </w:tcPr>
          <w:p>
            <w:pPr>
              <w:spacing w:after="0"/>
              <w:rPr>
                <w:sz w:val="20"/>
                <w:szCs w:val="20"/>
                <w:color w:val="auto"/>
              </w:rPr>
            </w:pPr>
          </w:p>
        </w:tc>
        <w:tc>
          <w:tcPr>
            <w:tcW w:w="9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8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180" w:type="dxa"/>
            <w:vAlign w:val="bottom"/>
            <w:shd w:val="clear" w:color="auto" w:fill="CFF0FF"/>
          </w:tcPr>
          <w:p>
            <w:pPr>
              <w:spacing w:after="0"/>
              <w:rPr>
                <w:sz w:val="20"/>
                <w:szCs w:val="20"/>
                <w:color w:val="auto"/>
              </w:rPr>
            </w:pPr>
          </w:p>
        </w:tc>
        <w:tc>
          <w:tcPr>
            <w:tcW w:w="98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9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shd w:val="clear" w:color="auto" w:fill="CFF0FF"/>
          </w:tcPr>
          <w:p>
            <w:pPr>
              <w:spacing w:after="0"/>
              <w:rPr>
                <w:sz w:val="20"/>
                <w:szCs w:val="20"/>
                <w:color w:val="auto"/>
              </w:rPr>
            </w:pPr>
          </w:p>
        </w:tc>
        <w:tc>
          <w:tcPr>
            <w:tcW w:w="160" w:type="dxa"/>
            <w:vAlign w:val="bottom"/>
            <w:shd w:val="clear" w:color="auto" w:fill="CFF0FF"/>
          </w:tcPr>
          <w:p>
            <w:pPr>
              <w:spacing w:after="0"/>
              <w:rPr>
                <w:sz w:val="20"/>
                <w:szCs w:val="20"/>
                <w:color w:val="auto"/>
              </w:rPr>
            </w:pPr>
          </w:p>
        </w:tc>
        <w:tc>
          <w:tcPr>
            <w:tcW w:w="104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20"/>
                <w:szCs w:val="20"/>
                <w:color w:val="auto"/>
              </w:rPr>
            </w:pPr>
          </w:p>
        </w:tc>
        <w:tc>
          <w:tcPr>
            <w:tcW w:w="140" w:type="dxa"/>
            <w:vAlign w:val="bottom"/>
            <w:shd w:val="clear" w:color="auto" w:fill="CFF0FF"/>
          </w:tcPr>
          <w:p>
            <w:pPr>
              <w:spacing w:after="0"/>
              <w:rPr>
                <w:sz w:val="20"/>
                <w:szCs w:val="20"/>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FF0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derivative liabilities</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4940" w:type="dxa"/>
            <w:vAlign w:val="bottom"/>
            <w:shd w:val="clear" w:color="auto" w:fill="CFF0FF"/>
          </w:tcPr>
          <w:p>
            <w:pPr>
              <w:ind w:left="10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F"/>
          </w:tcPr>
          <w:p>
            <w:pPr>
              <w:spacing w:after="0"/>
              <w:rPr>
                <w:sz w:val="18"/>
                <w:szCs w:val="18"/>
                <w:color w:val="auto"/>
              </w:rPr>
            </w:pPr>
          </w:p>
        </w:tc>
        <w:tc>
          <w:tcPr>
            <w:tcW w:w="108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980" w:type="dxa"/>
            <w:vAlign w:val="bottom"/>
            <w:gridSpan w:val="2"/>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180" w:type="dxa"/>
            <w:vAlign w:val="bottom"/>
            <w:gridSpan w:val="2"/>
            <w:shd w:val="clear" w:color="auto" w:fill="CFF0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4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1"/>
        </w:trPr>
        <w:tc>
          <w:tcPr>
            <w:tcW w:w="4940" w:type="dxa"/>
            <w:vAlign w:val="bottom"/>
            <w:tcBorders>
              <w:top w:val="single" w:sz="8" w:color="CFF0FF"/>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180" w:type="dxa"/>
            <w:vAlign w:val="bottom"/>
            <w:tcBorders>
              <w:top w:val="single" w:sz="8" w:color="CFF0FF"/>
            </w:tcBorders>
          </w:tcPr>
          <w:p>
            <w:pPr>
              <w:spacing w:after="0"/>
              <w:rPr>
                <w:sz w:val="16"/>
                <w:szCs w:val="16"/>
                <w:color w:val="auto"/>
              </w:rPr>
            </w:pPr>
          </w:p>
        </w:tc>
        <w:tc>
          <w:tcPr>
            <w:tcW w:w="100" w:type="dxa"/>
            <w:vAlign w:val="bottom"/>
            <w:tcBorders>
              <w:top w:val="single" w:sz="8" w:color="CFF0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20" w:type="dxa"/>
            <w:vAlign w:val="bottom"/>
            <w:tcBorders>
              <w:top w:val="single" w:sz="8" w:color="CFF0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top w:val="single" w:sz="8" w:color="CFF0FF"/>
            </w:tcBorders>
          </w:tcPr>
          <w:p>
            <w:pPr>
              <w:spacing w:after="0"/>
              <w:rPr>
                <w:sz w:val="16"/>
                <w:szCs w:val="16"/>
                <w:color w:val="auto"/>
              </w:rPr>
            </w:pPr>
          </w:p>
        </w:tc>
        <w:tc>
          <w:tcPr>
            <w:tcW w:w="80" w:type="dxa"/>
            <w:vAlign w:val="bottom"/>
            <w:tcBorders>
              <w:top w:val="single" w:sz="8" w:color="CFF0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1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(30,264)</w:t>
            </w:r>
          </w:p>
        </w:tc>
        <w:tc>
          <w:tcPr>
            <w:tcW w:w="28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(30,686)</w:t>
            </w:r>
          </w:p>
        </w:tc>
        <w:tc>
          <w:tcPr>
            <w:tcW w:w="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8"/>
                <w:szCs w:val="18"/>
                <w:color w:val="auto"/>
              </w:rPr>
              <w:t>(3,752)</w:t>
            </w:r>
          </w:p>
        </w:tc>
        <w:tc>
          <w:tcPr>
            <w:tcW w:w="22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(34,438)</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F"/>
            </w:tcBorders>
            <w:shd w:val="clear" w:color="auto" w:fill="CFF0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F"/>
            </w:tcBorders>
            <w:shd w:val="clear" w:color="auto" w:fill="CFF0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-445135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-445135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-445135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-445135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80" w:right="840" w:hanging="263"/>
        <w:spacing w:after="0" w:line="260"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share-based compensation costs, administrative costs, travel and business taxes.</w:t>
      </w:r>
    </w:p>
    <w:p>
      <w:pPr>
        <w:ind w:left="740" w:hanging="223"/>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 2024</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22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Total Segment 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120" w:type="dxa"/>
            <w:vAlign w:val="bottom"/>
            <w:tcBorders>
              <w:top w:val="single" w:sz="8" w:color="auto"/>
            </w:tcBorders>
            <w:shd w:val="clear" w:color="auto" w:fill="CFF0FF"/>
          </w:tcPr>
          <w:p>
            <w:pPr>
              <w:spacing w:after="0"/>
              <w:rPr>
                <w:sz w:val="18"/>
                <w:szCs w:val="18"/>
                <w:color w:val="auto"/>
              </w:rPr>
            </w:pPr>
          </w:p>
        </w:tc>
        <w:tc>
          <w:tcPr>
            <w:tcW w:w="1820" w:type="dxa"/>
            <w:vAlign w:val="bottom"/>
            <w:tcBorders>
              <w:top w:val="single" w:sz="8" w:color="auto"/>
            </w:tcBorders>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1460" w:type="dxa"/>
            <w:vAlign w:val="bottom"/>
            <w:tcBorders>
              <w:top w:val="single" w:sz="8" w:color="auto"/>
            </w:tcBorders>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220" w:type="dxa"/>
            <w:vAlign w:val="bottom"/>
            <w:tcBorders>
              <w:top w:val="single" w:sz="8" w:color="auto"/>
            </w:tcBorders>
            <w:shd w:val="clear" w:color="auto" w:fill="CFF0FF"/>
          </w:tcPr>
          <w:p>
            <w:pPr>
              <w:spacing w:after="0"/>
              <w:rPr>
                <w:sz w:val="18"/>
                <w:szCs w:val="18"/>
                <w:color w:val="auto"/>
              </w:rPr>
            </w:pPr>
          </w:p>
        </w:tc>
        <w:tc>
          <w:tcPr>
            <w:tcW w:w="120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F"/>
          </w:tcPr>
          <w:p>
            <w:pPr>
              <w:spacing w:after="0"/>
              <w:rPr>
                <w:sz w:val="18"/>
                <w:szCs w:val="18"/>
                <w:color w:val="auto"/>
              </w:rPr>
            </w:pPr>
          </w:p>
        </w:tc>
        <w:tc>
          <w:tcPr>
            <w:tcW w:w="1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4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Legal fees</w:t>
            </w:r>
          </w:p>
        </w:tc>
        <w:tc>
          <w:tcPr>
            <w:tcW w:w="120" w:type="dxa"/>
            <w:vAlign w:val="bottom"/>
            <w:shd w:val="clear" w:color="auto" w:fill="CFF0FF"/>
          </w:tcPr>
          <w:p>
            <w:pPr>
              <w:spacing w:after="0"/>
              <w:rPr>
                <w:sz w:val="18"/>
                <w:szCs w:val="18"/>
                <w:color w:val="auto"/>
              </w:rPr>
            </w:pPr>
          </w:p>
        </w:tc>
        <w:tc>
          <w:tcPr>
            <w:tcW w:w="1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4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voruciclib</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ME-344</w:t>
            </w:r>
          </w:p>
        </w:tc>
        <w:tc>
          <w:tcPr>
            <w:tcW w:w="120" w:type="dxa"/>
            <w:vAlign w:val="bottom"/>
            <w:shd w:val="clear" w:color="auto" w:fill="CFF0FF"/>
          </w:tcPr>
          <w:p>
            <w:pPr>
              <w:spacing w:after="0"/>
              <w:rPr>
                <w:sz w:val="18"/>
                <w:szCs w:val="18"/>
                <w:color w:val="auto"/>
              </w:rPr>
            </w:pPr>
          </w:p>
        </w:tc>
        <w:tc>
          <w:tcPr>
            <w:tcW w:w="18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640" w:type="dxa"/>
            <w:vAlign w:val="bottom"/>
            <w:gridSpan w:val="2"/>
            <w:shd w:val="clear" w:color="auto" w:fill="CFF0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F"/>
          </w:tcPr>
          <w:p>
            <w:pPr>
              <w:spacing w:after="0"/>
              <w:rPr>
                <w:sz w:val="18"/>
                <w:szCs w:val="18"/>
                <w:color w:val="auto"/>
              </w:rPr>
            </w:pPr>
          </w:p>
        </w:tc>
        <w:tc>
          <w:tcPr>
            <w:tcW w:w="12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disposition of nonfinancial asset</w:t>
            </w:r>
          </w:p>
        </w:tc>
        <w:tc>
          <w:tcPr>
            <w:tcW w:w="120" w:type="dxa"/>
            <w:vAlign w:val="bottom"/>
          </w:tcPr>
          <w:p>
            <w:pPr>
              <w:spacing w:after="0"/>
              <w:rPr>
                <w:sz w:val="18"/>
                <w:szCs w:val="18"/>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80"/>
              <w:spacing w:after="0" w:line="216" w:lineRule="exact"/>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F"/>
          </w:tcPr>
          <w:p>
            <w:pPr>
              <w:spacing w:after="0"/>
              <w:rPr>
                <w:sz w:val="18"/>
                <w:szCs w:val="18"/>
                <w:color w:val="auto"/>
              </w:rPr>
            </w:pPr>
          </w:p>
        </w:tc>
        <w:tc>
          <w:tcPr>
            <w:tcW w:w="1980" w:type="dxa"/>
            <w:vAlign w:val="bottom"/>
            <w:gridSpan w:val="2"/>
            <w:shd w:val="clear" w:color="auto" w:fill="CFF0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64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shd w:val="clear" w:color="auto" w:fill="CFF0FF"/>
          </w:tcPr>
          <w:p>
            <w:pPr>
              <w:spacing w:after="0"/>
              <w:rPr>
                <w:sz w:val="18"/>
                <w:szCs w:val="18"/>
                <w:color w:val="auto"/>
              </w:rPr>
            </w:pPr>
          </w:p>
        </w:tc>
        <w:tc>
          <w:tcPr>
            <w:tcW w:w="130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191"/>
        </w:trPr>
        <w:tc>
          <w:tcPr>
            <w:tcW w:w="4620" w:type="dxa"/>
            <w:vAlign w:val="bottom"/>
            <w:tcBorders>
              <w:top w:val="single" w:sz="8" w:color="CFF0FF"/>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operating and other (income)</w:t>
            </w: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tcBorders>
              <w:top w:val="single" w:sz="8" w:color="CFF0FF"/>
            </w:tcBorders>
          </w:tcPr>
          <w:p>
            <w:pPr>
              <w:spacing w:after="0"/>
              <w:rPr>
                <w:sz w:val="16"/>
                <w:szCs w:val="16"/>
                <w:color w:val="auto"/>
              </w:rPr>
            </w:pPr>
          </w:p>
        </w:tc>
        <w:tc>
          <w:tcPr>
            <w:tcW w:w="100" w:type="dxa"/>
            <w:vAlign w:val="bottom"/>
            <w:tcBorders>
              <w:top w:val="single" w:sz="8" w:color="CFF0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80" w:type="dxa"/>
            <w:vAlign w:val="bottom"/>
            <w:tcBorders>
              <w:top w:val="single" w:sz="8" w:color="CFF0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tcBorders>
              <w:top w:val="single" w:sz="8" w:color="CFF0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and net loss</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(3,880)</w:t>
            </w:r>
          </w:p>
        </w:tc>
        <w:tc>
          <w:tcPr>
            <w:tcW w:w="22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(6,804)</w:t>
            </w:r>
          </w:p>
        </w:tc>
        <w:tc>
          <w:tcPr>
            <w:tcW w:w="220" w:type="dxa"/>
            <w:vAlign w:val="bottom"/>
            <w:shd w:val="clear" w:color="auto" w:fill="CFF0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F"/>
            </w:tcBorders>
            <w:shd w:val="clear" w:color="auto" w:fill="CFF0FF"/>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F"/>
            </w:tcBorders>
            <w:shd w:val="clear" w:color="auto" w:fill="CFF0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-445135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-445135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80" w:right="420" w:hanging="263"/>
        <w:spacing w:after="0" w:line="260" w:lineRule="auto"/>
        <w:tabs>
          <w:tab w:leader="none" w:pos="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(including rent and utilities), share-based compensation costs, depreciation expense, administrative costs, travel and business taxes.</w:t>
      </w:r>
    </w:p>
    <w:p>
      <w:pPr>
        <w:ind w:left="740" w:hanging="223"/>
        <w:spacing w:after="0"/>
        <w:tabs>
          <w:tab w:leader="none" w:pos="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5"/>
        </w:trPr>
        <w:tc>
          <w:tcPr>
            <w:tcW w:w="3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Digital Asset</w:t>
            </w:r>
          </w:p>
        </w:tc>
        <w:tc>
          <w:tcPr>
            <w:tcW w:w="30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Pharmaceutical</w:t>
            </w:r>
          </w:p>
        </w:tc>
        <w:tc>
          <w:tcPr>
            <w:tcW w:w="200" w:type="dxa"/>
            <w:vAlign w:val="bottom"/>
          </w:tcPr>
          <w:p>
            <w:pPr>
              <w:spacing w:after="0"/>
              <w:rPr>
                <w:sz w:val="12"/>
                <w:szCs w:val="12"/>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Segment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980" w:type="dxa"/>
            <w:vAlign w:val="bottom"/>
          </w:tcPr>
          <w:p>
            <w:pPr>
              <w:spacing w:after="0"/>
              <w:rPr>
                <w:sz w:val="14"/>
                <w:szCs w:val="14"/>
                <w:color w:val="auto"/>
              </w:rPr>
            </w:pPr>
          </w:p>
        </w:tc>
        <w:tc>
          <w:tcPr>
            <w:tcW w:w="2020" w:type="dxa"/>
            <w:vAlign w:val="bottom"/>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Treasury Strategy</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Products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209"/>
        </w:trPr>
        <w:tc>
          <w:tcPr>
            <w:tcW w:w="39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shd w:val="clear" w:color="auto" w:fill="CFF0FF"/>
          </w:tcPr>
          <w:p>
            <w:pPr>
              <w:spacing w:after="0"/>
              <w:rPr>
                <w:sz w:val="18"/>
                <w:szCs w:val="18"/>
                <w:color w:val="auto"/>
              </w:rPr>
            </w:pPr>
          </w:p>
        </w:tc>
        <w:tc>
          <w:tcPr>
            <w:tcW w:w="12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80" w:type="dxa"/>
            <w:vAlign w:val="bottom"/>
            <w:tcBorders>
              <w:top w:val="single" w:sz="8" w:color="auto"/>
            </w:tcBorders>
            <w:shd w:val="clear" w:color="auto" w:fill="CFF0FF"/>
          </w:tcPr>
          <w:p>
            <w:pPr>
              <w:spacing w:after="0"/>
              <w:rPr>
                <w:sz w:val="18"/>
                <w:szCs w:val="18"/>
                <w:color w:val="auto"/>
              </w:rPr>
            </w:pPr>
          </w:p>
        </w:tc>
        <w:tc>
          <w:tcPr>
            <w:tcW w:w="880" w:type="dxa"/>
            <w:vAlign w:val="bottom"/>
            <w:tcBorders>
              <w:top w:val="single" w:sz="8" w:color="auto"/>
            </w:tcBorders>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200" w:type="dxa"/>
            <w:vAlign w:val="bottom"/>
            <w:tcBorders>
              <w:top w:val="single" w:sz="8" w:color="auto"/>
            </w:tcBorders>
            <w:shd w:val="clear" w:color="auto" w:fill="CFF0FF"/>
          </w:tcPr>
          <w:p>
            <w:pPr>
              <w:spacing w:after="0"/>
              <w:rPr>
                <w:sz w:val="18"/>
                <w:szCs w:val="18"/>
                <w:color w:val="auto"/>
              </w:rPr>
            </w:pPr>
          </w:p>
        </w:tc>
        <w:tc>
          <w:tcPr>
            <w:tcW w:w="840" w:type="dxa"/>
            <w:vAlign w:val="bottom"/>
            <w:tcBorders>
              <w:top w:val="single" w:sz="8" w:color="auto"/>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20" w:type="dxa"/>
            <w:vAlign w:val="bottom"/>
            <w:tcBorders>
              <w:top w:val="single" w:sz="8" w:color="auto"/>
            </w:tcBorders>
            <w:shd w:val="clear" w:color="auto" w:fill="CFF0FF"/>
          </w:tcPr>
          <w:p>
            <w:pPr>
              <w:spacing w:after="0"/>
              <w:rPr>
                <w:sz w:val="18"/>
                <w:szCs w:val="18"/>
                <w:color w:val="auto"/>
              </w:rPr>
            </w:pPr>
          </w:p>
        </w:tc>
        <w:tc>
          <w:tcPr>
            <w:tcW w:w="720" w:type="dxa"/>
            <w:vAlign w:val="bottom"/>
            <w:tcBorders>
              <w:top w:val="single" w:sz="8" w:color="auto"/>
            </w:tcBorders>
            <w:shd w:val="clear" w:color="auto" w:fill="CFF0FF"/>
          </w:tcPr>
          <w:p>
            <w:pPr>
              <w:spacing w:after="0"/>
              <w:rPr>
                <w:sz w:val="18"/>
                <w:szCs w:val="18"/>
                <w:color w:val="auto"/>
              </w:rPr>
            </w:pPr>
          </w:p>
        </w:tc>
        <w:tc>
          <w:tcPr>
            <w:tcW w:w="240" w:type="dxa"/>
            <w:vAlign w:val="bottom"/>
            <w:shd w:val="clear" w:color="auto" w:fill="CFF0FF"/>
          </w:tcPr>
          <w:p>
            <w:pPr>
              <w:spacing w:after="0"/>
              <w:rPr>
                <w:sz w:val="18"/>
                <w:szCs w:val="18"/>
                <w:color w:val="auto"/>
              </w:rPr>
            </w:pPr>
          </w:p>
        </w:tc>
        <w:tc>
          <w:tcPr>
            <w:tcW w:w="100" w:type="dxa"/>
            <w:vAlign w:val="bottom"/>
            <w:tcBorders>
              <w:top w:val="single" w:sz="8" w:color="auto"/>
            </w:tcBorders>
            <w:shd w:val="clear" w:color="auto" w:fill="CFF0FF"/>
          </w:tcPr>
          <w:p>
            <w:pPr>
              <w:spacing w:after="0"/>
              <w:rPr>
                <w:sz w:val="18"/>
                <w:szCs w:val="18"/>
                <w:color w:val="auto"/>
              </w:rPr>
            </w:pPr>
          </w:p>
        </w:tc>
        <w:tc>
          <w:tcPr>
            <w:tcW w:w="940" w:type="dxa"/>
            <w:vAlign w:val="bottom"/>
            <w:tcBorders>
              <w:top w:val="single" w:sz="8" w:color="auto"/>
            </w:tcBorders>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F"/>
            </w:tcBorders>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Borders>
              <w:bottom w:val="single" w:sz="8" w:color="CFF0FF"/>
            </w:tcBorders>
            <w:shd w:val="clear" w:color="auto" w:fill="CFF0FF"/>
          </w:tcPr>
          <w:p>
            <w:pPr>
              <w:spacing w:after="0"/>
              <w:rPr>
                <w:sz w:val="18"/>
                <w:szCs w:val="18"/>
                <w:color w:val="auto"/>
              </w:rPr>
            </w:pPr>
          </w:p>
        </w:tc>
        <w:tc>
          <w:tcPr>
            <w:tcW w:w="120" w:type="dxa"/>
            <w:vAlign w:val="bottom"/>
            <w:tcBorders>
              <w:bottom w:val="single" w:sz="8" w:color="auto"/>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80" w:type="dxa"/>
            <w:vAlign w:val="bottom"/>
            <w:tcBorders>
              <w:bottom w:val="single" w:sz="8" w:color="auto"/>
            </w:tcBorders>
            <w:shd w:val="clear" w:color="auto" w:fill="CFF0FF"/>
          </w:tcPr>
          <w:p>
            <w:pPr>
              <w:ind w:left="680"/>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8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CFF0FF"/>
            </w:tcBorders>
            <w:shd w:val="clear" w:color="auto" w:fill="CFF0FF"/>
          </w:tcPr>
          <w:p>
            <w:pPr>
              <w:spacing w:after="0"/>
              <w:rPr>
                <w:sz w:val="18"/>
                <w:szCs w:val="18"/>
                <w:color w:val="auto"/>
              </w:rPr>
            </w:pPr>
          </w:p>
        </w:tc>
        <w:tc>
          <w:tcPr>
            <w:tcW w:w="320" w:type="dxa"/>
            <w:vAlign w:val="bottom"/>
            <w:tcBorders>
              <w:bottom w:val="single" w:sz="8" w:color="auto"/>
            </w:tcBorders>
            <w:shd w:val="clear" w:color="auto" w:fill="CFF0FF"/>
          </w:tcPr>
          <w:p>
            <w:pPr>
              <w:spacing w:after="0"/>
              <w:rPr>
                <w:sz w:val="18"/>
                <w:szCs w:val="18"/>
                <w:color w:val="auto"/>
              </w:rPr>
            </w:pPr>
          </w:p>
        </w:tc>
        <w:tc>
          <w:tcPr>
            <w:tcW w:w="7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FF0FF"/>
            </w:tcBorders>
            <w:shd w:val="clear" w:color="auto" w:fill="CFF0FF"/>
          </w:tcPr>
          <w:p>
            <w:pPr>
              <w:spacing w:after="0"/>
              <w:rPr>
                <w:sz w:val="18"/>
                <w:szCs w:val="18"/>
                <w:color w:val="auto"/>
              </w:rPr>
            </w:pPr>
          </w:p>
        </w:tc>
      </w:tr>
      <w:tr>
        <w:trPr>
          <w:trHeight w:val="210"/>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00" w:type="dxa"/>
            <w:vAlign w:val="bottom"/>
          </w:tcPr>
          <w:p>
            <w:pPr>
              <w:spacing w:after="0"/>
              <w:rPr>
                <w:sz w:val="18"/>
                <w:szCs w:val="18"/>
                <w:color w:val="auto"/>
              </w:rPr>
            </w:pPr>
          </w:p>
        </w:tc>
      </w:tr>
      <w:tr>
        <w:trPr>
          <w:trHeight w:val="216"/>
        </w:trPr>
        <w:tc>
          <w:tcPr>
            <w:tcW w:w="398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Digital assets</w:t>
            </w:r>
          </w:p>
        </w:tc>
        <w:tc>
          <w:tcPr>
            <w:tcW w:w="96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300" w:type="dxa"/>
            <w:vAlign w:val="bottom"/>
            <w:shd w:val="clear" w:color="auto" w:fill="CFF0FF"/>
          </w:tcPr>
          <w:p>
            <w:pPr>
              <w:spacing w:after="0"/>
              <w:rPr>
                <w:sz w:val="18"/>
                <w:szCs w:val="18"/>
                <w:color w:val="auto"/>
              </w:rPr>
            </w:pPr>
          </w:p>
        </w:tc>
        <w:tc>
          <w:tcPr>
            <w:tcW w:w="180" w:type="dxa"/>
            <w:vAlign w:val="bottom"/>
            <w:shd w:val="clear" w:color="auto" w:fill="CFF0FF"/>
          </w:tcPr>
          <w:p>
            <w:pPr>
              <w:spacing w:after="0"/>
              <w:rPr>
                <w:sz w:val="18"/>
                <w:szCs w:val="18"/>
                <w:color w:val="auto"/>
              </w:rPr>
            </w:pPr>
          </w:p>
        </w:tc>
        <w:tc>
          <w:tcPr>
            <w:tcW w:w="880" w:type="dxa"/>
            <w:vAlign w:val="bottom"/>
            <w:shd w:val="clear" w:color="auto" w:fill="CFF0FF"/>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8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12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7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100" w:type="dxa"/>
            <w:vAlign w:val="bottom"/>
            <w:shd w:val="clear" w:color="auto" w:fill="CFF0FF"/>
          </w:tcPr>
          <w:p>
            <w:pPr>
              <w:spacing w:after="0"/>
              <w:rPr>
                <w:sz w:val="18"/>
                <w:szCs w:val="18"/>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F"/>
            </w:tcBorders>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Borders>
              <w:bottom w:val="single" w:sz="8" w:color="CFF0FF"/>
            </w:tcBorders>
            <w:shd w:val="clear" w:color="auto" w:fill="CFF0FF"/>
          </w:tcPr>
          <w:p>
            <w:pPr>
              <w:spacing w:after="0"/>
              <w:rPr>
                <w:sz w:val="18"/>
                <w:szCs w:val="18"/>
                <w:color w:val="auto"/>
              </w:rPr>
            </w:pPr>
          </w:p>
        </w:tc>
        <w:tc>
          <w:tcPr>
            <w:tcW w:w="120" w:type="dxa"/>
            <w:vAlign w:val="bottom"/>
            <w:tcBorders>
              <w:bottom w:val="single" w:sz="8" w:color="auto"/>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F"/>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18"/>
                <w:szCs w:val="18"/>
                <w:color w:val="auto"/>
              </w:rPr>
            </w:pPr>
          </w:p>
        </w:tc>
        <w:tc>
          <w:tcPr>
            <w:tcW w:w="880" w:type="dxa"/>
            <w:vAlign w:val="bottom"/>
            <w:tcBorders>
              <w:bottom w:val="single" w:sz="8" w:color="auto"/>
            </w:tcBorders>
            <w:shd w:val="clear" w:color="auto" w:fill="CFF0FF"/>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8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CFF0FF"/>
            </w:tcBorders>
            <w:shd w:val="clear" w:color="auto" w:fill="CFF0FF"/>
          </w:tcPr>
          <w:p>
            <w:pPr>
              <w:spacing w:after="0"/>
              <w:rPr>
                <w:sz w:val="18"/>
                <w:szCs w:val="18"/>
                <w:color w:val="auto"/>
              </w:rPr>
            </w:pPr>
          </w:p>
        </w:tc>
        <w:tc>
          <w:tcPr>
            <w:tcW w:w="320" w:type="dxa"/>
            <w:vAlign w:val="bottom"/>
            <w:tcBorders>
              <w:bottom w:val="single" w:sz="8" w:color="auto"/>
            </w:tcBorders>
            <w:shd w:val="clear" w:color="auto" w:fill="CFF0FF"/>
          </w:tcPr>
          <w:p>
            <w:pPr>
              <w:spacing w:after="0"/>
              <w:rPr>
                <w:sz w:val="18"/>
                <w:szCs w:val="18"/>
                <w:color w:val="auto"/>
              </w:rPr>
            </w:pPr>
          </w:p>
        </w:tc>
        <w:tc>
          <w:tcPr>
            <w:tcW w:w="7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Borders>
              <w:bottom w:val="single" w:sz="8" w:color="CFF0FF"/>
            </w:tcBorders>
            <w:shd w:val="clear" w:color="auto" w:fill="CFF0FF"/>
          </w:tcPr>
          <w:p>
            <w:pPr>
              <w:spacing w:after="0"/>
              <w:rPr>
                <w:sz w:val="18"/>
                <w:szCs w:val="18"/>
                <w:color w:val="auto"/>
              </w:rPr>
            </w:pPr>
          </w:p>
        </w:tc>
        <w:tc>
          <w:tcPr>
            <w:tcW w:w="100" w:type="dxa"/>
            <w:vAlign w:val="bottom"/>
            <w:tcBorders>
              <w:bottom w:val="single" w:sz="8" w:color="auto"/>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FF0FF"/>
            </w:tcBorders>
            <w:shd w:val="clear" w:color="auto" w:fill="CFF0FF"/>
          </w:tcPr>
          <w:p>
            <w:pPr>
              <w:spacing w:after="0"/>
              <w:rPr>
                <w:sz w:val="18"/>
                <w:szCs w:val="18"/>
                <w:color w:val="auto"/>
              </w:rPr>
            </w:pPr>
          </w:p>
        </w:tc>
      </w:tr>
      <w:tr>
        <w:trPr>
          <w:trHeight w:val="209"/>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72,381</w:t>
            </w:r>
          </w:p>
        </w:tc>
        <w:tc>
          <w:tcPr>
            <w:tcW w:w="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51</w:t>
            </w:r>
          </w:p>
        </w:tc>
        <w:tc>
          <w:tcPr>
            <w:tcW w:w="4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72,432</w:t>
            </w:r>
          </w:p>
        </w:tc>
        <w:tc>
          <w:tcPr>
            <w:tcW w:w="1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82,937</w:t>
            </w: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2"/>
        </w:trPr>
        <w:tc>
          <w:tcPr>
            <w:tcW w:w="3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-1636395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-1636395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-1636395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-1636395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-1079500</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-1079500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-1079500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-1079500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760" w:type="dxa"/>
            <w:vAlign w:val="bottom"/>
          </w:tcPr>
          <w:p>
            <w:pPr>
              <w:jc w:val="center"/>
              <w:ind w:left="44"/>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760" w:type="dxa"/>
            <w:vAlign w:val="bottom"/>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Corporate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and Total Segment Assets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760" w:type="dxa"/>
            <w:vAlign w:val="bottom"/>
            <w:shd w:val="clear" w:color="auto" w:fill="CFF0FF"/>
          </w:tcPr>
          <w:p>
            <w:pPr>
              <w:jc w:val="right"/>
              <w:ind w:right="160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3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25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F"/>
            </w:tcBorders>
            <w:shd w:val="clear" w:color="auto" w:fill="CFF0FF"/>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Borders>
              <w:bottom w:val="single" w:sz="8" w:color="auto"/>
            </w:tcBorders>
            <w:shd w:val="clear" w:color="auto" w:fill="CFF0FF"/>
          </w:tcPr>
          <w:p>
            <w:pPr>
              <w:spacing w:after="0"/>
              <w:rPr>
                <w:sz w:val="18"/>
                <w:szCs w:val="18"/>
                <w:color w:val="auto"/>
              </w:rPr>
            </w:pPr>
          </w:p>
        </w:tc>
        <w:tc>
          <w:tcPr>
            <w:tcW w:w="180" w:type="dxa"/>
            <w:vAlign w:val="bottom"/>
            <w:tcBorders>
              <w:bottom w:val="single" w:sz="8" w:color="auto"/>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w w:val="88"/>
              </w:rPr>
              <w:t>25</w:t>
            </w:r>
          </w:p>
        </w:tc>
        <w:tc>
          <w:tcPr>
            <w:tcW w:w="260" w:type="dxa"/>
            <w:vAlign w:val="bottom"/>
            <w:tcBorders>
              <w:bottom w:val="single" w:sz="8" w:color="CFF0FF"/>
            </w:tcBorders>
            <w:shd w:val="clear" w:color="auto" w:fill="CFF0FF"/>
          </w:tcPr>
          <w:p>
            <w:pPr>
              <w:spacing w:after="0"/>
              <w:rPr>
                <w:sz w:val="18"/>
                <w:szCs w:val="18"/>
                <w:color w:val="auto"/>
              </w:rPr>
            </w:pPr>
          </w:p>
        </w:tc>
        <w:tc>
          <w:tcPr>
            <w:tcW w:w="160" w:type="dxa"/>
            <w:vAlign w:val="bottom"/>
            <w:tcBorders>
              <w:bottom w:val="single" w:sz="8" w:color="auto"/>
            </w:tcBorders>
            <w:shd w:val="clear" w:color="auto" w:fill="CFF0FF"/>
          </w:tcPr>
          <w:p>
            <w:pPr>
              <w:spacing w:after="0"/>
              <w:rPr>
                <w:sz w:val="18"/>
                <w:szCs w:val="18"/>
                <w:color w:val="auto"/>
              </w:rPr>
            </w:pPr>
          </w:p>
        </w:tc>
        <w:tc>
          <w:tcPr>
            <w:tcW w:w="14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8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12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Pr>
          <w:p>
            <w:pPr>
              <w:jc w:val="right"/>
              <w:ind w:right="160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25</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have related party transactions with affiliates of our Board. During the year ended June 30, 2025, we had no such transactions.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balances related to transactions with such affiliates of our Board as of December 31, 2025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3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assets receivable, net</w:t>
            </w:r>
          </w:p>
        </w:tc>
        <w:tc>
          <w:tcPr>
            <w:tcW w:w="334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7,350</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(Derivative liabilities</w:t>
            </w:r>
          </w:p>
        </w:tc>
        <w:tc>
          <w:tcPr>
            <w:tcW w:w="33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Covered Call Options)</w:t>
            </w:r>
          </w:p>
        </w:tc>
        <w:tc>
          <w:tcPr>
            <w:tcW w:w="3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activities with such affiliates of our Board during the three and six months ended December 31, 2025</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4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Ended December 31, 2025</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 recognized</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FF0FC"/>
          </w:tcPr>
          <w:p>
            <w:pPr>
              <w:spacing w:after="0"/>
              <w:rPr>
                <w:sz w:val="18"/>
                <w:szCs w:val="18"/>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digital assets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 net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GSR Asset Management Agreement and Side Letter</w:t>
      </w:r>
    </w:p>
    <w:p>
      <w:pPr>
        <w:spacing w:after="0" w:line="11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On July 22, 2025, in connection with the PIPE, we and GSR entered into an asset management (the GSR Asset Management Agreement). GSR provides discretionary investment management services with respect to, among other assets, the proceeds from our PIPE (the Account Assets) in accordance with the terms of the GSR Asset Management Agreement. The custodians under the GSR Asset Management Agreement will consist of Coinbase and other cryptocurrency wallet providers agreed to by us and the Asset Manager.</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pay GSR an asset-based fee (the Asset-based Fee) equal to 1.75% per annum of the Account Assets under management that is paid in shares of Common Stock until GSR owns 4.99% of our issued and outstanding Common Stock. Thereafter, the Asset-based Fee is to be paid in Pre-Funded Warrants (the GSR Pre-Funded Warrants) to purchase shares of Common Stock (the GSR Pre-Funded Warrant Shares). The number of shares of Common Stock or GSR Pre-Funded Warrants will be issued equal to the dollar amount of the Asset-based Fee being paid, divided by the average volume-weighted average price (VWAP) of the Common Stock for the 30 trading days ending with the trading day prior to the date that is the applicable 12-month anniversary of the Closing Date (the Fee Reference Date).</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compensation for services rendered by GSR in connection with the PIPE, we issued warrants (the GSR Warrants) to GSR on the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23" w:name="page24"/>
    <w:bookmarkEnd w:id="23"/>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GSR Asset Management Agreement will, unless terminated earlier in accordance with its terms, remain in effect until the tenth anniversary of the date of the GSR Asset Management Agreement. Beginning on the first anniversary of the AMA Effective Date (as defined below), the GSR Asset Management Agreement may be terminated upon at least 90 days prior written notice to the other party (i) by us upon a determination of the Board to end the Lite Treasury Strategy, or (ii) by GSR for any reason. Additionally, the GSR Asset Management Agreement may be terminated for cause (i) by us upon at least 30 days prior written notice to GSR or (ii) by GSR upon at least 60 days prior written notice to us.</w:t>
      </w:r>
    </w:p>
    <w:p>
      <w:pPr>
        <w:spacing w:after="0" w:line="7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within the </w:t>
      </w:r>
      <w:r>
        <w:rPr>
          <w:rFonts w:ascii="Times New Roman" w:cs="Times New Roman" w:eastAsia="Times New Roman" w:hAnsi="Times New Roman"/>
          <w:sz w:val="18"/>
          <w:szCs w:val="18"/>
          <w:i w:val="1"/>
          <w:iCs w:val="1"/>
          <w:u w:val="single" w:color="auto"/>
          <w:color w:val="0000FF"/>
        </w:rPr>
        <w:t>Pre-Funded Warrants</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on September 24, 2025, as payment of the annual Asset-based Fee under the GSR Asset Management Agreement, we issued GSR, the GSR Pre-Funded Warrants which are fully vested and nonforfeitable for the purchase of up to 546,348 shares of our Common Stock with an exercise price of $0.0001 per share. Subject to the limitations on exercise set forth in the warrant agreement, the GSR Pre-Funded Warrants may be exercised at any time until they are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-447040</wp:posOffset>
            </wp:positionV>
            <wp:extent cx="25101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Agreement</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July 22, 2025 (the AMA Effective Date), we also entered into an advisory agreement with Green Dragon (the GD Advisory Agreement). Mr. Charlie Lee, who was appointed as a member of our Board and serves in the class of directors who will be up for reelection at our annual meeting of stockholders for fiscal 2027, is a beneficiary of Green Dragon. Pursuant to the Advisory Agreement, Green Dragon provides us with asset management services and we pay Green Dragon a fee in warrants to purchase a number of shares of Common Stock calculated based on the amount of assets under management (the Annual Advisory Fee).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Annual Advisory Fee is equal to 0.75% per annum of the Account Assets for such year, as calculated in accordance with the GD Advisory Agreement and is issuable in warrants (the GD Advisory Warrants). The number of GD Advisory Warrants to be issued for any given year shall be equal to the dollar amount of the Annual Advisory Fee for such year, divided by the average VWAP of the Common Stock for the 30 trading days ending with the trading day prior to the Fee Reference Date. The exercise price per share of the GD Advisory Warrants shall be set at a price equal to $0.0001. The GD Advisory Warrants issued each year shall vest in four equal installments on the Fee Reference Date on which they are issued and then the succeeding three-month anniversaries thereof. Any portion of the GD Advisory Warrants unvested on the date, if any, that the GD Advisory Agreement terminates shall be deemed surrendered and shall terminate automatically on such date with no further force or effect. The vested portion of the GD Advisory Warrants shall be exercisable, in whole or in part, at any time for a period of five years from the date of issuance.</w:t>
      </w:r>
    </w:p>
    <w:p>
      <w:pPr>
        <w:spacing w:after="0" w:line="8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GD Advisory Agreement will, unless terminated earlier in accordance with its terms, remain in effect until the tenth anniversary of the GD Advisory Agreement. Either party may terminate the GD Advisory Agreement, with or without reason, by written notice to the other.</w:t>
      </w:r>
    </w:p>
    <w:p>
      <w:pPr>
        <w:spacing w:after="0" w:line="52"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more fully described in the </w:t>
      </w:r>
      <w:r>
        <w:rPr>
          <w:rFonts w:ascii="Times New Roman" w:cs="Times New Roman" w:eastAsia="Times New Roman" w:hAnsi="Times New Roman"/>
          <w:sz w:val="18"/>
          <w:szCs w:val="18"/>
          <w:i w:val="1"/>
          <w:iCs w:val="1"/>
          <w:u w:val="single" w:color="auto"/>
          <w:color w:val="0000FF"/>
        </w:rPr>
        <w:t>GD Advisory Warrants Issued in Lieu of Cash Fees</w:t>
      </w:r>
      <w:r>
        <w:rPr>
          <w:rFonts w:ascii="Times New Roman" w:cs="Times New Roman" w:eastAsia="Times New Roman" w:hAnsi="Times New Roman"/>
          <w:sz w:val="18"/>
          <w:szCs w:val="18"/>
          <w:color w:val="auto"/>
        </w:rPr>
        <w:t xml:space="preserve"> discussion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in October 2025, we issued the GD Advisory Warrant for the purchase of up to 234,149 shares of Common Stock in settlement of the Annual Advisory Fee for the annual period ending July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-313690</wp:posOffset>
            </wp:positionV>
            <wp:extent cx="38525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52545" cy="8255"/>
                    </a:xfrm>
                    <a:prstGeom prst="rect">
                      <a:avLst/>
                    </a:prstGeom>
                    <a:noFill/>
                  </pic:spPr>
                </pic:pic>
              </a:graphicData>
            </a:graphic>
          </wp:anchor>
        </w:drawing>
      </w:r>
    </w:p>
    <w:p>
      <w:pPr>
        <w:spacing w:after="0" w:line="4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GD Advisory Agreement, Mr. Lee has waived any compensation for his Board service, in lieu of his compensation under the GD Advisory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February 12, 2026, our stockholders approved our 2026 Stock Omnibus Equity Compensation Plan (the 2026 Plan), which replaces the MEI Pharma, Inc. 2008 Omnibus Equity Compensation Plan, as amended and restated (the Prior Plan). Subject to certain adjustments, under the 2026 Plan, we are authorized to issue 2,000,000 shares of Common Stock, plus (i) the number of shares available for grant under the Prior Plan as of the effective date of the 2026 Plan and (ii) the number of shares underlying awards granted under the Prior Plan that, following the effective date, expire or are terminated, surrendered, cancelled or forfeited without issuance of shares. Grants may be made to our employees and the employees of our affiliates, our nonemployee directors, and the advisors who perform services for us and our subsidiaries. The 2026 Plan provides for the grant of stock options, stock appreciation rights, stock units, stock awards, and other stock-based awards. Except as provided below, the 2026 Plan is administered by our compensation committee, which will determine the individuals who will receive grants under the 2026 Plan, the type and size of such grant, and otherwise make all determinations under the 2026 Plan as it deems necessary. In the case of nonemployee directors, our Board will perform the functions of the compensation committee under the 2026 Plan. The 2026 Plan will terminate on February 11, 2036, unless terminated earlier by the Board or unless the Board, with stockholder approval, extends the term of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2025 Annual Report on Form 10-K (2025 Annual Report), as filed with the Securities and Exchange Commission (SEC) on September 26, 2025.</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“Lite Strategy,” “LITS,” “we,” “us” and “our” refer to Lite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Lite Strategy, Inc. (Nasdaq: LITS) is a pharmaceutical company that has historically developed novel and differentiated cancer therapies and is currently assessing pre-clinical development programs in potentially nononcology disease indications. We also hold Litecoin (LTC) tokens as a primary reserve asset as part of our broader institutional treasury initiative. We initially </w:t>
      </w:r>
      <w:r>
        <w:rPr>
          <w:rFonts w:ascii="Times New Roman" w:cs="Times New Roman" w:eastAsia="Times New Roman" w:hAnsi="Times New Roman"/>
          <w:sz w:val="18"/>
          <w:szCs w:val="18"/>
          <w:color w:val="231F20"/>
        </w:rPr>
        <w:t>built our pipeline by acquiring promising cancer agents and creating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drug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development is to evaluate our drug candidates either as stand-alone or in combination with standard-of-care therapies to overcome known resistance mechanisms and address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8"/>
          <w:szCs w:val="18"/>
          <w:color w:val="231F20"/>
        </w:rPr>
        <w:t>nd, prior to its sale in October 2024 to Aardvark Therapeutics, Inc.,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ME-344, an intravenous small molecule mitochondrial inhibitor targeting the oxidative phosphorylation pathway in the mitochondria</w:t>
      </w:r>
      <w:r>
        <w:rPr>
          <w:rFonts w:ascii="Times New Roman" w:cs="Times New Roman" w:eastAsia="Times New Roman" w:hAnsi="Times New Roman"/>
          <w:sz w:val="18"/>
          <w:szCs w:val="18"/>
          <w:color w:val="000000"/>
        </w:rPr>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Buy Back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shifting our Litecoin Treasury Strategy (as defined below) from initial LTC accumulation to active capital market operations,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we announced that our Board of Directors (Board) authorized a program to repurchase shares of our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$0.00000002 per share (the Common Stock), up to an aggregate amount of $25.0 million, excluding fees, commissions and excise tax due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Reduction Act of 2022 (the Share Repurchase Program). The Share Repurchase Program was effective immediately and provides for shares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in the open market, privately negotiated transactions or otherwise. The timing of purchases and the exact number of shares to be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Share Repurchase Program will depend on market conditions, does not include specific price targets or timetables and may be suspended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us at any time. We intend to finance the purchases using proceeds from our Covered Call Options (as defined below) or from the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portion of our LTC tokens.</w:t>
      </w:r>
    </w:p>
    <w:p>
      <w:pPr>
        <w:spacing w:after="0" w:line="9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and have repurchased an aggregate of 137,541 shares of our Common Stock from the open market (Treasury Shares) at a weighted-average price of $1.47 per share as of December 31, 2025. Treasury Shares repurchased through the Share Repurchase Program are considered held in treasury and returned to the status of authorized but unissued shares of Common Stock. The Share Repurchase Program does not have an expiration date, does not include specific price targets or timetables and may be suspended or terminated by us at any time.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with GSR Markets Ltd (GSR Markets), an affiliate of GSR Strategies LLC (GSR or Asset Manager), in which we write covered call options on certain of our LTC holdings (Covered Call Options). We utilize these Covered Call Options on certain digital asset holdings as part of broader digital asset treasury management strategy. These strategies are designed to generate incremental liquidity and income while retaining exposure to the underlying digital assets, subject to the risk that the assets may be delivered to option counterparties if exercised.</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the fair value of derivative liabilities associated with our Covered Call Options, as well as counterparty credit risk related to our digital assets receivable, net. We monitor these risks on an ongoing basis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ind w:right="260"/>
        <w:spacing w:after="0" w:line="312" w:lineRule="auto"/>
        <w:rPr>
          <w:sz w:val="20"/>
          <w:szCs w:val="20"/>
          <w:color w:val="auto"/>
        </w:rPr>
      </w:pPr>
      <w:r>
        <w:rPr>
          <w:rFonts w:ascii="Times New Roman" w:cs="Times New Roman" w:eastAsia="Times New Roman" w:hAnsi="Times New Roman"/>
          <w:sz w:val="17"/>
          <w:szCs w:val="17"/>
          <w:color w:val="auto"/>
        </w:rPr>
        <w:t>evaluate expected credit losses each reporting period. As of December 31, 2025, we concluded expected credit losses were immaterial due to the short duration of the receivables, the over-collateralized nature of the arrangements, and the credit profile and risk management practices of the transfer agent.</w:t>
      </w:r>
    </w:p>
    <w:p>
      <w:pPr>
        <w:spacing w:after="0" w:line="3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our Covered Call Options and/or realized gains on Covered Call Options which expire unexercised are recognized upon settlement (expiration) of the related Covered Call Option contract within gain on derivative liabilities, a component of other (expense) income, net, in the condensed consolidated statements of operations.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Public Equity (PIPE) and Related Agreements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(the Shares) of our Common Stock, at an offering price of $3.42 per share and (ii) pre-funded warrants (the Pre-Funded Warrants, and together with the Shares, the Securities), to purchase up to an aggregate of 6,022,869 shares of Common Stock, at an offering price of $3.4199 per Pre-Funded Warrant (the Offering).</w:t>
      </w:r>
    </w:p>
    <w:p>
      <w:pPr>
        <w:spacing w:after="0" w:line="68"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unanimously determined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in oncology, while we continued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spacing w:after="0" w:line="7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commencement of our Litecoin Treasury Strategy through our acquisition of LTC tokens, reflecting the full deployment of the net proceeds of the PIPE. LTC is an open source, global payment network that is fully decentralized without any central authorities. Mathematics secures the network and empowers individuals to control their own finances and features faster transaction confirmation times and improved storage efficiency than the leading math-based currency. We believe this strategy will allow us to diversify reserves, enhance capital efficiency and align with emerging financial technologies. We are committed to long-term innovation in capital structure and financial technology, along with the initiation of an expanding strategy that could include the commencement of LTC mining or other crypto-focused operational activities. Additionally, we have commenced further investigational research and development pre-clinical activities with our drug candidate pipeline in nononcology disease indications for potential out-licensing or sale related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and Uncertainties of Digital Assets</w:t>
      </w:r>
    </w:p>
    <w:p>
      <w:pPr>
        <w:spacing w:after="0" w:line="121"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231F20"/>
        </w:rPr>
        <w:t>The fair value of our intangible digital assets, calculated by reference to the principal market price in accordance with U.S. GAAP, relates primarily to the value of the LTC tokens held by us and fluctuations in the price of LTC tokens could materially and adversely affect an investment in our stock. The price of LTC tokens has a limited history and during such history, LTC token prices have been volatile and subject to influence by many factors, including, but not limited to, the levels of liquidity, global LTC supply and demand, compliance and internal control failures leading to the theft of LTC from global trading platforms or vaults, limited liquidity and trading volumes compared to sovereign currency markets and competition from other forms of digital currency or payment services, and global or regional political, economic or financial conditions. If digital asset markets continue to experience significant price fluctuations, we may experience losses.</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LTC is subject to a developing regulatory landscape. The SEC has stated that certain digital assets may be considered “securities” under the federal securities laws but has been inconsistent in its nonbinding statements and informal assurances via no action letters. The test for determining whether a particular digital asset is a “security” is complex and difficult to apply, and the outcome is difficult to predict.</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or delisting from the exchange on which our stock is traded. In such case, we may be deemed to have participated in an illegal offering of investment company securities and there is no guarantee that the we will be able to register under the Investment Company Act of 1940 at such time, or take such other actions as may be necessary to ensure our activities comply with applicable law, which could force us to liquidate our LTC holdings.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with any computer network, digital asset networks are vulnerable to various kinds of attacks and disruptions. As LTC operates on a decentralized network, it is highly resistant to hacking attacks. Although LTC may be less susceptible to attack than other cryptocurrencies, transfer of digital assets on blockchains are vulnerable to certain types of exploits.</w:t>
      </w:r>
    </w:p>
    <w:p>
      <w:pPr>
        <w:spacing w:after="0" w:line="68"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Access to our LTC accounts requires private keys to initiate transactions and three separate keys for approval. If any single approval key was lost, destroyed or otherwise compromised, we may be unable to access our LTC holdings until such approval key was replaced. The processes by which LTC transactions are settled are dependent on the LTC peer-to-peer network, and as such, we are subject to operational risk. A risk also exists with respect to previously unknown technical vulnerabilities, which may adversely affect the value of LTC.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22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CDK9 inhibitor and zandelisib, </w:t>
      </w:r>
      <w:r>
        <w:rPr>
          <w:rFonts w:ascii="Times New Roman" w:cs="Times New Roman" w:eastAsia="Times New Roman" w:hAnsi="Times New Roman"/>
          <w:sz w:val="18"/>
          <w:szCs w:val="18"/>
          <w:color w:val="231F20"/>
        </w:rPr>
        <w:t>an oral, once-daily, selective PI3Kδ inhibitor. In October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2024, we sold ME-344, a small molecule mitochondrial inhibitor targeting the oxidative phosphorylation pathway, to Aardvark Therapeutics, Inc. for development in obesity and metabolic diseases, with potential for future milestone payments and royalties due to us upon reaching prespecified development and commercialization targets.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Orally Administered CDK9 Inhibitor</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Voruciclib, a selective orally administered CDK9 inhibitor, was studied in a Phase 1 trial, which evaluated voruciclib dose and schedule as a single agent in patients with acute myeloid leukemia (AML) and B-cell malignancies, and in combination with the B-cell lymphoma 2 (BCL-2) inhibitor venetoclax (marketed as Venclexta®) in patients with AML. All voruciclib clinical trial activities were ceased in September 2024. Previously, voruciclib had been evaluated by Piramal Enterprises Limited in three clinical studies conducted in patients with solid tumors and we conducted pre-clinical studies to explore potential activity in various solid tumors including in combination with therapies that target the RAS signaling pathway, such as KRAS inhibitors. We are currently assessing a pre-clinical development program in nononcology disease indications and have commenced these activities in the second quarter of fiscal year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applicable in cancer and autoimmune diseases:</w:t>
      </w:r>
    </w:p>
    <w:p>
      <w:pPr>
        <w:spacing w:after="0" w:line="54" w:lineRule="exact"/>
        <w:rPr>
          <w:sz w:val="20"/>
          <w:szCs w:val="20"/>
          <w:color w:val="auto"/>
        </w:rPr>
      </w:pPr>
    </w:p>
    <w:p>
      <w:pPr>
        <w:ind w:left="1020" w:right="100" w:hanging="503"/>
        <w:spacing w:after="0" w:line="258"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r>
        <w:rPr>
          <w:rFonts w:ascii="Times New Roman" w:cs="Times New Roman" w:eastAsia="Times New Roman" w:hAnsi="Times New Roman"/>
          <w:sz w:val="18"/>
          <w:szCs w:val="18"/>
          <w:color w:val="000000"/>
        </w:rPr>
        <w:t>. Inhibition of Mcl-1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also leads to apoptosis or alteration of differentiation of T lymphocytes and macrophages, which is relevant for the treatment of autoimmune diseases</w:t>
      </w:r>
      <w:r>
        <w:rPr>
          <w:rFonts w:ascii="Times New Roman" w:cs="Times New Roman" w:eastAsia="Times New Roman" w:hAnsi="Times New Roman"/>
          <w:sz w:val="18"/>
          <w:szCs w:val="18"/>
          <w:color w:val="231F20"/>
        </w:rPr>
        <w:t>.</w:t>
      </w:r>
    </w:p>
    <w:p>
      <w:pPr>
        <w:spacing w:after="0" w:line="75"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Data from a Phase 1 study evaluating voruciclib as a single agent and in combination with venetoclax in patients with R/R AML have also demonstrated the anticipated decreases in Mcl-1 protein </w:t>
      </w:r>
      <w:r>
        <w:rPr>
          <w:rFonts w:ascii="Times New Roman" w:cs="Times New Roman" w:eastAsia="Times New Roman" w:hAnsi="Times New Roman"/>
          <w:sz w:val="18"/>
          <w:szCs w:val="18"/>
          <w:color w:val="000000"/>
        </w:rPr>
        <w:t>as reported by Davids et al (Blood Advances. 2025;9(4):820-832) and Alvarado-Valero et 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(Blood Neoplasia. 2025;2(3):100108)</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and could be potentially used in autoimmune diseases to modulate T-Cells and macrophages.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Terminated Clinical Programs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 Phase 1 clinical trial, we evaluated the dose and schedule of voruciclib in combination with venetoclax, a BCL-2 inhibitor, in patients with R/R AML. The trial initially evaluated dose and schedule of voruciclib as a monotherapy in patients with relapsed and refractory B-cell malignancies and AML after failure of prior standard therapies.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reported by Davids et al. in a 2025 Blood Advance paper, the voruciclib monotherapy dose escalation/expansion stage of the study enrolled a total of 40 patients; the first 16 were dosed daily continuously at 50 and 100 mg and the following 24 patients were dosed on an intermittent schedule (14 consecutive days on therapy in a 28-day cycle) at 100, 150 and 200 mg. Voruciclib at doses up to 200 mg administered on this intermittent schedule was well tolerated with no dose limiting toxicities (DLT) reported. The most common adverse events (≥20% of patients) were diarrhea, nausea, anemia and fatigue. The majority of adverse events were Grade 1-2; of note, the only Grade 3-4 adverse events were diarrhea (n=1) and anemia (n=5). Pharmacokinetics were dose proportional and a mean half-life of approximately 24 hours supports once daily dosing.</w:t>
      </w:r>
    </w:p>
    <w:p>
      <w:pPr>
        <w:spacing w:after="0" w:line="7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21 patients with AML, one patient achieved a morphologic leukemia-free state and nine patients had disease stabilization, which lasted at least three months in two patients. In the 19 patients with B-cell malignancies, four patients had stable disease with a decrease in tumor size. Correlative studies assessing Mcl-1 and RNA Pol II phosphorylation on Ser2 (RNA Pol II p-S2) demonstrated reduction in expression consistent with the anticipated on-target pharmacodynamic effect of voruciclib.</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and was reported by Avarado-Valero et al. in a 2025 Blood Neoplasia paper. A total of 41 patients were enrolled. These patients were generally heavily pre-treated; the median number of prior therapies was 2 (range 1-7) and 18 (44%) patients had ≥3 prior therapies.</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Ten of 32 (31%) patients administered voruciclib at doses ≥ 100 mg in combination with venetoclax 10 (31%) achieved disease control, including three objective responses.</w:t>
      </w:r>
    </w:p>
    <w:p>
      <w:pPr>
        <w:spacing w:after="0" w:line="54" w:lineRule="exact"/>
        <w:rPr>
          <w:sz w:val="20"/>
          <w:szCs w:val="20"/>
          <w:color w:val="auto"/>
        </w:rPr>
      </w:pPr>
    </w:p>
    <w:p>
      <w:pPr>
        <w:ind w:right="160" w:firstLine="554"/>
        <w:spacing w:after="0" w:line="266" w:lineRule="auto"/>
        <w:rPr>
          <w:sz w:val="20"/>
          <w:szCs w:val="20"/>
          <w:color w:val="auto"/>
        </w:rPr>
      </w:pPr>
      <w:r>
        <w:rPr>
          <w:rFonts w:ascii="Times New Roman" w:cs="Times New Roman" w:eastAsia="Times New Roman" w:hAnsi="Times New Roman"/>
          <w:sz w:val="18"/>
          <w:szCs w:val="18"/>
          <w:color w:val="auto"/>
        </w:rPr>
        <w:t>Results from correlative blood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Voruciclib at doses up to 300 mg administered intermittently in combination with venetoclax was well tolerated with no DLT observed. The maximum tolerated dose of voruciclib administered on this schedule with venetoclax has not been established.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 (the KKC Commercialization Agreement) was later terminated in 2023 (as further discussed below). Currently, we are not conducting any clinical trial for zandelisib and are currently assessing potential out-licensing or sale related opportunities.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U.S. Food and Drug Administration (FDA) wherein the agency discouraged a filing based on data from a single-arm Phase 2 TIDAL trial because data generated from single arm studies are insufficient to adequately assess the risk/benefit of PI3Kδ inhibitors in indolent non-Hodgkin lymphoma.</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ongoing Phase 3 COASTAL trial. Following the November meeting, the companies jointly concluded a clinical trial consistent with the recent FDA guidance, including modification of the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that had been generated.</w:t>
      </w:r>
    </w:p>
    <w:p>
      <w:pPr>
        <w:spacing w:after="0" w:line="8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31F20"/>
        </w:rPr>
        <w:t>On July 14, 2023, we entered into a termination agreement with KKC to terminate all agreements between the parties and cease further zandelisib clinical development globally. Activities associated with the compassionate use supply and wind down of the KKC Commercialization Agreement were completed in fiscal year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26,516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26,516</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research and development expenses to supplement the more detailed discussion below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r>
      <w:tr>
        <w:trPr>
          <w:trHeight w:val="210"/>
        </w:trPr>
        <w:tc>
          <w:tcPr>
            <w:tcW w:w="65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ME-344</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r>
      <w:tr>
        <w:trPr>
          <w:trHeight w:val="249"/>
        </w:trPr>
        <w:tc>
          <w:tcPr>
            <w:tcW w:w="6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46</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approximately $0.3 million for the three months ended December 31, 2025, compared to the three months ended December 31, 2024. This decrease was a result of our announcement in July 2024 to explore strategic alternatives, at which time all clinical studies were ceased and we initiated reductions in our workforce. Pre-clinical investigational activities in nononcology disease indications for voruciclib commenced in the second quarter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$0.2 million to $3.3 million for the three months ended December 31, 2025 compared to $3.1 million for the three months ended December 31, 2024. For the three months ended December 31, 2025, we incurred $0.7 million in asset management and advisory fees and $0.4 in professional services incurred in connection with our Litecoin Treasury Strategy deployed in the first quarter of fiscal year 2026 along with a $0.3 million increase in noncash share-based compensation expense. This increase was partially offset by $1.2 million of lower personnel costs, which included $0.9 million in termination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digital assets represents unrealized losses from the remeasurement of our LTC investments to their fair value and realized losses recognized upon derecognition of LTC digital assets when placing them as collateral with GSR Markets upon writing of Covered Call Options. We had no such investments in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(expense) income, net, decreased by $1.7 million to a loss of $0.9 million for the three months ended December 31, 2025 compared to income of $0.8 million for the three months ended December 31, 2024, primarily associated with the change in fair value of digital assets receivable, net, reflecting unrealized losses on LTC pledged for Covered Call Options partially offset by a gain on derivative liabilities during the current period with no such similar activity during the comparable prior year period. During the three months ended December 31, 2025 compared to the three months ended December 31, 2024, we received lower interest and dividend income as a result of lower cash balances. During the three months ended December 31, 2024, we recognized a gain on the sale of our ME-344 asset with no similar activity in the current three-month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December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(1,929)</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27,147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(1,951)</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research and development expenses to supplement the more detailed discussion below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c>
          <w:tcPr>
            <w:tcW w:w="0" w:type="dxa"/>
            <w:vAlign w:val="bottom"/>
          </w:tcPr>
          <w:p>
            <w:pPr>
              <w:spacing w:after="0"/>
              <w:rPr>
                <w:sz w:val="1"/>
                <w:szCs w:val="1"/>
                <w:color w:val="auto"/>
              </w:rPr>
            </w:pPr>
          </w:p>
        </w:tc>
      </w:tr>
      <w:tr>
        <w:trPr>
          <w:trHeight w:val="209"/>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26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26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30</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56</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$3.4 million for the six months ended December 31, 2025 compared to the six months ended December 31, 2024. This decrease was a result of our announcement in July 2024 to explore strategic alternatives, at which time all clinical studies were ceased and we initiated reductions in our workforce. Pre-clinical investigational activities in nononcology disease indications for voruciclib commenced in the second quarter of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to $6.4 million for the six months ended December 31, 2025, compared to $8.3 million for the six months ended December 31, 2024. The decrease was primarily due to $3.6 million of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30" w:name="page31"/>
    <w:bookmarkEnd w:id="30"/>
    <w:p>
      <w:pPr>
        <w:ind w:right="140" w:firstLine="45"/>
        <w:spacing w:after="0" w:line="266" w:lineRule="auto"/>
        <w:rPr>
          <w:sz w:val="20"/>
          <w:szCs w:val="20"/>
          <w:color w:val="auto"/>
        </w:rPr>
      </w:pPr>
      <w:r>
        <w:rPr>
          <w:rFonts w:ascii="Times New Roman" w:cs="Times New Roman" w:eastAsia="Times New Roman" w:hAnsi="Times New Roman"/>
          <w:sz w:val="18"/>
          <w:szCs w:val="18"/>
          <w:color w:val="auto"/>
        </w:rPr>
        <w:t>personnel costs, including $2.6 million in termination benefits and a $0.7 million decrease in corporate overhead costs. These decreases were partially offset by $1.2 million in asset management and advisory fees and $0.4 in professional services incurred in connection with our Litecoin Treasury Strategy deployed in the first quarter of fiscal year 2026 and a $0.6 million increase in noncash share-based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digital assets represents unrealized losses from the remeasurement of our LTC investments to their fair value and realized losses recognized upon derecognition of LTC digital assets when placing them as collateral with GSR Markets upon writing of Covered Call Options. We had no such investments in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Other (expense) income, net, decreased by approximately $2.0 million to a loss of $0.8 million for the six months ended December 31, 2025 compared to income of $1.1 million for the six months ended December 31, 2024, primarily associated with the change in fair value of digital assets receivable, net, reflecting unrealized losses on LTC pledged for Covered Call Options partially offset by a gain on derivative liabilities during the current period with no such similar activity during the comparable prior year period. During the six months ended December 31, 2025, compared to the six months ended December 31, 2024, we received lower interest and dividend income as a result of lower cash balances. During the six months ended December 31, 2024, we recognized a gain on the sale of our ME-344 asset with no similar activity in the current six-month period.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$438.6 million since inception and expect to incur operating losses and generate negative cash flows from operations for the foreseeable future. As of December 31, 2025, we had $8.8 million in cash and cash equivalents and $64.0 million in unrestricted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in oncology, while certain related nonclinical research and development activities continued through the end of fiscal year 2025. As part of our continued assessment of future pre-clinical development with our drug candidate pipeline, in the second quarter of fiscal year 2026, we commenced additional investigational research and development activities in nononcology disease indications. We believe that our cash balance, including our digital assets, will be sufficient to meet our obligations and fund operations for at least the next 12 months from the issuance of these condensed consolidated financial statements.</w:t>
      </w:r>
    </w:p>
    <w:p>
      <w:pPr>
        <w:spacing w:after="0" w:line="80"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December 2025, we commenced utilization of our Share Repurchase Program utilizing proceeds from our Covered Call Options to repurchase Shares of our Common Stock. During the three months ended December 31, 2025, we realized gains of $0.5 million from our Covered Call Options, of which we used $0.2 million to repurchase 137,541 shares of our Common Stock.</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December 31, 2025, of $6.4 million consisted of our net loss of $34.4 million and $1.8 million in changes in our operating assets and liabilities used in operations, partially offset by $29.8 million for noncash items. Net cash used in operating activities for the six months ended December 31, 2024 of $15.1 million consisted of our net loss of $10.7 million, $4.3 million in our operating assets and liabilities used in operations and $0.1 million in noncash items.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December 31, 2025, of $99.4 million consisted of our acquisition of digital assets upon deployment of our Litecoin Treasury Strategy in August 2025 and proceeds from written call options on our LTC. Net cash provided by financing activities for the six months ended December 31, 2024 of $35.2 million consisted of maturities of our short-term investments and proceeds recognized on the disposition of a nonfinancial asset.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December 31, 2025, was $96.6 million associated with the issuance and sale of 23,216,898 shares of Common Stock and Pre-Funded Warrants for the purchase of up to 6,022,869 shares of Common Stock in our PIPE and the issuance, sale of 882,924 shares of Common Stock under our ATM Program. These proceeds were partially offset by cash used to repurchase 137,541 shares of our Common Stock at an average cost per share of $1.47. We had no financing activities during the six months ended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left="1020" w:right="1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9.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10. License 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-734060</wp:posOffset>
            </wp:positionV>
            <wp:extent cx="1015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-596900</wp:posOffset>
            </wp:positionV>
            <wp:extent cx="24650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Litecoin Treasury Strategy,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2025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in our 2025 Annual Report. Except as disclosed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Assets, Digital Assets Receivable, Net</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Derivatives - Covered Call Options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000000"/>
        </w:rPr>
        <w:t>, and the addition of our critical accounting estimate as it relates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 xml:space="preserve">Valuation of Equity Instruments Issued for Exchange for Services and Valuation of Covered Call Options </w:t>
      </w:r>
      <w:r>
        <w:rPr>
          <w:rFonts w:ascii="Times New Roman" w:cs="Times New Roman" w:eastAsia="Times New Roman" w:hAnsi="Times New Roman"/>
          <w:sz w:val="18"/>
          <w:szCs w:val="18"/>
          <w:color w:val="000000"/>
        </w:rPr>
        <w:t>(described below), there have been no changes in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our significant accounting policies or critical accounting estimates since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-445135</wp:posOffset>
            </wp:positionV>
            <wp:extent cx="34461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40614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61460" cy="8890"/>
                    </a:xfrm>
                    <a:prstGeom prst="rect">
                      <a:avLst/>
                    </a:prstGeom>
                    <a:noFill/>
                  </pic:spPr>
                </pic:pic>
              </a:graphicData>
            </a:graphic>
          </wp:anchor>
        </w:drawing>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Equity Instruments Issued for Exchange for Services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Equity instruments issued in exchange for services rendered or to be rendered to us are accounted for in accordance with ASC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Such instruments are evaluated to determine if they should be classified as liability or equity awards. For these awards, we estimate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services rendered/to be rendered (i.e., the compensation cost to be recognized) based upon either (i) the grant date fair value of the equity instruments issued as determined using an option pricing model such as the BSM Model or (ii) the fair value of the liabilities incurred/settled. For the Advisory Warrants issued in the PIPE, we estimated the grant date fair value using the valuation inputs as of the grant date. For the GSR Pre-Funded Warrant and the GD Advisory Warrant issued in settlement of the Asset-based Fee and the Annual Advisory Fee, respectively, we determined the grant date fair value represented the amount of the liabilities settled. We recognize the expense immediately in our condensed consolidated financial statements for services rendered at the time of issuance and for services not yet rendered, we recognize an asset and amortize the fair value of the services being rendered over the requisite service period.</w:t>
      </w:r>
    </w:p>
    <w:p>
      <w:pPr>
        <w:spacing w:after="0" w:line="8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historical volatility utilized to estimate the grant date fair value of the Advisory Warrants would have resulted in an increase (decrease) of $0.7 million ($0.8 million) in the grant date fair value of the Advisory Warrants.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our assets under management as of the Fee Reference Date would have resulted in a $0.2 million increase (decrease) in the fair value of the liabilities settled through issuance of the GSR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i w:val="1"/>
          <w:iCs w:val="1"/>
          <w:color w:val="auto"/>
        </w:rPr>
        <w:t>Valuation of Covered Call Options</w:t>
      </w:r>
    </w:p>
    <w:p>
      <w:pPr>
        <w:spacing w:after="0" w:line="11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Covered Call Options written by us are accounted for in accordance with ASC 8</w:t>
      </w:r>
      <w:r>
        <w:rPr>
          <w:rFonts w:ascii="Times New Roman" w:cs="Times New Roman" w:eastAsia="Times New Roman" w:hAnsi="Times New Roman"/>
          <w:sz w:val="18"/>
          <w:szCs w:val="18"/>
          <w:i w:val="1"/>
          <w:iCs w:val="1"/>
          <w:color w:val="auto"/>
        </w:rPr>
        <w:t>15, Derivatives and Hedging.</w:t>
      </w:r>
      <w:r>
        <w:rPr>
          <w:rFonts w:ascii="Times New Roman" w:cs="Times New Roman" w:eastAsia="Times New Roman" w:hAnsi="Times New Roman"/>
          <w:sz w:val="18"/>
          <w:szCs w:val="18"/>
          <w:color w:val="auto"/>
        </w:rPr>
        <w:t xml:space="preserve"> Such instruments do not qualify for hedge accounting and are considered freestanding financial instruments and were evaluated to be liability instruments. Our Covered Call Options are initially recorded at fair value (the contract amount) and are marked-to-market at each reporting period (if they are still outstanding, using the Black-76 Model, with changes in the fair value of the derivative liability being recognized in the condensed consolidated statements of operations within other income (expense).</w:t>
      </w:r>
    </w:p>
    <w:p>
      <w:pPr>
        <w:spacing w:after="0" w:line="77"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 10% increase (decrease) in the historical volatility of LTC utilized to estimate the fair value of the derivative liabilities - covered call options would have resulted in an increase (decrease) of $8,500 ($7,600) in the fair value of the derivative liabilities - covered call options as of December 31, 2025.</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forward price as of December 31, 2025, would have resulted in an increase (decrease) of $0.1 million ($25,000) in the fair value of our derivative liabilities - covered call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Recent Accounting Pronouncements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u w:val="single" w:color="auto"/>
          <w:color w:val="0000FF"/>
        </w:rPr>
        <w:t>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62763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76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836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December 31, 2025,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December 31, 2025. Other than the additional controls over treasury transfer activities of our digital assets,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December 31, 2025 that has materially affected, or is reasonably likely to materially affect, our internal control over financial reporting.</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share repurchase activity for each of the three months in the quarter ended December 31, 2025:</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10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Approximate</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that May Yet be</w:t>
            </w:r>
          </w:p>
        </w:tc>
        <w:tc>
          <w:tcPr>
            <w:tcW w:w="10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w:t>
            </w:r>
          </w:p>
        </w:tc>
        <w:tc>
          <w:tcPr>
            <w:tcW w:w="100" w:type="dxa"/>
            <w:vAlign w:val="bottom"/>
          </w:tcPr>
          <w:p>
            <w:pPr>
              <w:spacing w:after="0"/>
              <w:rPr>
                <w:sz w:val="17"/>
                <w:szCs w:val="17"/>
                <w:color w:val="auto"/>
              </w:rPr>
            </w:pPr>
          </w:p>
        </w:tc>
      </w:tr>
      <w:tr>
        <w:trPr>
          <w:trHeight w:val="175"/>
        </w:trPr>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Per Share</w:t>
            </w:r>
          </w:p>
        </w:tc>
        <w:tc>
          <w:tcPr>
            <w:tcW w:w="1420" w:type="dxa"/>
            <w:vAlign w:val="bottom"/>
            <w:gridSpan w:val="3"/>
          </w:tcPr>
          <w:p>
            <w:pPr>
              <w:jc w:val="center"/>
              <w:ind w:left="79"/>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the Plans or</w:t>
            </w:r>
          </w:p>
        </w:tc>
        <w:tc>
          <w:tcPr>
            <w:tcW w:w="100" w:type="dxa"/>
            <w:vAlign w:val="bottom"/>
          </w:tcPr>
          <w:p>
            <w:pPr>
              <w:spacing w:after="0"/>
              <w:rPr>
                <w:sz w:val="15"/>
                <w:szCs w:val="15"/>
                <w:color w:val="auto"/>
              </w:rPr>
            </w:pPr>
          </w:p>
        </w:tc>
      </w:tr>
      <w:tr>
        <w:trPr>
          <w:trHeight w:val="246"/>
        </w:trPr>
        <w:tc>
          <w:tcPr>
            <w:tcW w:w="4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7"/>
              </w:rPr>
              <w:t xml:space="preserve">Purchased </w:t>
            </w:r>
            <w:r>
              <w:rPr>
                <w:rFonts w:ascii="Times New Roman" w:cs="Times New Roman" w:eastAsia="Times New Roman" w:hAnsi="Times New Roman"/>
                <w:sz w:val="21"/>
                <w:szCs w:val="21"/>
                <w:b w:val="1"/>
                <w:bCs w:val="1"/>
                <w:color w:val="auto"/>
                <w:w w:val="97"/>
                <w:vertAlign w:val="superscript"/>
              </w:rPr>
              <w:t>(1)</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(or Unit)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(2)</w:t>
            </w:r>
          </w:p>
        </w:tc>
        <w:tc>
          <w:tcPr>
            <w:tcW w:w="100" w:type="dxa"/>
            <w:vAlign w:val="bottom"/>
          </w:tcPr>
          <w:p>
            <w:pPr>
              <w:spacing w:after="0"/>
              <w:rPr>
                <w:sz w:val="21"/>
                <w:szCs w:val="21"/>
                <w:color w:val="auto"/>
              </w:rPr>
            </w:pPr>
          </w:p>
        </w:tc>
      </w:tr>
      <w:tr>
        <w:trPr>
          <w:trHeight w:val="196"/>
        </w:trPr>
        <w:tc>
          <w:tcPr>
            <w:tcW w:w="4500" w:type="dxa"/>
            <w:vAlign w:val="bottom"/>
            <w:shd w:val="clear" w:color="auto" w:fill="CFF0FF"/>
          </w:tcPr>
          <w:p>
            <w:pPr>
              <w:spacing w:after="0"/>
              <w:rPr>
                <w:sz w:val="20"/>
                <w:szCs w:val="20"/>
                <w:color w:val="auto"/>
              </w:rPr>
            </w:pPr>
            <w:r>
              <w:rPr>
                <w:rFonts w:ascii="Times New Roman" w:cs="Times New Roman" w:eastAsia="Times New Roman" w:hAnsi="Times New Roman"/>
                <w:sz w:val="16"/>
                <w:szCs w:val="16"/>
                <w:color w:val="auto"/>
              </w:rPr>
              <w:t>October 1 - 31, 2025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November 1 - 30, 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50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6"/>
                <w:szCs w:val="16"/>
                <w:color w:val="auto"/>
              </w:rPr>
              <w:t>December 1 - 31, 2025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137,541</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137,541</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24,800,000</w:t>
            </w:r>
          </w:p>
        </w:tc>
        <w:tc>
          <w:tcPr>
            <w:tcW w:w="10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-162560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-162560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740" w:hanging="223"/>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repurchased pursuant to the Share Repurchase Program through open market transactions</w:t>
      </w:r>
    </w:p>
    <w:p>
      <w:pPr>
        <w:spacing w:after="0" w:line="12" w:lineRule="exact"/>
        <w:rPr>
          <w:rFonts w:ascii="Times New Roman" w:cs="Times New Roman" w:eastAsia="Times New Roman" w:hAnsi="Times New Roman"/>
          <w:sz w:val="16"/>
          <w:szCs w:val="16"/>
          <w:color w:val="auto"/>
        </w:rPr>
      </w:pPr>
    </w:p>
    <w:p>
      <w:pPr>
        <w:ind w:left="780" w:right="480" w:hanging="263"/>
        <w:spacing w:after="0" w:line="288" w:lineRule="auto"/>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29, 2025, the Board approved the Share Repurchase Program to repurchase shares of our Common Stock up to an aggregate amount of $25.0 million. The Share Repurchase Program may be suspended or terminated by us at any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our securities that was intended to satisfy the affirmative defense conditions of Rule 10b5-1 (c) or any "non-Rule 10b5-1 trading arrangement" (as defined in Item 408(c) of Regulation S-K) during the three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15"/>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15"/>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3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Amended and Restated Certificate of Incorporation of Lite</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000-50484</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26,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Strategy, Inc.</w:t>
              </w:r>
            </w:hyperlink>
          </w:p>
        </w:tc>
        <w:tc>
          <w:tcPr>
            <w:tcW w:w="3460" w:type="dxa"/>
            <w:vAlign w:val="bottom"/>
            <w:gridSpan w:val="1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Sixth Amended and Restated Bylaws of Lite Strategy, Inc.</w:t>
              </w:r>
            </w:hyperlink>
          </w:p>
        </w:tc>
        <w:tc>
          <w:tcPr>
            <w:tcW w:w="200" w:type="dxa"/>
            <w:vAlign w:val="bottom"/>
            <w:gridSpan w:val="3"/>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8"/>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2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Employment Agreement between the Company and Justin</w:t>
              </w:r>
            </w:hyperlink>
          </w:p>
        </w:tc>
        <w:tc>
          <w:tcPr>
            <w:tcW w:w="22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30,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18"/>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J. File, dated December 23, 2025</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3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Employee Proprietary Information and Inventions</w:t>
              </w:r>
            </w:hyperlink>
          </w:p>
        </w:tc>
        <w:tc>
          <w:tcPr>
            <w:tcW w:w="840" w:type="dxa"/>
            <w:vAlign w:val="bottom"/>
            <w:gridSpan w:val="10"/>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30,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Agreement between the Company and Justin J. File, dated</w:t>
              </w:r>
            </w:hyperlink>
          </w:p>
        </w:tc>
        <w:tc>
          <w:tcPr>
            <w:tcW w:w="240" w:type="dxa"/>
            <w:vAlign w:val="bottom"/>
            <w:gridSpan w:val="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59">
              <w:r>
                <w:rPr>
                  <w:rFonts w:ascii="Times New Roman" w:cs="Times New Roman" w:eastAsia="Times New Roman" w:hAnsi="Times New Roman"/>
                  <w:sz w:val="18"/>
                  <w:szCs w:val="18"/>
                  <w:color w:val="0000FF"/>
                  <w:w w:val="98"/>
                </w:rPr>
                <w:t>December 23, 2025</w:t>
              </w:r>
            </w:hyperlink>
          </w:p>
        </w:tc>
        <w:tc>
          <w:tcPr>
            <w:tcW w:w="20" w:type="dxa"/>
            <w:vAlign w:val="bottom"/>
            <w:tcBorders>
              <w:bottom w:val="single" w:sz="8" w:color="0000EE"/>
            </w:tcBorders>
          </w:tcPr>
          <w:p>
            <w:pPr>
              <w:spacing w:after="0"/>
              <w:rPr>
                <w:sz w:val="17"/>
                <w:szCs w:val="17"/>
                <w:color w:val="auto"/>
              </w:rPr>
            </w:pPr>
          </w:p>
        </w:tc>
        <w:tc>
          <w:tcPr>
            <w:tcW w:w="3040" w:type="dxa"/>
            <w:vAlign w:val="bottom"/>
            <w:gridSpan w:val="15"/>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2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64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2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41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1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right="5780" w:hanging="1132"/>
        <w:spacing w:after="0" w:line="253"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0" w:lineRule="exact"/>
        <w:rPr>
          <w:sz w:val="20"/>
          <w:szCs w:val="20"/>
          <w:color w:val="auto"/>
        </w:rPr>
      </w:pPr>
    </w:p>
    <w:p>
      <w:pPr>
        <w:spacing w:after="0" w:line="205" w:lineRule="exact"/>
        <w:rPr>
          <w:sz w:val="20"/>
          <w:szCs w:val="20"/>
          <w:color w:val="auto"/>
        </w:rPr>
      </w:pPr>
    </w:p>
    <w:p>
      <w:pPr>
        <w:ind w:left="1140" w:hanging="113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40" w:hanging="113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Lite Strategy,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191"/>
        </w:trPr>
        <w:tc>
          <w:tcPr>
            <w:tcW w:w="60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60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222"/>
        </w:trPr>
        <w:tc>
          <w:tcPr>
            <w:tcW w:w="60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Chief Executive Officer and Chief Financial Officer of Lite Strategy, Inc. (Lite Strategy) that, to his knowledge, this Quarterly Report on Form 10-Q of Lite Strategy for the quarter ended December 31, 2025, fully complies with the requirements of Section 13(a) or Section 15(d) of the Securities Exchange Act of 1934, as amended, and that the information contained in such report fairly presents, in all material respects, the financial condition and results of operations of Lite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17, 2026</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Lite Strategy under the Securities Act of 1933, as amended, or the Securities Exchange Act of 1934, as amended, except to the extent Lite Strategy specifically incorporates it by reference.</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Lite Strategy and will be retained by Lite Strategy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4"/>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1"/>
    </w:lvl>
    <w:lvl w:ilvl="1">
      <w:lvlJc w:val="left"/>
      <w:lvlText w:val="(%2)"/>
      <w:numFmt w:val="decimal"/>
      <w:start w:val="1"/>
    </w:lvl>
  </w:abstractNum>
  <w:abstractNum w:abstractNumId="7">
    <w:nsid w:val="6B68079A"/>
    <w:multiLevelType w:val="hybridMultilevel"/>
    <w:lvl w:ilvl="0">
      <w:lvlJc w:val="left"/>
      <w:lvlText w:val="%1."/>
      <w:numFmt w:val="decimal"/>
      <w:start w:val="4"/>
    </w:lvl>
    <w:lvl w:ilvl="1">
      <w:lvlJc w:val="left"/>
      <w:lvlText w:val="%2"/>
      <w:numFmt w:val="decimal"/>
      <w:start w:val="1"/>
    </w:lvl>
  </w:abstractNum>
  <w:abstractNum w:abstractNumId="8">
    <w:nsid w:val="4E6AFB66"/>
    <w:multiLevelType w:val="hybridMultilevel"/>
    <w:lvl w:ilvl="0">
      <w:lvlJc w:val="left"/>
      <w:lvlText w:val="%1"/>
      <w:numFmt w:val="decimal"/>
      <w:start w:val="1"/>
    </w:lvl>
    <w:lvl w:ilvl="1">
      <w:lvlJc w:val="left"/>
      <w:lvlText w:val="(%2)"/>
      <w:numFmt w:val="decimal"/>
      <w:start w:val="1"/>
    </w:lvl>
  </w:abstractNum>
  <w:abstractNum w:abstractNumId="9">
    <w:nsid w:val="25E45D32"/>
    <w:multiLevelType w:val="hybridMultilevel"/>
    <w:lvl w:ilvl="0">
      <w:lvlJc w:val="left"/>
      <w:lvlText w:val="%1."/>
      <w:numFmt w:val="decimal"/>
      <w:start w:val="5"/>
    </w:lvl>
    <w:lvl w:ilvl="1">
      <w:lvlJc w:val="left"/>
      <w:lvlText w:val="%2"/>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Roman"/>
      <w:start w:val="4"/>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56" Type="http://schemas.openxmlformats.org/officeDocument/2006/relationships/hyperlink" Target="https://www.sec.gov/Archives/edgar/data/1262104/000119312525220421/lits-ex3_1.htm" TargetMode="External"/><Relationship Id="rId257" Type="http://schemas.openxmlformats.org/officeDocument/2006/relationships/hyperlink" Target="https://www.sec.gov/Archives/edgar/data/1262104/000095017023072612/meip-ex3_1.htm" TargetMode="External"/><Relationship Id="rId258" Type="http://schemas.openxmlformats.org/officeDocument/2006/relationships/hyperlink" Target="https://www.sec.gov/Archives/edgar/data/1262104/000119312525335761/lits-ex10_1.htm" TargetMode="External"/><Relationship Id="rId259" Type="http://schemas.openxmlformats.org/officeDocument/2006/relationships/hyperlink" Target="https://www.sec.gov/Archives/edgar/data/1262104/000119312525335761/lits-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2026-02-17T07:55:53Z</dcterms:created>
  <dcterms:modified xsi:type="dcterms:W3CDTF">2026-02-17T07:55:53Z</dcterms:modified>
</cp:coreProperties>
</file>