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lits-20260928.htm"/>
      <w:bookmarkStart w:id="1" w:name="kslits20260928"/>
      <w:bookmarkEnd w:id="0"/>
      <w:bookmarkEnd w:id="1"/>
      <w:r>
        <w:rPr>
          <w:rFonts w:ascii="Times New Roman" w:hAnsi="Times New Roman"/>
          <w:b/>
          <w:color w:val="000000"/>
          <w:sz w:val="20"/>
        </w:rPr>
        <w:t>As filed with the Securities and Exchange Commission on September 28, 2026</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Registration Statement No. 333-</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S-3</w:t>
      </w:r>
    </w:p>
    <w:p>
      <w:pPr>
        <w:pStyle w:val="TextBody"/>
        <w:bidi w:val="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jc w:val="center"/>
        <w:rPr>
          <w:rFonts w:ascii="Times New Roman" w:hAnsi="Times New Roman"/>
          <w:b/>
          <w:color w:val="000000"/>
          <w:sz w:val="20"/>
        </w:rPr>
      </w:pPr>
      <w:r>
        <w:rPr>
          <w:rFonts w:ascii="Times New Roman" w:hAnsi="Times New Roman"/>
          <w:b/>
          <w:color w:val="000000"/>
          <w:sz w:val="20"/>
        </w:rPr>
        <w:t>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ACT OF 1933</w:t>
      </w:r>
    </w:p>
    <w:p>
      <w:pPr>
        <w:pStyle w:val="TextBody"/>
        <w:bidi w:val="0"/>
        <w:jc w:val="center"/>
        <w:rPr>
          <w:rFonts w:ascii="Times New Roman" w:hAnsi="Times New Roman"/>
          <w:sz w:val="36"/>
        </w:rPr>
      </w:pPr>
      <w:r>
        <w:rPr>
          <w:rFonts w:ascii="Times New Roman" w:hAnsi="Times New Roman"/>
          <w:b/>
          <w:color w:val="000000"/>
          <w:sz w:val="36"/>
        </w:rPr>
        <w:t>Lite Strategy, Inc.</w:t>
      </w:r>
      <w:r>
        <w:rPr>
          <w:rFonts w:ascii="Times New Roman" w:hAnsi="Times New Roman"/>
          <w:color w:val="000000"/>
          <w:sz w:val="36"/>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tbl>
      <w:tblPr>
        <w:tblW w:w="4914" w:type="dxa"/>
        <w:jc w:val="left"/>
        <w:tblInd w:w="0" w:type="dxa"/>
        <w:tblLayout w:type="fixed"/>
        <w:tblCellMar>
          <w:top w:w="28" w:type="dxa"/>
          <w:left w:w="28" w:type="dxa"/>
          <w:bottom w:w="28" w:type="dxa"/>
          <w:right w:w="28" w:type="dxa"/>
        </w:tblCellMar>
      </w:tblPr>
      <w:tblGrid>
        <w:gridCol w:w="2611"/>
        <w:gridCol w:w="146"/>
        <w:gridCol w:w="146"/>
        <w:gridCol w:w="20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b/>
                <w:color w:val="000000"/>
                <w:sz w:val="19"/>
              </w:rPr>
              <w:t>51-0407811</w:t>
            </w:r>
            <w:r>
              <w:rPr>
                <w:rFonts w:ascii="Times New Roman" w:hAnsi="Times New Roman"/>
                <w:color w:val="000000"/>
                <w:sz w:val="19"/>
              </w:rPr>
              <w:t xml:space="preserve"> </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 xml:space="preserve">(State or Other Jurisdiction of </w:t>
            </w:r>
          </w:p>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 xml:space="preserve">(I.R.S. Employer </w:t>
            </w:r>
          </w:p>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Identification Number)</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19"/>
        </w:rPr>
      </w:pPr>
      <w:r>
        <w:rPr>
          <w:rFonts w:ascii="Times New Roman" w:hAnsi="Times New Roman"/>
          <w:b/>
          <w:color w:val="000000"/>
          <w:sz w:val="19"/>
        </w:rPr>
        <w:t>9920 Pacific Heights Blvd.,</w:t>
      </w:r>
    </w:p>
    <w:p>
      <w:pPr>
        <w:pStyle w:val="TextBody"/>
        <w:bidi w:val="0"/>
        <w:jc w:val="center"/>
        <w:rPr>
          <w:rFonts w:ascii="Times New Roman" w:hAnsi="Times New Roman"/>
          <w:b/>
          <w:color w:val="000000"/>
          <w:sz w:val="19"/>
        </w:rPr>
      </w:pPr>
      <w:r>
        <w:rPr>
          <w:rFonts w:ascii="Times New Roman" w:hAnsi="Times New Roman"/>
          <w:b/>
          <w:color w:val="000000"/>
          <w:sz w:val="19"/>
        </w:rPr>
        <w:t>Suite 150</w:t>
      </w:r>
    </w:p>
    <w:p>
      <w:pPr>
        <w:pStyle w:val="TextBody"/>
        <w:bidi w:val="0"/>
        <w:jc w:val="center"/>
        <w:rPr>
          <w:rFonts w:ascii="Times New Roman" w:hAnsi="Times New Roman"/>
          <w:b/>
          <w:color w:val="000000"/>
          <w:sz w:val="19"/>
        </w:rPr>
      </w:pPr>
      <w:r>
        <w:rPr>
          <w:rFonts w:ascii="Times New Roman" w:hAnsi="Times New Roman"/>
          <w:b/>
          <w:color w:val="000000"/>
          <w:sz w:val="19"/>
        </w:rPr>
        <w:t>San Diego, CA 92121</w:t>
      </w:r>
    </w:p>
    <w:p>
      <w:pPr>
        <w:pStyle w:val="TextBody"/>
        <w:bidi w:val="0"/>
        <w:jc w:val="center"/>
        <w:rPr>
          <w:rFonts w:ascii="Times New Roman" w:hAnsi="Times New Roman"/>
          <w:sz w:val="19"/>
        </w:rPr>
      </w:pPr>
      <w:r>
        <w:rPr>
          <w:rFonts w:ascii="Times New Roman" w:hAnsi="Times New Roman"/>
          <w:b/>
          <w:color w:val="000000"/>
          <w:sz w:val="19"/>
        </w:rPr>
        <w:t>(858) 369-7100</w:t>
      </w:r>
      <w:r>
        <w:rPr>
          <w:rFonts w:ascii="Times New Roman" w:hAnsi="Times New Roman"/>
          <w:color w:val="000000"/>
          <w:sz w:val="19"/>
        </w:rPr>
        <w:t xml:space="preserve"> </w:t>
      </w:r>
    </w:p>
    <w:p>
      <w:pPr>
        <w:pStyle w:val="TextBody"/>
        <w:bidi w:val="0"/>
        <w:jc w:val="center"/>
        <w:rPr>
          <w:rFonts w:ascii="Times New Roman" w:hAnsi="Times New Roman"/>
          <w:color w:val="000000"/>
          <w:sz w:val="19"/>
        </w:rPr>
      </w:pPr>
      <w:r>
        <w:rPr>
          <w:rFonts w:ascii="Times New Roman" w:hAnsi="Times New Roman"/>
          <w:color w:val="000000"/>
          <w:sz w:val="19"/>
        </w:rPr>
        <w:t xml:space="preserve">(Address, Including Zip Code, and Telephone Number, Including Area Code, of Registrant’s Principal Executive Offices) </w:t>
      </w:r>
    </w:p>
    <w:p>
      <w:pPr>
        <w:pStyle w:val="TextBody"/>
        <w:bidi w:val="0"/>
        <w:jc w:val="center"/>
        <w:rPr>
          <w:rFonts w:ascii="Times New Roman" w:hAnsi="Times New Roman"/>
          <w:b/>
          <w:color w:val="000000"/>
          <w:sz w:val="19"/>
        </w:rPr>
      </w:pPr>
      <w:r>
        <w:rPr>
          <w:rFonts w:ascii="Times New Roman" w:hAnsi="Times New Roman"/>
          <w:b/>
          <w:color w:val="000000"/>
          <w:sz w:val="19"/>
        </w:rPr>
        <w:t>Justin J. File</w:t>
      </w:r>
    </w:p>
    <w:p>
      <w:pPr>
        <w:pStyle w:val="TextBody"/>
        <w:bidi w:val="0"/>
        <w:jc w:val="center"/>
        <w:rPr>
          <w:rFonts w:ascii="Times New Roman" w:hAnsi="Times New Roman"/>
          <w:b/>
          <w:color w:val="000000"/>
          <w:sz w:val="19"/>
        </w:rPr>
      </w:pPr>
      <w:r>
        <w:rPr>
          <w:rFonts w:ascii="Times New Roman" w:hAnsi="Times New Roman"/>
          <w:b/>
          <w:color w:val="000000"/>
          <w:sz w:val="19"/>
        </w:rPr>
        <w:t>Chief Executive Officer</w:t>
      </w:r>
    </w:p>
    <w:p>
      <w:pPr>
        <w:pStyle w:val="TextBody"/>
        <w:bidi w:val="0"/>
        <w:jc w:val="center"/>
        <w:rPr>
          <w:rFonts w:ascii="Times New Roman" w:hAnsi="Times New Roman"/>
          <w:b/>
          <w:color w:val="000000"/>
          <w:sz w:val="19"/>
        </w:rPr>
      </w:pPr>
      <w:r>
        <w:rPr>
          <w:rFonts w:ascii="Times New Roman" w:hAnsi="Times New Roman"/>
          <w:b/>
          <w:color w:val="000000"/>
          <w:sz w:val="19"/>
        </w:rPr>
        <w:t>Lite Strategy, Inc.</w:t>
      </w:r>
    </w:p>
    <w:p>
      <w:pPr>
        <w:pStyle w:val="TextBody"/>
        <w:bidi w:val="0"/>
        <w:jc w:val="center"/>
        <w:rPr>
          <w:rFonts w:ascii="Times New Roman" w:hAnsi="Times New Roman"/>
          <w:b/>
          <w:color w:val="000000"/>
          <w:sz w:val="19"/>
        </w:rPr>
      </w:pPr>
      <w:r>
        <w:rPr>
          <w:rFonts w:ascii="Times New Roman" w:hAnsi="Times New Roman"/>
          <w:b/>
          <w:color w:val="000000"/>
          <w:sz w:val="19"/>
        </w:rPr>
        <w:t>9920 Pacific Heights Blvd.,</w:t>
      </w:r>
    </w:p>
    <w:p>
      <w:pPr>
        <w:pStyle w:val="TextBody"/>
        <w:bidi w:val="0"/>
        <w:jc w:val="center"/>
        <w:rPr>
          <w:rFonts w:ascii="Times New Roman" w:hAnsi="Times New Roman"/>
          <w:b/>
          <w:color w:val="000000"/>
          <w:sz w:val="19"/>
        </w:rPr>
      </w:pPr>
      <w:r>
        <w:rPr>
          <w:rFonts w:ascii="Times New Roman" w:hAnsi="Times New Roman"/>
          <w:b/>
          <w:color w:val="000000"/>
          <w:sz w:val="19"/>
        </w:rPr>
        <w:t>Suite 150</w:t>
      </w:r>
    </w:p>
    <w:p>
      <w:pPr>
        <w:pStyle w:val="TextBody"/>
        <w:bidi w:val="0"/>
        <w:jc w:val="center"/>
        <w:rPr>
          <w:rFonts w:ascii="Times New Roman" w:hAnsi="Times New Roman"/>
          <w:b/>
          <w:color w:val="000000"/>
          <w:sz w:val="19"/>
        </w:rPr>
      </w:pPr>
      <w:r>
        <w:rPr>
          <w:rFonts w:ascii="Times New Roman" w:hAnsi="Times New Roman"/>
          <w:b/>
          <w:color w:val="000000"/>
          <w:sz w:val="19"/>
        </w:rPr>
        <w:t>San Diego, CA 92121</w:t>
      </w:r>
    </w:p>
    <w:p>
      <w:pPr>
        <w:pStyle w:val="TextBody"/>
        <w:bidi w:val="0"/>
        <w:jc w:val="center"/>
        <w:rPr>
          <w:rFonts w:ascii="Times New Roman" w:hAnsi="Times New Roman"/>
          <w:sz w:val="19"/>
        </w:rPr>
      </w:pPr>
      <w:r>
        <w:rPr>
          <w:rFonts w:ascii="Times New Roman" w:hAnsi="Times New Roman"/>
          <w:b/>
          <w:color w:val="000000"/>
          <w:sz w:val="19"/>
        </w:rPr>
        <w:t>(858) 369-7100</w:t>
      </w:r>
      <w:r>
        <w:rPr>
          <w:rFonts w:ascii="Times New Roman" w:hAnsi="Times New Roman"/>
          <w:color w:val="000000"/>
          <w:sz w:val="19"/>
        </w:rPr>
        <w:t xml:space="preserve"> </w:t>
      </w:r>
    </w:p>
    <w:p>
      <w:pPr>
        <w:pStyle w:val="TextBody"/>
        <w:bidi w:val="0"/>
        <w:jc w:val="center"/>
        <w:rPr>
          <w:rFonts w:ascii="Times New Roman" w:hAnsi="Times New Roman"/>
          <w:color w:val="000000"/>
          <w:sz w:val="19"/>
        </w:rPr>
      </w:pPr>
      <w:r>
        <w:rPr>
          <w:rFonts w:ascii="Times New Roman" w:hAnsi="Times New Roman"/>
          <w:color w:val="000000"/>
          <w:sz w:val="19"/>
        </w:rPr>
        <w:t>(Name, Address, Including Zip Code, and Telephone Number, Including Area Code, of Agent for Service)</w:t>
      </w:r>
    </w:p>
    <w:p>
      <w:pPr>
        <w:pStyle w:val="TextBody"/>
        <w:bidi w:val="0"/>
        <w:jc w:val="center"/>
        <w:rPr>
          <w:rFonts w:ascii="Times New Roman" w:hAnsi="Times New Roman"/>
          <w:color w:val="000000"/>
          <w:sz w:val="19"/>
        </w:rPr>
      </w:pPr>
      <w:r>
        <w:rPr>
          <w:rFonts w:ascii="Times New Roman" w:hAnsi="Times New Roman"/>
          <w:color w:val="000000"/>
          <w:sz w:val="19"/>
        </w:rPr>
        <w:t xml:space="preserve">Copies to: </w:t>
      </w:r>
    </w:p>
    <w:p>
      <w:pPr>
        <w:pStyle w:val="TextBody"/>
        <w:bidi w:val="0"/>
        <w:jc w:val="center"/>
        <w:rPr>
          <w:rFonts w:ascii="Times New Roman" w:hAnsi="Times New Roman"/>
          <w:b/>
          <w:color w:val="000000"/>
          <w:sz w:val="19"/>
        </w:rPr>
      </w:pPr>
      <w:r>
        <w:rPr>
          <w:rFonts w:ascii="Times New Roman" w:hAnsi="Times New Roman"/>
          <w:b/>
          <w:color w:val="000000"/>
          <w:sz w:val="19"/>
        </w:rPr>
        <w:t>Justin W. Chairman, Esq.</w:t>
      </w:r>
    </w:p>
    <w:p>
      <w:pPr>
        <w:pStyle w:val="TextBody"/>
        <w:bidi w:val="0"/>
        <w:jc w:val="center"/>
        <w:rPr>
          <w:rFonts w:ascii="Times New Roman" w:hAnsi="Times New Roman"/>
          <w:b/>
          <w:color w:val="000000"/>
          <w:sz w:val="19"/>
        </w:rPr>
      </w:pPr>
      <w:r>
        <w:rPr>
          <w:rFonts w:ascii="Times New Roman" w:hAnsi="Times New Roman"/>
          <w:b/>
          <w:color w:val="000000"/>
          <w:sz w:val="19"/>
        </w:rPr>
        <w:t>Morgan, Lewis &amp; Bockius LLP</w:t>
      </w:r>
    </w:p>
    <w:p>
      <w:pPr>
        <w:pStyle w:val="TextBody"/>
        <w:bidi w:val="0"/>
        <w:jc w:val="center"/>
        <w:rPr>
          <w:rFonts w:ascii="Times New Roman" w:hAnsi="Times New Roman"/>
          <w:b/>
          <w:color w:val="000000"/>
          <w:sz w:val="19"/>
        </w:rPr>
      </w:pPr>
      <w:r>
        <w:rPr>
          <w:rFonts w:ascii="Times New Roman" w:hAnsi="Times New Roman"/>
          <w:b/>
          <w:color w:val="000000"/>
          <w:sz w:val="19"/>
        </w:rPr>
        <w:t>2222 Market Street</w:t>
      </w:r>
    </w:p>
    <w:p>
      <w:pPr>
        <w:pStyle w:val="TextBody"/>
        <w:bidi w:val="0"/>
        <w:jc w:val="center"/>
        <w:rPr>
          <w:rFonts w:ascii="Times New Roman" w:hAnsi="Times New Roman"/>
          <w:b/>
          <w:color w:val="000000"/>
          <w:sz w:val="19"/>
        </w:rPr>
      </w:pPr>
      <w:r>
        <w:rPr>
          <w:rFonts w:ascii="Times New Roman" w:hAnsi="Times New Roman"/>
          <w:b/>
          <w:color w:val="000000"/>
          <w:sz w:val="19"/>
        </w:rPr>
        <w:t>Philadelphia, PA 19103</w:t>
      </w:r>
    </w:p>
    <w:p>
      <w:pPr>
        <w:pStyle w:val="TextBody"/>
        <w:bidi w:val="0"/>
        <w:jc w:val="center"/>
        <w:rPr>
          <w:rFonts w:ascii="Times New Roman" w:hAnsi="Times New Roman"/>
          <w:b/>
          <w:color w:val="000000"/>
          <w:sz w:val="19"/>
        </w:rPr>
      </w:pPr>
      <w:r>
        <w:rPr>
          <w:rFonts w:ascii="Times New Roman" w:hAnsi="Times New Roman"/>
          <w:b/>
          <w:color w:val="000000"/>
          <w:sz w:val="19"/>
        </w:rPr>
        <w:t>(215) 963-5000</w:t>
      </w:r>
    </w:p>
    <w:p>
      <w:pPr>
        <w:pStyle w:val="TextBody"/>
        <w:bidi w:val="0"/>
        <w:jc w:val="left"/>
        <w:rPr>
          <w:rFonts w:ascii="Times New Roman" w:hAnsi="Times New Roman"/>
          <w:sz w:val="18"/>
        </w:rPr>
      </w:pPr>
      <w:r>
        <w:rPr>
          <w:rFonts w:ascii="Times New Roman" w:hAnsi="Times New Roman"/>
          <w:b/>
          <w:color w:val="000000"/>
          <w:sz w:val="18"/>
        </w:rPr>
        <w:t xml:space="preserve">Approximate date of commencement of proposed sale to the public: </w:t>
      </w:r>
      <w:r>
        <w:rPr>
          <w:rFonts w:ascii="Times New Roman" w:hAnsi="Times New Roman"/>
          <w:color w:val="000000"/>
          <w:sz w:val="18"/>
        </w:rPr>
        <w:t xml:space="preserve">From time to time after the effective date of this Registration Statement </w:t>
      </w:r>
    </w:p>
    <w:p>
      <w:pPr>
        <w:pStyle w:val="TextBody"/>
        <w:bidi w:val="0"/>
        <w:jc w:val="left"/>
        <w:rPr>
          <w:rFonts w:ascii="Times New Roman" w:hAnsi="Times New Roman"/>
          <w:sz w:val="2"/>
        </w:rPr>
      </w:pPr>
      <w:r>
        <w:rPr>
          <w:rFonts w:ascii="Times New Roman" w:hAnsi="Times New Roman"/>
          <w:color w:val="000000"/>
          <w:sz w:val="18"/>
        </w:rPr>
        <w:t xml:space="preserve">If the only securities being registered on this Form are being offered pursuant to dividend or interest reinvestment plans, please check the following box. </w:t>
      </w:r>
      <w:r>
        <w:rPr>
          <w:rFonts w:ascii="Times New Roman" w:hAnsi="Times New Roman"/>
          <w:color w:val="000000"/>
          <w:sz w:val="2"/>
        </w:rPr>
        <w:t xml:space="preserve"> ☐ </w:t>
      </w:r>
    </w:p>
    <w:p>
      <w:pPr>
        <w:pStyle w:val="TextBody"/>
        <w:bidi w:val="0"/>
        <w:jc w:val="left"/>
        <w:rPr>
          <w:rFonts w:ascii="Times New Roman" w:hAnsi="Times New Roman"/>
          <w:color w:val="000000"/>
          <w:sz w:val="18"/>
        </w:rPr>
      </w:pPr>
      <w:r>
        <w:rPr>
          <w:rFonts w:ascii="Times New Roman" w:hAnsi="Times New Roman"/>
          <w:color w:val="000000"/>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jc w:val="left"/>
        <w:rPr>
          <w:rFonts w:ascii="Times New Roman" w:hAnsi="Times New Roman"/>
          <w:sz w:val="2"/>
        </w:rPr>
      </w:pPr>
      <w:r>
        <w:rPr>
          <w:rFonts w:ascii="Times New Roman" w:hAnsi="Times New Roman"/>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hAnsi="Times New Roman"/>
          <w:color w:val="000000"/>
          <w:sz w:val="2"/>
        </w:rPr>
        <w:t xml:space="preserve"> ☐ </w:t>
      </w:r>
    </w:p>
    <w:p>
      <w:pPr>
        <w:pStyle w:val="TextBody"/>
        <w:bidi w:val="0"/>
        <w:jc w:val="left"/>
        <w:rPr>
          <w:rFonts w:ascii="Times New Roman" w:hAnsi="Times New Roman"/>
          <w:sz w:val="2"/>
        </w:rPr>
      </w:pPr>
      <w:r>
        <w:rPr>
          <w:rFonts w:ascii="Times New Roman" w:hAnsi="Times New Roman"/>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
        </w:rPr>
        <w:t xml:space="preserve"> ☐ </w:t>
      </w:r>
    </w:p>
    <w:p>
      <w:pPr>
        <w:pStyle w:val="TextBody"/>
        <w:bidi w:val="0"/>
        <w:jc w:val="left"/>
        <w:rPr>
          <w:rFonts w:ascii="Times New Roman" w:hAnsi="Times New Roman"/>
          <w:sz w:val="2"/>
        </w:rPr>
      </w:pPr>
      <w:r>
        <w:rPr>
          <w:rFonts w:ascii="Times New Roman" w:hAnsi="Times New Roman"/>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Times New Roman" w:hAnsi="Times New Roman"/>
          <w:color w:val="000000"/>
          <w:sz w:val="2"/>
        </w:rPr>
        <w:t xml:space="preserve"> ☐ </w:t>
      </w:r>
    </w:p>
    <w:p>
      <w:pPr>
        <w:pStyle w:val="TextBody"/>
        <w:bidi w:val="0"/>
        <w:jc w:val="left"/>
        <w:rPr>
          <w:rFonts w:ascii="Times New Roman" w:hAnsi="Times New Roman"/>
          <w:sz w:val="2"/>
        </w:rPr>
      </w:pPr>
      <w:r>
        <w:rPr>
          <w:rFonts w:ascii="Times New Roman" w:hAnsi="Times New Roman"/>
          <w:color w:val="000000"/>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Times New Roman" w:hAnsi="Times New Roman"/>
          <w:color w:val="000000"/>
          <w:sz w:val="2"/>
        </w:rPr>
        <w:t xml:space="preserve"> ☐ </w:t>
      </w:r>
    </w:p>
    <w:p>
      <w:pPr>
        <w:pStyle w:val="TextBody"/>
        <w:bidi w:val="0"/>
        <w:jc w:val="left"/>
        <w:rPr>
          <w:rFonts w:ascii="Times New Roman" w:hAnsi="Times New Roman"/>
          <w:color w:val="000000"/>
          <w:sz w:val="18"/>
        </w:rPr>
      </w:pPr>
      <w:r>
        <w:rPr>
          <w:rFonts w:ascii="Times New Roman" w:hAnsi="Times New Roman"/>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70" w:type="dxa"/>
        <w:jc w:val="left"/>
        <w:tblInd w:w="0" w:type="dxa"/>
        <w:tblLayout w:type="fixed"/>
        <w:tblCellMar>
          <w:top w:w="28" w:type="dxa"/>
          <w:left w:w="28" w:type="dxa"/>
          <w:bottom w:w="28" w:type="dxa"/>
          <w:right w:w="28" w:type="dxa"/>
        </w:tblCellMar>
      </w:tblPr>
      <w:tblGrid>
        <w:gridCol w:w="1726"/>
        <w:gridCol w:w="146"/>
        <w:gridCol w:w="146"/>
        <w:gridCol w:w="361"/>
        <w:gridCol w:w="146"/>
        <w:gridCol w:w="146"/>
        <w:gridCol w:w="2041"/>
        <w:gridCol w:w="146"/>
        <w:gridCol w:w="146"/>
        <w:gridCol w:w="46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r>
    </w:tbl>
    <w:p>
      <w:pPr>
        <w:pStyle w:val="TextBody"/>
        <w:bidi w:val="0"/>
        <w:jc w:val="left"/>
        <w:rPr>
          <w:rFonts w:ascii="Times New Roman" w:hAnsi="Times New Roman"/>
          <w:sz w:val="2"/>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Times New Roman" w:hAnsi="Times New Roman"/>
          <w:color w:val="000000"/>
          <w:sz w:val="2"/>
        </w:rPr>
        <w:t xml:space="preserve"> ☐ </w:t>
      </w:r>
    </w:p>
    <w:p>
      <w:pPr>
        <w:pStyle w:val="TextBody"/>
        <w:bidi w:val="0"/>
        <w:jc w:val="left"/>
        <w:rPr>
          <w:rFonts w:ascii="Times New Roman" w:hAnsi="Times New Roman"/>
          <w:sz w:val="18"/>
        </w:rPr>
      </w:pPr>
      <w:r>
        <w:rPr>
          <w:rFonts w:ascii="Times New Roman" w:hAnsi="Times New Roman"/>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r>
        <w:rPr>
          <w:rFonts w:ascii="Times New Roman" w:hAnsi="Times New Roman"/>
          <w:color w:val="000000"/>
          <w:sz w:val="18"/>
        </w:rPr>
        <w:t xml:space="preserve"> </w:t>
      </w:r>
    </w:p>
    <w:p>
      <w:pPr>
        <w:pStyle w:val="TextBody"/>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pPr>
      <w:r>
        <w:rPr/>
        <w:t> </w:t>
      </w:r>
    </w:p>
    <w:p>
      <w:pPr>
        <w:pStyle w:val="TextBody"/>
        <w:bidi w:val="0"/>
        <w:jc w:val="left"/>
        <w:rPr>
          <w:rFonts w:ascii="Arial" w:hAnsi="Arial"/>
          <w:b/>
          <w:color w:val="FC0014"/>
          <w:sz w:val="20"/>
        </w:rPr>
      </w:pPr>
      <w:r>
        <w:rPr>
          <w:rFonts w:ascii="Arial" w:hAnsi="Arial"/>
          <w:b/>
          <w:color w:val="FC0014"/>
          <w:sz w:val="20"/>
        </w:rPr>
        <w:t>The information in this prospectus is not complete and may be changed. The selling stockholders named in this prospectus may not sell these securities or accept an offer to buy these securities until the registration statement filed with the Securities and Exchange Commission is effective. This prospectus is not an offer to sell these securities and the selling stockholders named in this prospectus are not soliciting an offer to buy these securities in any state or jurisdiction where such offer or sale is not permitted.</w:t>
      </w:r>
    </w:p>
    <w:p>
      <w:pPr>
        <w:pStyle w:val="TextBody"/>
        <w:bidi w:val="0"/>
        <w:spacing w:before="240" w:after="283"/>
        <w:jc w:val="center"/>
        <w:rPr>
          <w:rFonts w:ascii="Times New Roman" w:hAnsi="Times New Roman"/>
          <w:sz w:val="20"/>
        </w:rPr>
      </w:pPr>
      <w:r>
        <w:rPr>
          <w:rFonts w:ascii="Times New Roman" w:hAnsi="Times New Roman"/>
          <w:b/>
          <w:color w:val="FC0014"/>
          <w:sz w:val="20"/>
        </w:rPr>
        <w:t xml:space="preserve">SUBJECT TO COMPLETION, DATED </w:t>
      </w:r>
      <w:r>
        <w:rPr>
          <w:rFonts w:ascii="Times New Roman" w:hAnsi="Times New Roman"/>
          <w:b/>
          <w:caps/>
          <w:color w:val="FC0014"/>
          <w:sz w:val="20"/>
        </w:rPr>
        <w:t>September</w:t>
      </w:r>
      <w:r>
        <w:rPr>
          <w:rFonts w:ascii="Times New Roman" w:hAnsi="Times New Roman"/>
          <w:color w:val="FC0014"/>
          <w:sz w:val="20"/>
        </w:rPr>
        <w:t xml:space="preserve"> </w:t>
      </w:r>
      <w:r>
        <w:rPr>
          <w:rFonts w:ascii="Times New Roman" w:hAnsi="Times New Roman"/>
          <w:b/>
          <w:color w:val="FC0014"/>
          <w:sz w:val="20"/>
        </w:rPr>
        <w:t>28, 2026</w:t>
      </w:r>
    </w:p>
    <w:p>
      <w:pPr>
        <w:pStyle w:val="TextBody"/>
        <w:bidi w:val="0"/>
        <w:jc w:val="left"/>
        <w:rPr/>
      </w:pPr>
      <w:r>
        <w:rPr/>
        <w:t> </w:t>
      </w:r>
    </w:p>
    <w:p>
      <w:pPr>
        <w:pStyle w:val="TextBody"/>
        <w:bidi w:val="0"/>
        <w:jc w:val="center"/>
        <w:rPr/>
      </w:pPr>
      <w:r>
        <w:rPr/>
        <w:drawing>
          <wp:inline distT="0" distB="0" distL="0" distR="0">
            <wp:extent cx="311467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9334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Lite Strategy, Inc.</w:t>
      </w:r>
    </w:p>
    <w:p>
      <w:pPr>
        <w:pStyle w:val="TextBody"/>
        <w:bidi w:val="0"/>
        <w:spacing w:before="120" w:after="283"/>
        <w:jc w:val="center"/>
        <w:rPr>
          <w:rFonts w:ascii="Times New Roman" w:hAnsi="Times New Roman"/>
          <w:sz w:val="20"/>
        </w:rPr>
      </w:pPr>
      <w:r>
        <w:rPr>
          <w:rFonts w:ascii="Times New Roman" w:hAnsi="Times New Roman"/>
          <w:b/>
          <w:color w:val="000000"/>
          <w:sz w:val="20"/>
        </w:rPr>
        <w:t>1,889,070 Shares of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Offered by the selling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prospectus filed by Lite Strategy, Inc. (the Company) relates to the resale by the selling stockholders named in this prospectus, or the selling stockholders, from time to time, of up to 1,889,070 shares of common stock, par value $0.00000002 per share, of the Company (the Common Stock), consisting of (i) 1,322,349 shares of Common Stock (the GSR Warrant Shares) issuable upon the exercise of pre-funded warrants (the GSR Warrants) issued to GSR Strategies LLC (the Asset Manager) with an exercise price of $0.0001 per share and (ii) 566,721 shares of Common Stock (the Advisory Warrant Shares) issuable upon the exercise of warrants (the Advisory Warrants) issued to Green Dragon Investments LLC (Green Dragon) with an exercise price of $0.0001 per share.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GSR Warrant Shares were issued pursuant to that certain Asset Management Agreement (the Asset Management Agreement), dated July 22, 2025, between the Company and the Asset Manager. The Advisory Warrant Shares were issued pursuant to that certain Advisory Agreement, dated as of July 22, 2025, by and between the Company and Green Dragon. We refer to the GSR Warrant Shares and the Advisory Warrant Shares collectively as the “Securities” in this prospectus. </w:t>
      </w:r>
    </w:p>
    <w:p>
      <w:pPr>
        <w:pStyle w:val="TextBody"/>
        <w:bidi w:val="0"/>
        <w:spacing w:before="120" w:after="283"/>
        <w:jc w:val="left"/>
        <w:rPr/>
      </w:pPr>
      <w:r>
        <w:rPr>
          <w:rFonts w:ascii="Times New Roman" w:hAnsi="Times New Roman"/>
          <w:color w:val="000000"/>
          <w:sz w:val="18"/>
        </w:rPr>
        <w:t>The selling stockholders may from time to time sell, transfer or otherwise dispose of any or all of the Securities in a number of different ways and at varying prices. See the “</w:t>
      </w:r>
      <w:hyperlink w:anchor="plan_distribution">
        <w:r>
          <w:rPr>
            <w:rStyle w:val="InternetLink"/>
            <w:rFonts w:ascii="Times New Roman" w:hAnsi="Times New Roman"/>
            <w:color w:val="0000FF"/>
            <w:sz w:val="18"/>
            <w:u w:val="single"/>
          </w:rPr>
          <w:t>Plan of Distribution</w:t>
        </w:r>
      </w:hyperlink>
      <w:r>
        <w:rPr>
          <w:rFonts w:ascii="Times New Roman" w:hAnsi="Times New Roman"/>
          <w:color w:val="000000"/>
          <w:sz w:val="18"/>
        </w:rPr>
        <w:t xml:space="preserve">” section of this prospectus for more information.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not selling any shares of Common Stock in this offering, and we will not receive any proceeds from the sale of shares by the selling stockholders. We will, however, receive up to approximately $132.23 in gross proceeds if the GSR Warrants are exercised in full and $56.67 in gross proceeds if the Advisory Warrants are exercised in full.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Our Common Stock is currently traded on The Nasdaq Capital Market (Nasdaq) under the symbol “LITS.” On September 22, 2026, the closing price as reported on Nasdaq was $1.30 per share.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selling stockholders may offer all or part of the Securities for resale from time to time through public or private transactions, at either prevailing market prices or at privately negotiated prices.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prospectus provides a general description of the securities being offered. You should read this prospectus and the registration statement of which it forms a part before you invest in any securities. </w:t>
      </w:r>
    </w:p>
    <w:p>
      <w:pPr>
        <w:pStyle w:val="TextBody"/>
        <w:bidi w:val="0"/>
        <w:spacing w:before="120" w:after="283"/>
        <w:jc w:val="left"/>
        <w:rPr/>
      </w:pPr>
      <w:r>
        <w:rPr>
          <w:rFonts w:ascii="Times New Roman" w:hAnsi="Times New Roman"/>
          <w:color w:val="000000"/>
          <w:sz w:val="18"/>
        </w:rPr>
        <w:t xml:space="preserve">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“Prospectus Summary - </w:t>
      </w:r>
      <w:hyperlink w:anchor="impl_being_src">
        <w:r>
          <w:rPr>
            <w:rStyle w:val="InternetLink"/>
            <w:rFonts w:ascii="Times New Roman" w:hAnsi="Times New Roman"/>
            <w:color w:val="0000FF"/>
            <w:sz w:val="18"/>
            <w:u w:val="single"/>
          </w:rPr>
          <w:t>Implications of Being a Smaller Reporting Company</w:t>
        </w:r>
      </w:hyperlink>
      <w:r>
        <w:rPr>
          <w:rFonts w:ascii="Times New Roman" w:hAnsi="Times New Roman"/>
          <w:color w:val="000000"/>
          <w:sz w:val="18"/>
        </w:rPr>
        <w:t xml:space="preserve">.” </w:t>
      </w:r>
    </w:p>
    <w:p>
      <w:pPr>
        <w:pStyle w:val="TextBody"/>
        <w:bidi w:val="0"/>
        <w:spacing w:before="120" w:after="283"/>
        <w:jc w:val="left"/>
        <w:rPr/>
      </w:pPr>
      <w:r>
        <w:rPr>
          <w:rFonts w:ascii="Times New Roman" w:hAnsi="Times New Roman"/>
          <w:b/>
          <w:color w:val="000000"/>
          <w:sz w:val="18"/>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risk_factors">
        <w:r>
          <w:rPr>
            <w:rStyle w:val="InternetLink"/>
            <w:rFonts w:ascii="Times New Roman" w:hAnsi="Times New Roman"/>
            <w:b/>
            <w:color w:val="0000FF"/>
            <w:sz w:val="18"/>
            <w:u w:val="single"/>
          </w:rPr>
          <w:t>Risk Factors</w:t>
        </w:r>
      </w:hyperlink>
      <w:r>
        <w:rPr>
          <w:rFonts w:ascii="Times New Roman" w:hAnsi="Times New Roman"/>
          <w:color w:val="000000"/>
          <w:sz w:val="18"/>
        </w:rPr>
        <w:t xml:space="preserve">” </w:t>
      </w:r>
      <w:r>
        <w:rPr>
          <w:rFonts w:ascii="Times New Roman" w:hAnsi="Times New Roman"/>
          <w:b/>
          <w:color w:val="000000"/>
          <w:sz w:val="18"/>
        </w:rPr>
        <w:t>on page 11</w:t>
      </w:r>
      <w:r>
        <w:rPr>
          <w:rFonts w:ascii="Times New Roman" w:hAnsi="Times New Roman"/>
          <w:color w:val="000000"/>
          <w:sz w:val="18"/>
        </w:rPr>
        <w:t xml:space="preserve"> </w:t>
      </w:r>
      <w:r>
        <w:rPr>
          <w:rFonts w:ascii="Times New Roman" w:hAnsi="Times New Roman"/>
          <w:b/>
          <w:color w:val="000000"/>
          <w:sz w:val="18"/>
        </w:rPr>
        <w:t>of this prospectus.</w:t>
      </w:r>
      <w:r>
        <w:rPr>
          <w:rFonts w:ascii="Times New Roman" w:hAnsi="Times New Roman"/>
          <w:color w:val="000000"/>
          <w:sz w:val="18"/>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360" w:after="100"/>
        <w:jc w:val="center"/>
        <w:rPr>
          <w:rFonts w:ascii="Times New Roman" w:hAnsi="Times New Roman"/>
          <w:b/>
          <w:color w:val="000000"/>
          <w:sz w:val="20"/>
        </w:rPr>
      </w:pPr>
      <w:r>
        <w:rPr>
          <w:rFonts w:ascii="Times New Roman" w:hAnsi="Times New Roman"/>
          <w:b/>
          <w:color w:val="000000"/>
          <w:sz w:val="20"/>
        </w:rPr>
        <w:t>The date of this prospectus is September 28,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left"/>
        <w:rPr/>
      </w:pPr>
      <w:r>
        <w:rPr/>
        <w:t> </w:t>
      </w:r>
    </w:p>
    <w:p>
      <w:pPr>
        <w:pStyle w:val="TextBody"/>
        <w:bidi w:val="0"/>
        <w:jc w:val="center"/>
        <w:rPr>
          <w:rFonts w:ascii="Times New Roman" w:hAnsi="Times New Roman"/>
          <w:sz w:val="20"/>
        </w:rPr>
      </w:pPr>
      <w:bookmarkStart w:id="2" w:name="ny20053247x2_s3a_202_toc_pg1"/>
      <w:bookmarkEnd w:id="2"/>
      <w:r>
        <w:rPr>
          <w:rFonts w:ascii="Times New Roman" w:hAnsi="Times New Roman"/>
          <w:b/>
          <w:color w:val="000000"/>
          <w:sz w:val="20"/>
        </w:rPr>
        <w:t>TABLE OF CONTENTS</w:t>
      </w:r>
      <w:r>
        <w:rPr>
          <w:rFonts w:ascii="Times New Roman" w:hAnsi="Times New Roman"/>
          <w:color w:val="000000"/>
          <w:sz w:val="20"/>
        </w:rPr>
        <w:t xml:space="preserve"> </w:t>
      </w:r>
      <w:bookmarkStart w:id="3" w:name="toc"/>
      <w:bookmarkEnd w:id="3"/>
    </w:p>
    <w:tbl>
      <w:tblPr>
        <w:tblW w:w="7059" w:type="dxa"/>
        <w:jc w:val="left"/>
        <w:tblInd w:w="0" w:type="dxa"/>
        <w:tblLayout w:type="fixed"/>
        <w:tblCellMar>
          <w:top w:w="28" w:type="dxa"/>
          <w:left w:w="28" w:type="dxa"/>
          <w:bottom w:w="28" w:type="dxa"/>
          <w:right w:w="28" w:type="dxa"/>
        </w:tblCellMar>
      </w:tblPr>
      <w:tblGrid>
        <w:gridCol w:w="6406"/>
        <w:gridCol w:w="146"/>
        <w:gridCol w:w="146"/>
        <w:gridCol w:w="361"/>
      </w:tblGrid>
      <w:tr>
        <w:trPr/>
        <w:tc>
          <w:tcPr>
            <w:tcW w:w="6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cautionarynote_frwrd_looking_stmts">
              <w:r>
                <w:rPr>
                  <w:rStyle w:val="InternetLink"/>
                  <w:rFonts w:ascii="Times New Roman" w:hAnsi="Times New Roman"/>
                  <w:color w:val="0000FF"/>
                  <w:sz w:val="20"/>
                  <w:u w:val="single"/>
                </w:rPr>
                <w:t>CAUTIONARY NOTE REGARDING FORWARD-LOOKING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4</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about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5</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prospectus_summ">
              <w:r>
                <w:rPr>
                  <w:rStyle w:val="InternetLink"/>
                  <w:rFonts w:ascii="Times New Roman" w:hAnsi="Times New Roman"/>
                  <w:color w:val="0000FF"/>
                  <w:sz w:val="20"/>
                  <w:u w:val="single"/>
                </w:rPr>
                <w:t>PROSPECTUS SUMMARY</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6</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offering">
              <w:r>
                <w:rPr>
                  <w:rStyle w:val="InternetLink"/>
                  <w:rFonts w:ascii="Times New Roman" w:hAnsi="Times New Roman"/>
                  <w:color w:val="0000FF"/>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8</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risk_factors">
              <w:r>
                <w:rPr>
                  <w:rStyle w:val="InternetLink"/>
                  <w:rFonts w:ascii="Times New Roman" w:hAnsi="Times New Roman"/>
                  <w:color w:val="0000FF"/>
                  <w:sz w:val="20"/>
                  <w:u w:val="single"/>
                </w:rPr>
                <w:t>RISK FACTORS</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11</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12</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incorp_certain_docs_by_ref">
              <w:r>
                <w:rPr>
                  <w:rStyle w:val="InternetLink"/>
                  <w:rFonts w:ascii="Times New Roman" w:hAnsi="Times New Roman"/>
                  <w:color w:val="0000FF"/>
                  <w:sz w:val="20"/>
                  <w:u w:val="single"/>
                </w:rPr>
                <w:t>MARKET FOR COMMON STOCK AND DIVIDEND POLICY</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13</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desc_securities">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14</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selling_stockholders">
              <w:r>
                <w:rPr>
                  <w:rStyle w:val="InternetLink"/>
                  <w:rFonts w:ascii="Times New Roman" w:hAnsi="Times New Roman"/>
                  <w:color w:val="0000FF"/>
                  <w:sz w:val="20"/>
                  <w:u w:val="single"/>
                </w:rPr>
                <w:t>SELLING STOCKHOLDERS</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17</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plan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18</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legal_matters">
              <w:r>
                <w:rPr>
                  <w:rStyle w:val="InternetLink"/>
                  <w:rFonts w:ascii="Times New Roman" w:hAnsi="Times New Roman"/>
                  <w:color w:val="0000FF"/>
                  <w:sz w:val="20"/>
                  <w:u w:val="single"/>
                </w:rPr>
                <w:t>LEGAL MATTERS</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20</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20</w:t>
            </w:r>
          </w:p>
        </w:tc>
      </w:tr>
      <w:tr>
        <w:trPr/>
        <w:tc>
          <w:tcPr>
            <w:tcW w:w="6406" w:type="dxa"/>
            <w:tcBorders/>
            <w:shd w:fill="CCEEFF" w:val="clear"/>
            <w:tcMar>
              <w:top w:w="0" w:type="dxa"/>
              <w:left w:w="0" w:type="dxa"/>
              <w:bottom w:w="0" w:type="dxa"/>
              <w:right w:w="0" w:type="dxa"/>
            </w:tcMar>
            <w:vAlign w:val="center"/>
          </w:tcPr>
          <w:p>
            <w:pPr>
              <w:pStyle w:val="TableContents"/>
              <w:bidi w:val="0"/>
              <w:spacing w:before="80" w:after="283"/>
              <w:jc w:val="left"/>
              <w:rPr/>
            </w:pPr>
            <w:hyperlink w:anchor="incorp_certain_docs_by_ref">
              <w:r>
                <w:rPr>
                  <w:rStyle w:val="InternetLink"/>
                  <w:rFonts w:ascii="Times New Roman" w:hAnsi="Times New Roman"/>
                  <w:color w:val="0000FF"/>
                  <w:sz w:val="20"/>
                  <w:u w:val="single"/>
                </w:rPr>
                <w:t>INCORPORATION OF CERTAIN DOCUMENTS BY REFERENCE</w:t>
              </w:r>
            </w:hyperlink>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21</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hyperlink w:anchor="where_to_find_info">
              <w:r>
                <w:rPr>
                  <w:rStyle w:val="InternetLink"/>
                  <w:rFonts w:ascii="Times New Roman" w:hAnsi="Times New Roman"/>
                  <w:color w:val="0000FF"/>
                  <w:sz w:val="20"/>
                  <w:u w:val="single"/>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22</w:t>
            </w:r>
          </w:p>
        </w:tc>
      </w:tr>
      <w:tr>
        <w:trPr/>
        <w:tc>
          <w:tcPr>
            <w:tcW w:w="640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 w:type="dxa"/>
            <w:tcBorders/>
            <w:tcMar>
              <w:top w:w="0" w:type="dxa"/>
              <w:left w:w="0" w:type="dxa"/>
              <w:bottom w:w="0" w:type="dxa"/>
              <w:right w:w="0" w:type="dxa"/>
            </w:tcMar>
            <w:vAlign w:val="center"/>
          </w:tcPr>
          <w:p>
            <w:pPr>
              <w:pStyle w:val="TableContents"/>
              <w:bidi w:val="0"/>
              <w:spacing w:before="80" w:after="283"/>
              <w:jc w:val="left"/>
              <w:rPr/>
            </w:pPr>
            <w:r>
              <w:rPr/>
              <w:t> </w:t>
            </w:r>
          </w:p>
        </w:tc>
      </w:tr>
    </w:tbl>
    <w:p>
      <w:pPr>
        <w:pStyle w:val="TextBody"/>
        <w:bidi w:val="0"/>
        <w:spacing w:before="240" w:after="283"/>
        <w:jc w:val="center"/>
        <w:rPr/>
      </w:pPr>
      <w:bookmarkStart w:id="4" w:name="tcnr"/>
      <w:bookmarkEnd w:id="4"/>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autionarynote_frwrd_looking_stmts"/>
      <w:bookmarkEnd w:id="5"/>
      <w:r>
        <w:rPr>
          <w:rFonts w:ascii="Times New Roman" w:hAnsi="Times New Roman"/>
          <w:b/>
          <w:color w:val="000000"/>
          <w:sz w:val="20"/>
        </w:rPr>
        <w:t>CAUTIONARY NOTE REGARDING FORWARD-LOOKING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prospectus supplement, the accompanying base prospectus and the documents we have filed with the U.S. Securities and Exchange Commission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 </w:t>
      </w:r>
    </w:p>
    <w:p>
      <w:pPr>
        <w:pStyle w:val="TextBody"/>
        <w:bidi w:val="0"/>
        <w:spacing w:before="120" w:after="283"/>
        <w:jc w:val="left"/>
        <w:rPr/>
      </w:pPr>
      <w:bookmarkStart w:id="6" w:name="tatp"/>
      <w:bookmarkEnd w:id="6"/>
      <w:r>
        <w:rPr>
          <w:rFonts w:ascii="Times New Roman" w:hAnsi="Times New Roman"/>
          <w:color w:val="000000"/>
          <w:sz w:val="20"/>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w:t>
      </w:r>
      <w:hyperlink w:anchor="risk_factors">
        <w:r>
          <w:rPr>
            <w:rStyle w:val="InternetLink"/>
            <w:rFonts w:ascii="Times New Roman" w:hAnsi="Times New Roman"/>
            <w:color w:val="0000FF"/>
            <w:sz w:val="20"/>
            <w:u w:val="single"/>
          </w:rPr>
          <w:t>Risk Factors</w:t>
        </w:r>
      </w:hyperlink>
      <w:r>
        <w:rPr>
          <w:rFonts w:ascii="Times New Roman" w:hAnsi="Times New Roman"/>
          <w:color w:val="000000"/>
          <w:sz w:val="20"/>
        </w:rPr>
        <w:t xml:space="preserve">”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about_prospectus"/>
      <w:bookmarkEnd w:id="7"/>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120" w:after="283"/>
        <w:jc w:val="left"/>
        <w:rPr/>
      </w:pPr>
      <w:r>
        <w:rPr>
          <w:rFonts w:ascii="Times New Roman" w:hAnsi="Times New Roman"/>
          <w:color w:val="000000"/>
          <w:sz w:val="20"/>
        </w:rPr>
        <w:t>This prospectus is part of a registration statement that we filed with the SEC, using a “shelf” registration process. By using a shelf registration statement, the selling stockholders may sell shares of our Common Stock from time to time and in one or more offerings as described in this prospectus and may provide a prospectus supplement to this prospectus that contains specific information about the shares of our Common Stock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shares of our Common Stock, you should carefully read both this prospectus and any applicable prospectus supplement and free writing prospectuses, together with the additional information described under the heading “</w:t>
      </w:r>
      <w:hyperlink w:anchor="where_to_find_info">
        <w:r>
          <w:rPr>
            <w:rStyle w:val="InternetLink"/>
            <w:rFonts w:ascii="Times New Roman" w:hAnsi="Times New Roman"/>
            <w:color w:val="0000FF"/>
            <w:sz w:val="20"/>
            <w:u w:val="single"/>
          </w:rPr>
          <w:t>Where You Can Find More Information</w:t>
        </w:r>
      </w:hyperlink>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Neither we, the selling stockholders nor any underwriter has authorized anyone to provide you with any information or to make any representations other than those contained in this prospectus, any applicable prospectus supplement or any free writing prospectuses prepared by or on behalf of us or to which we have referred you. Neither we, the selling stockholders nor any underwriter take responsibility for, and can provide no assurances as to the reliability of, any other information that others may give you. Neither we nor the selling stockholders will make an offer to sell the shares of our Common Stock in any jurisdiction where the offer or sale is not permitted. You should assume that the information appearing in this prospectus and any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indicated otherwise. Our business, financial condition, results of operations and prospects may have changed since those 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120" w:after="283"/>
        <w:jc w:val="left"/>
        <w:rPr/>
      </w:pPr>
      <w:r>
        <w:rPr>
          <w:rFonts w:ascii="Times New Roman" w:hAnsi="Times New Roman"/>
          <w:color w:val="000000"/>
          <w:sz w:val="20"/>
        </w:rPr>
        <w:t>This prospectus includes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are incorporated by reference as exhibits to the registration statement of which this prospectus is a part, and you may obtain copies of those documents as described under the heading “</w:t>
      </w:r>
      <w:hyperlink w:anchor="where_to_find_info">
        <w:r>
          <w:rPr>
            <w:rStyle w:val="InternetLink"/>
            <w:rFonts w:ascii="Times New Roman" w:hAnsi="Times New Roman"/>
            <w:color w:val="0000FF"/>
            <w:sz w:val="20"/>
            <w:u w:val="single"/>
          </w:rPr>
          <w:t>Where You Can Find More Information</w:t>
        </w:r>
      </w:hyperlink>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8" w:name="tps"/>
      <w:bookmarkEnd w:id="8"/>
      <w:r>
        <w:rPr>
          <w:rFonts w:ascii="Times New Roman" w:hAnsi="Times New Roman"/>
          <w:color w:val="000000"/>
          <w:sz w:val="20"/>
        </w:rPr>
        <w:t xml:space="preserve">The terms “Lite Strategy,” the “Company,” “our,” “us” and “we,” as used in this prospectus, refer to Lite Strategy, Inc., a Delaware corporation, and its subsidiaries unless we state otherwise or the context indicates otherwise. </w:t>
      </w:r>
      <w:bookmarkStart w:id="9" w:name="ny20053247x2_s3a_205_summary_pg1"/>
      <w:bookmarkEnd w:id="9"/>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240" w:after="283"/>
              <w:jc w:val="center"/>
              <w:rPr>
                <w:rFonts w:ascii="Times New Roman" w:hAnsi="Times New Roman"/>
                <w:sz w:val="20"/>
              </w:rPr>
            </w:pPr>
            <w:bookmarkStart w:id="10" w:name="prospectus_summ"/>
            <w:bookmarkEnd w:id="10"/>
            <w:r>
              <w:rPr>
                <w:rFonts w:ascii="Times New Roman" w:hAnsi="Times New Roman"/>
                <w:b/>
                <w:color w:val="000000"/>
                <w:sz w:val="20"/>
              </w:rPr>
              <w:t>PROSPECTUS SUMMARY</w:t>
            </w:r>
            <w:r>
              <w:rPr>
                <w:rFonts w:ascii="Times New Roman" w:hAnsi="Times New Roman"/>
                <w:color w:val="000000"/>
                <w:sz w:val="20"/>
              </w:rPr>
              <w:t xml:space="preserve"> </w:t>
            </w:r>
          </w:p>
          <w:p>
            <w:pPr>
              <w:pStyle w:val="TableContents"/>
              <w:bidi w:val="0"/>
              <w:spacing w:before="120" w:after="283"/>
              <w:jc w:val="left"/>
              <w:rPr/>
            </w:pPr>
            <w:r>
              <w:rPr>
                <w:rFonts w:ascii="Times New Roman" w:hAnsi="Times New Roman"/>
                <w:i/>
                <w:color w:val="000000"/>
                <w:sz w:val="20"/>
              </w:rPr>
              <w:t>This summary highlights selected information from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w:t>
            </w:r>
            <w:hyperlink w:anchor="risk_factors">
              <w:r>
                <w:rPr>
                  <w:rStyle w:val="InternetLink"/>
                  <w:rFonts w:ascii="Times New Roman" w:hAnsi="Times New Roman"/>
                  <w:i/>
                  <w:color w:val="0000FF"/>
                  <w:sz w:val="20"/>
                  <w:u w:val="single"/>
                </w:rPr>
                <w:t>Risk_Factors</w:t>
              </w:r>
            </w:hyperlink>
            <w:r>
              <w:rPr>
                <w:rFonts w:ascii="Times New Roman" w:hAnsi="Times New Roman"/>
                <w:color w:val="000000"/>
                <w:sz w:val="20"/>
              </w:rPr>
              <w:t xml:space="preserve">” </w:t>
            </w:r>
            <w:r>
              <w:rPr>
                <w:rFonts w:ascii="Times New Roman" w:hAnsi="Times New Roman"/>
                <w:i/>
                <w:color w:val="000000"/>
                <w:sz w:val="20"/>
              </w:rPr>
              <w:t>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r>
              <w:rPr>
                <w:rFonts w:ascii="Times New Roman" w:hAnsi="Times New Roman"/>
                <w:color w:val="000000"/>
                <w:sz w:val="20"/>
              </w:rPr>
              <w:t xml:space="preserve"> </w:t>
            </w:r>
          </w:p>
          <w:p>
            <w:pPr>
              <w:pStyle w:val="TableContents"/>
              <w:bidi w:val="0"/>
              <w:spacing w:before="120" w:after="283"/>
              <w:jc w:val="left"/>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Lite Strategy, Inc. (Nasdaq: LITS) is a pharmaceutical company that has historically developed novel and differentiated cancer therapies. During fiscal year 2026, we commenced pre-clinical development programs in nononcologic disease indications. We also hold Litecoin, or LTC, tokens as a primary reserve asset as part of our broader institutional treasury initiative. We initially built our pipeline by acquiring promising cancer agents and creating value in programs through clinical development, strategic partnerships, and out-licensing or commercialization, as appropriate. Our approach to drug 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or CDK9, inhibitor, zandelisib, an oral, once-daily, selective PI3Kδ inhibitor and, prior to its sale in October 2024 to Aardvark Therapeutics, Inc., ME-344, an intravenous small molecule mitochondrial inhibitor targeting the oxidative phosphorylation pathway in the mitochondria.</w:t>
            </w:r>
          </w:p>
          <w:p>
            <w:pPr>
              <w:pStyle w:val="TableContents"/>
              <w:bidi w:val="0"/>
              <w:spacing w:before="120" w:after="283"/>
              <w:jc w:val="left"/>
              <w:rPr>
                <w:rFonts w:ascii="Times New Roman" w:hAnsi="Times New Roman"/>
                <w:sz w:val="20"/>
              </w:rPr>
            </w:pPr>
            <w:r>
              <w:rPr>
                <w:rFonts w:ascii="Times New Roman" w:hAnsi="Times New Roman"/>
                <w:i/>
                <w:color w:val="000000"/>
                <w:sz w:val="20"/>
              </w:rPr>
              <w:t>Litecoin Treasury Strategy</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On August 5, 2026,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compared to the leading math-based currency. We believe this strategy will allow us to diversify reserves, enhance capital efficiency, and align with emerging financial technologies.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enter into contracts with GSR Markets Ltd, an affiliate of the Asset Manager, in which we write covered call options on certain of our LTC holdings (Covered Call Options). We utilize these Covered Call Options on certain digital asset holdings as part of broader digital asset treasury management strategy. These strategies are designed to generate incremental liquidity and income while retaining exposure to the underlying digital assets, subject to the risk that the assets may be delivered to option counterparties if exercised.</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On July 22, 2025, we closed on a $100.0 million private investment in public equity (PIPE), and issued an aggregate of (i) 23,216,898 shares of our Common Stock, at an offering price of $3.42 per share and (ii) pre-funded warrants (the Pre-Funded Warrants), to purchase up to an aggregate of 6,022,869 shares of Common Stock, at an offering price of $3.4199 per Pre-Funded Warrant.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 (iv) a strategic advisor agreement and (v) a new at-the-market sales agreement. As partial or full consideration of services provided associated with the PIPE, we issued warrants for the purchase of up to 3,070,177 shares of Common Stock with a weighted-average exercise price of approximately $4.10 per share.</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Capital Market under the symbol “LITS.” </w:t>
            </w:r>
          </w:p>
          <w:p>
            <w:pPr>
              <w:pStyle w:val="TableContents"/>
              <w:bidi w:val="0"/>
              <w:spacing w:before="120" w:after="283"/>
              <w:jc w:val="left"/>
              <w:rPr>
                <w:rFonts w:ascii="Times New Roman" w:hAnsi="Times New Roman"/>
                <w:sz w:val="20"/>
              </w:rPr>
            </w:pPr>
            <w:bookmarkStart w:id="11" w:name="impl_being_src"/>
            <w:bookmarkEnd w:id="11"/>
            <w:r>
              <w:rPr>
                <w:rFonts w:ascii="Times New Roman" w:hAnsi="Times New Roman"/>
                <w:b/>
                <w:color w:val="000000"/>
                <w:sz w:val="20"/>
              </w:rPr>
              <w:t>Implications of Being a Smaller Reporting Company</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Regulation S-K. As a result, we may take advantage of certain of the scaled disclosures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We will remain a smaller reporting company if we have (i) less than $250 million in market value of our shares held by non-affiliates as of the last business day of our second fiscal quarter or (ii) less than $100 million of annual revenues in our most recent fiscal year completed before the last business day of our second fiscal quarter and less than $700 million in market value of our shares held by non-affiliates as of the last business day of our second fiscal quarter.</w:t>
            </w:r>
          </w:p>
        </w:tc>
      </w:tr>
    </w:tbl>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Our principal executive offices are located at 9920 Pacific Heights Blvd., Suite 150, San Diego, CA 92121, and our phone number is (858) 369-7100. Our website is https://litestrategy.com/.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Stock. </w:t>
            </w:r>
          </w:p>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901"/>
        <w:gridCol w:w="8304"/>
      </w:tblGrid>
      <w:tr>
        <w:trPr/>
        <w:tc>
          <w:tcPr>
            <w:tcW w:w="1901" w:type="dxa"/>
            <w:tcBorders/>
            <w:vAlign w:val="center"/>
          </w:tcPr>
          <w:p>
            <w:pPr>
              <w:pStyle w:val="TableContents"/>
              <w:bidi w:val="0"/>
              <w:spacing w:before="0" w:after="283"/>
              <w:jc w:val="left"/>
              <w:rPr>
                <w:sz w:val="4"/>
                <w:szCs w:val="4"/>
              </w:rPr>
            </w:pPr>
            <w:r>
              <w:rPr>
                <w:sz w:val="4"/>
                <w:szCs w:val="4"/>
              </w:rPr>
            </w:r>
          </w:p>
        </w:tc>
        <w:tc>
          <w:tcPr>
            <w:tcW w:w="830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right w:val="single" w:sz="4" w:space="0" w:color="000000"/>
            </w:tcBorders>
            <w:tcMar>
              <w:bottom w:w="0" w:type="dxa"/>
            </w:tcMar>
            <w:vAlign w:val="center"/>
          </w:tcPr>
          <w:p>
            <w:pPr>
              <w:pStyle w:val="TableContents"/>
              <w:bidi w:val="0"/>
              <w:spacing w:before="240" w:after="283"/>
              <w:jc w:val="center"/>
              <w:rPr>
                <w:rFonts w:ascii="Times New Roman" w:hAnsi="Times New Roman"/>
                <w:b/>
                <w:color w:val="000000"/>
                <w:sz w:val="20"/>
              </w:rPr>
            </w:pPr>
            <w:bookmarkStart w:id="12" w:name="offering"/>
            <w:bookmarkEnd w:id="12"/>
            <w:r>
              <w:rPr>
                <w:rFonts w:ascii="Times New Roman" w:hAnsi="Times New Roman"/>
                <w:b/>
                <w:color w:val="000000"/>
                <w:sz w:val="20"/>
              </w:rPr>
              <w:t>THE OFFERING</w:t>
            </w:r>
          </w:p>
          <w:p>
            <w:pPr>
              <w:pStyle w:val="TableContents"/>
              <w:bidi w:val="0"/>
              <w:spacing w:before="0" w:after="283"/>
              <w:jc w:val="center"/>
              <w:rPr/>
            </w:pPr>
            <w:r>
              <w:rPr/>
              <w:t> </w:t>
            </w:r>
          </w:p>
        </w:tc>
      </w:tr>
      <w:tr>
        <w:trPr/>
        <w:tc>
          <w:tcPr>
            <w:tcW w:w="1901" w:type="dxa"/>
            <w:tcBorders>
              <w:left w:val="single" w:sz="4" w:space="0" w:color="000000"/>
            </w:tcBorders>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GSR Warrant Shares Offered:</w:t>
            </w:r>
          </w:p>
        </w:tc>
        <w:tc>
          <w:tcPr>
            <w:tcW w:w="8304" w:type="dxa"/>
            <w:tcBorders>
              <w:right w:val="single" w:sz="4" w:space="0" w:color="000000"/>
            </w:tcBorders>
            <w:tcMar>
              <w:top w:w="0" w:type="dxa"/>
              <w:left w:w="0" w:type="dxa"/>
              <w:bottom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1,322,349 shares of Common Stock issuable upon exercise of the GSR Warrants, each exercisable for one share of Common Stock at an exercise price of $0.0001 per share. The GSR Warrants are exercisable immediately upon issuance or otherwise in accordance with the terms of the GSR Warrants and may be exercised at any time until all of the GSR Warrants are exercised in full.</w:t>
            </w:r>
          </w:p>
        </w:tc>
      </w:tr>
      <w:tr>
        <w:trPr/>
        <w:tc>
          <w:tcPr>
            <w:tcW w:w="1901" w:type="dxa"/>
            <w:tcBorders>
              <w:left w:val="single" w:sz="4" w:space="0" w:color="000000"/>
            </w:tcBorders>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Warrant Shares Offered:</w:t>
            </w:r>
          </w:p>
        </w:tc>
        <w:tc>
          <w:tcPr>
            <w:tcW w:w="8304" w:type="dxa"/>
            <w:tcBorders>
              <w:right w:val="single" w:sz="4" w:space="0" w:color="000000"/>
            </w:tcBorders>
            <w:tcMar>
              <w:top w:w="0" w:type="dxa"/>
              <w:left w:w="0" w:type="dxa"/>
              <w:bottom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566,721 Advisory Warrant Shares issuable upon exercise of the Advisory Warrants, each exercisable for one share of Common Stock at an exercise price of $0.0001 per share. The Advisory Warrants are exercisable immediately upon issuance or otherwise in accordance with the terms of the Asset Manager Warrants and may be exercised at any time on or prior to 5:00 p.m. (New York City time) on July 22, 2031.</w:t>
            </w:r>
          </w:p>
        </w:tc>
      </w:tr>
      <w:tr>
        <w:trPr/>
        <w:tc>
          <w:tcPr>
            <w:tcW w:w="1901" w:type="dxa"/>
            <w:tcBorders>
              <w:left w:val="single" w:sz="4" w:space="0" w:color="000000"/>
            </w:tcBorders>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 Before this Offering:</w:t>
            </w:r>
          </w:p>
        </w:tc>
        <w:tc>
          <w:tcPr>
            <w:tcW w:w="8304" w:type="dxa"/>
            <w:tcBorders>
              <w:right w:val="single" w:sz="4" w:space="0" w:color="000000"/>
            </w:tcBorders>
            <w:tcMar>
              <w:top w:w="0" w:type="dxa"/>
              <w:left w:w="0" w:type="dxa"/>
              <w:bottom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30,407,268 shares of Common Stock.</w:t>
            </w:r>
          </w:p>
        </w:tc>
      </w:tr>
      <w:tr>
        <w:trPr/>
        <w:tc>
          <w:tcPr>
            <w:tcW w:w="1901" w:type="dxa"/>
            <w:tcBorders>
              <w:left w:val="single" w:sz="4" w:space="0" w:color="000000"/>
            </w:tcBorders>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to be Outstanding After this Offering:</w:t>
            </w:r>
          </w:p>
        </w:tc>
        <w:tc>
          <w:tcPr>
            <w:tcW w:w="8304" w:type="dxa"/>
            <w:tcBorders>
              <w:right w:val="single" w:sz="4" w:space="0" w:color="000000"/>
            </w:tcBorders>
            <w:tcMar>
              <w:top w:w="0" w:type="dxa"/>
              <w:left w:w="0" w:type="dxa"/>
              <w:bottom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32,296,338 shares of Common Stock, assuming the exercise of all of the GSR Warrants and Advisory Warrants.</w:t>
            </w:r>
          </w:p>
        </w:tc>
      </w:tr>
      <w:tr>
        <w:trPr/>
        <w:tc>
          <w:tcPr>
            <w:tcW w:w="190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Stockholders:</w:t>
            </w:r>
          </w:p>
        </w:tc>
        <w:tc>
          <w:tcPr>
            <w:tcW w:w="8304" w:type="dxa"/>
            <w:tcBorders>
              <w:bottom w:val="single" w:sz="4" w:space="0" w:color="000000"/>
              <w:right w:val="single" w:sz="4" w:space="0" w:color="000000"/>
            </w:tcBorders>
            <w:tcMar>
              <w:top w:w="0" w:type="dxa"/>
              <w:left w:w="0" w:type="dxa"/>
            </w:tcMar>
            <w:vAlign w:val="center"/>
          </w:tcPr>
          <w:p>
            <w:pPr>
              <w:pStyle w:val="TableContents"/>
              <w:bidi w:val="0"/>
              <w:spacing w:before="0" w:after="240"/>
              <w:jc w:val="left"/>
              <w:rPr/>
            </w:pPr>
            <w:r>
              <w:rPr>
                <w:rFonts w:ascii="Times New Roman" w:hAnsi="Times New Roman"/>
                <w:color w:val="000000"/>
                <w:sz w:val="20"/>
              </w:rPr>
              <w:t>All of the shares of our Common Stock are being offered by the selling stockholders. See “</w:t>
            </w:r>
            <w:hyperlink w:anchor="selling_stockholders">
              <w:r>
                <w:rPr>
                  <w:rStyle w:val="InternetLink"/>
                  <w:rFonts w:ascii="Times New Roman" w:hAnsi="Times New Roman"/>
                  <w:color w:val="0000FF"/>
                  <w:sz w:val="20"/>
                  <w:u w:val="single"/>
                </w:rPr>
                <w:t>selling stockholders</w:t>
              </w:r>
            </w:hyperlink>
            <w:r>
              <w:rPr>
                <w:rFonts w:ascii="Times New Roman" w:hAnsi="Times New Roman"/>
                <w:color w:val="000000"/>
                <w:sz w:val="20"/>
              </w:rPr>
              <w:t xml:space="preserve">” on beginning on page 17 for additional information on the selling stockholders.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9"/>
        <w:gridCol w:w="8856"/>
      </w:tblGrid>
      <w:tr>
        <w:trPr/>
        <w:tc>
          <w:tcPr>
            <w:tcW w:w="1349" w:type="dxa"/>
            <w:tcBorders/>
            <w:vAlign w:val="center"/>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r>
      <w:tr>
        <w:trPr/>
        <w:tc>
          <w:tcPr>
            <w:tcW w:w="134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Use of proceeds:</w:t>
            </w:r>
          </w:p>
          <w:p>
            <w:pPr>
              <w:pStyle w:val="TableContents"/>
              <w:bidi w:val="0"/>
              <w:spacing w:before="0" w:after="283"/>
              <w:jc w:val="left"/>
              <w:rPr/>
            </w:pPr>
            <w:r>
              <w:rPr/>
              <w:t> </w:t>
            </w:r>
          </w:p>
        </w:tc>
        <w:tc>
          <w:tcPr>
            <w:tcW w:w="8856"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We will not receive any proceeds from the sale of the shares of Common Stock in this offering by the selling stockholders. We will, however, receive up to approximately $132.23 in gross proceeds if the GSR Warrants are exercised in full and $56.67 in gross proceeds if the Advisory Warrants are exercised. See “</w:t>
            </w:r>
            <w:hyperlink w:anchor="use_of_proceeds">
              <w:r>
                <w:rPr>
                  <w:rStyle w:val="InternetLink"/>
                  <w:rFonts w:ascii="Times New Roman" w:hAnsi="Times New Roman"/>
                  <w:color w:val="0000FF"/>
                  <w:sz w:val="20"/>
                  <w:u w:val="single"/>
                </w:rPr>
                <w:t>Use of Proceeds</w:t>
              </w:r>
            </w:hyperlink>
            <w:r>
              <w:rPr>
                <w:rFonts w:ascii="Times New Roman" w:hAnsi="Times New Roman"/>
                <w:color w:val="000000"/>
                <w:sz w:val="20"/>
              </w:rPr>
              <w:t xml:space="preserve">” beginning on page 12 for additional information on the use of proceeds. </w:t>
            </w:r>
          </w:p>
          <w:p>
            <w:pPr>
              <w:pStyle w:val="TableContents"/>
              <w:bidi w:val="0"/>
              <w:spacing w:before="0" w:after="283"/>
              <w:jc w:val="left"/>
              <w:rPr/>
            </w:pPr>
            <w:r>
              <w:rPr/>
              <w:t> </w:t>
            </w:r>
          </w:p>
        </w:tc>
      </w:tr>
      <w:tr>
        <w:trPr/>
        <w:tc>
          <w:tcPr>
            <w:tcW w:w="134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Plan of Distribution:</w:t>
            </w:r>
          </w:p>
          <w:p>
            <w:pPr>
              <w:pStyle w:val="TableContents"/>
              <w:bidi w:val="0"/>
              <w:spacing w:before="0" w:after="283"/>
              <w:jc w:val="left"/>
              <w:rPr/>
            </w:pPr>
            <w:r>
              <w:rPr/>
              <w:t> </w:t>
            </w:r>
          </w:p>
        </w:tc>
        <w:tc>
          <w:tcPr>
            <w:tcW w:w="8856"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The selling stockholders, or their pledgees, donees, transferees, distributees, beneficiaries or other successors-in-interest, may offer or sell the shares of our Common Stock offered under this prospectus from time to time through public or private transactions at our prevailing market prices, at prices related to prevailing market prices or at privately negotiated prices. The selling stockholders may also resell the shares of our Common Stock offered under this prospectus to or through underwriters, broker-dealers or agents, who may receive compensation in the form of discounts, concessions or commissions. See “</w:t>
            </w:r>
            <w:hyperlink w:anchor="plan_distribution">
              <w:r>
                <w:rPr>
                  <w:rStyle w:val="InternetLink"/>
                  <w:rFonts w:ascii="Times New Roman" w:hAnsi="Times New Roman"/>
                  <w:color w:val="0000FF"/>
                  <w:sz w:val="20"/>
                  <w:u w:val="single"/>
                </w:rPr>
                <w:t>Plan of Distribution</w:t>
              </w:r>
            </w:hyperlink>
            <w:r>
              <w:rPr>
                <w:rFonts w:ascii="Times New Roman" w:hAnsi="Times New Roman"/>
                <w:color w:val="000000"/>
                <w:sz w:val="20"/>
              </w:rPr>
              <w:t xml:space="preserve">” beginning on page 18 for additional information on the methods of sale that may be used by the selling stockholders. </w:t>
            </w:r>
          </w:p>
          <w:p>
            <w:pPr>
              <w:pStyle w:val="TableContents"/>
              <w:bidi w:val="0"/>
              <w:spacing w:before="0" w:after="283"/>
              <w:jc w:val="left"/>
              <w:rPr/>
            </w:pPr>
            <w:r>
              <w:rPr/>
              <w:t> </w:t>
            </w:r>
          </w:p>
        </w:tc>
      </w:tr>
      <w:tr>
        <w:trPr/>
        <w:tc>
          <w:tcPr>
            <w:tcW w:w="134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Risk Factors:</w:t>
            </w:r>
          </w:p>
          <w:p>
            <w:pPr>
              <w:pStyle w:val="TableContents"/>
              <w:bidi w:val="0"/>
              <w:spacing w:before="0" w:after="283"/>
              <w:jc w:val="left"/>
              <w:rPr/>
            </w:pPr>
            <w:r>
              <w:rPr/>
              <w:t> </w:t>
            </w:r>
          </w:p>
        </w:tc>
        <w:tc>
          <w:tcPr>
            <w:tcW w:w="8856"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Investing in our Common Stock involves significant risks. See “</w:t>
            </w:r>
            <w:hyperlink w:anchor="risk_factors">
              <w:r>
                <w:rPr>
                  <w:rStyle w:val="InternetLink"/>
                  <w:rFonts w:ascii="Times New Roman" w:hAnsi="Times New Roman"/>
                  <w:color w:val="0000FF"/>
                  <w:sz w:val="20"/>
                  <w:u w:val="single"/>
                </w:rPr>
                <w:t>Risk Factors</w:t>
              </w:r>
            </w:hyperlink>
            <w:r>
              <w:rPr>
                <w:rFonts w:ascii="Times New Roman" w:hAnsi="Times New Roman"/>
                <w:color w:val="000000"/>
                <w:sz w:val="20"/>
              </w:rPr>
              <w:t>” beginning on page 11 of this prospectus and the other information included in, or incorporated by reference into, this prospectus for a discussion of certain factors you should carefully consider before deciding to invest in shares of our Common Stock</w:t>
            </w:r>
          </w:p>
          <w:p>
            <w:pPr>
              <w:pStyle w:val="TableContents"/>
              <w:bidi w:val="0"/>
              <w:spacing w:before="0" w:after="283"/>
              <w:jc w:val="left"/>
              <w:rPr/>
            </w:pPr>
            <w:r>
              <w:rPr/>
              <w:t> </w:t>
            </w:r>
          </w:p>
        </w:tc>
      </w:tr>
      <w:tr>
        <w:trPr/>
        <w:tc>
          <w:tcPr>
            <w:tcW w:w="134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Nasdaq Global Select Market symbol</w:t>
            </w:r>
          </w:p>
          <w:p>
            <w:pPr>
              <w:pStyle w:val="TableContents"/>
              <w:bidi w:val="0"/>
              <w:spacing w:before="0" w:after="283"/>
              <w:jc w:val="left"/>
              <w:rPr/>
            </w:pPr>
            <w:r>
              <w:rPr/>
              <w:t> </w:t>
            </w:r>
          </w:p>
        </w:tc>
        <w:tc>
          <w:tcPr>
            <w:tcW w:w="88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"LITS"</w:t>
            </w:r>
          </w:p>
        </w:tc>
      </w:tr>
      <w:tr>
        <w:trPr/>
        <w:tc>
          <w:tcPr>
            <w:tcW w:w="10205" w:type="dxa"/>
            <w:gridSpan w:val="2"/>
            <w:tcBorders/>
            <w:tcMar>
              <w:top w:w="0" w:type="dxa"/>
              <w:left w:w="0" w:type="dxa"/>
              <w:bottom w:w="0" w:type="dxa"/>
              <w:right w:w="0" w:type="dxa"/>
            </w:tcMar>
            <w:vAlign w:val="center"/>
          </w:tcPr>
          <w:p>
            <w:pPr>
              <w:pStyle w:val="TableContents"/>
              <w:bidi w:val="0"/>
              <w:spacing w:before="0" w:after="240"/>
              <w:ind w:left="0" w:right="0" w:firstLine="979"/>
              <w:jc w:val="left"/>
              <w:rPr>
                <w:rFonts w:ascii="Times New Roman" w:hAnsi="Times New Roman"/>
                <w:color w:val="000000"/>
                <w:sz w:val="20"/>
              </w:rPr>
            </w:pPr>
            <w:r>
              <w:rPr>
                <w:rFonts w:ascii="Times New Roman" w:hAnsi="Times New Roman"/>
                <w:color w:val="000000"/>
                <w:sz w:val="20"/>
              </w:rPr>
              <w:t xml:space="preserve">Unless otherwise indicated, the number of shares of Common Stock to be outstanding after this offering is based on 30,407,268 shares of Common Stock outstanding as of September 22, 2026 and assumes full exercise of the GSR Warrants and Advisory Warrants. The number of shares of Common Stock outstanding after this offering excludes: </w:t>
            </w:r>
          </w:p>
        </w:tc>
      </w:tr>
      <w:tr>
        <w:trPr/>
        <w:tc>
          <w:tcPr>
            <w:tcW w:w="10205" w:type="dxa"/>
            <w:gridSpan w:val="2"/>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546,348 shares of common stock issuable upon exercise of pre-funded warrants outstanding as of September 22, 2026, which are exercisable at a price of $0.0001 per share;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584,795 shares of common stock issuable upon exercise of warrants outstanding as of September 22, 2026, which are exercisable at a price of $3.42 per share;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292,398 shares of common stock issuable upon exercise of warrants outstanding as of September 22, 2026, which are exercisable at a price of $3.93 per share;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292,398 shares of common stock issuable upon exercise of warrants outstanding as of September 22, 2026, which are exercisable at a price of $4.62 per share;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292,398 shares of common stock issuable upon exercise of warrants outstanding as of September 22, 2026, which are exercisable at a price of $5.13 per share;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438,597 shares of common stock issuable upon exercise of warrants outstanding as of September 22, 2026, which are exercisable at a price of $4.10 per share;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1,169,591 shares of common stock issuable upon exercise of warrants outstanding as of September 22, 2026, which are exercisable at a price of $4.10 per share;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234,149 shares of common stock issuable upon exercise of warrants outstanding as of September 22, 2026, which are exercisable at a price of $0.0001 per share;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979"/>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102,513 shares of common stock issuable upon exercise of warrants outstanding as of September 22, 2026, which are exercisable at a price of $6.80 per share;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1,702,835 shares of common stock issuance upon exercise of outstanding stock options as of September 22, 2026, which have a weighted-average exercise price of $12.58 per share;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163,698 shares of common stock reserved for issuance and available for future grant under the amended and restated MEI Pharma, Inc., 2021 Inducement Grant Equity Compensation Plan as of September 22, 2026;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2,087,050 shares of common stock reserved for issuance and available for future grant under the Lite Strategy, Inc., 2026 Stock Omnibus Equity Compensation Plan as of September 22, 2026.</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13" w:name="risk_factors"/>
      <w:bookmarkEnd w:id="13"/>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An investment in our Common Stock involves a high degree of risk. Before deciding whether to invest in our Common Stock, you should carefully consider the risks described below and discussed under the sections captioned “Risk Factors” contained in our most recent Annual Report on Form 10-K, as well as in any of our subsequent Quarterly Reports on Form 10-Q, which are incorporated by reference herein in their entirety, together with other information in this prospectus, the information and documents incorporated by reference in this prospectus, and in any prospectus supplement or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This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Resales of our Common Stock in the public market by our stockholders (including the selling stockholders) may cause the market price of our shares of Common Stock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Common Stock could occur at any time, including sales by the selling stockholders under this prospectus. The issuance of new shares of Common Stock could result in resales of our shares of Common Stock by our current stockholders concerned about the potential ownership dilution of their holdings. In turn, these resales could have the effect of depressing the market price for our shares of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You may experience future dilution as a result of future equity offerings.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raise additional capital, we may in the future offer additional shares of Common Stock or other securities convertible into or exchangeable for our shares of Common Stock that could result in further dilution to our current stockholders or result in downward pressure on the price of our Common Stock. We may sell our shares of Common Stock or other securities in any offering at prices that are higher or lower than the prices paid by the selling stockholders, and the investors purchasing shares or other securities in the future could have rights superior to existing stockholders. Moreover, to the extent that we issue options or warrants to purchase, or securities convertible into or exchangeable for, our shares of Common Stock in the future and those options, warrants or other securities are exercised, converted or exchanged, stockholders may experience further dilution. </w:t>
      </w:r>
    </w:p>
    <w:p>
      <w:pPr>
        <w:pStyle w:val="TextBody"/>
        <w:bidi w:val="0"/>
        <w:spacing w:before="120" w:after="283"/>
        <w:jc w:val="left"/>
        <w:rPr>
          <w:rFonts w:ascii="Times New Roman" w:hAnsi="Times New Roman"/>
          <w:sz w:val="20"/>
        </w:rPr>
      </w:pPr>
      <w:r>
        <w:rPr>
          <w:rFonts w:ascii="Times New Roman" w:hAnsi="Times New Roman"/>
          <w:b/>
          <w:i/>
          <w:color w:val="000000"/>
          <w:sz w:val="20"/>
        </w:rPr>
        <w:t>There is no public market for the GSR Warrants and Advisory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established public trading market for the GSR Warrants and Advisory Warrants, and we do not expect a market to develop. In addition, we do not intend to apply to list the GSR Warrants and Advisory Warrants on any securities exchange or nationally recognized trading system. Without an active market, the liquidity of the GSR Warrants and Advisory Warrants will be limited. </w:t>
      </w:r>
    </w:p>
    <w:p>
      <w:pPr>
        <w:pStyle w:val="TextBody"/>
        <w:bidi w:val="0"/>
        <w:spacing w:before="120" w:after="283"/>
        <w:jc w:val="left"/>
        <w:rPr>
          <w:rFonts w:ascii="Times New Roman" w:hAnsi="Times New Roman"/>
          <w:sz w:val="20"/>
        </w:rPr>
      </w:pPr>
      <w:r>
        <w:rPr>
          <w:rFonts w:ascii="Times New Roman" w:hAnsi="Times New Roman"/>
          <w:b/>
          <w:i/>
          <w:color w:val="000000"/>
          <w:sz w:val="20"/>
        </w:rPr>
        <w:t>Holders of our GSR Warrants and Advisory Warrants will have no rights as Common Stock stockholders until they acquire our shares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shares of Common Stock are acquired upon exercise of the GSR Warrants and Advisory Warrants, holders of those warrants will have no rights with respect to the shares of Common Stock issuable upon exercise of such warrants. Upon exercise of the GSR Warrants and Advisory Warrants, the holders will be entitled to exercise the rights of a holder of shares only as to matters for which the record date occurs after the issuance date for such shares of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We intend to use substantially all of the net proceeds from this offering to purchase Litecoin, the price of which has been, and will likely continue to be, highly volatile.</w:t>
      </w:r>
      <w:r>
        <w:rPr>
          <w:rFonts w:ascii="Times New Roman" w:hAnsi="Times New Roman"/>
          <w:color w:val="000000"/>
          <w:sz w:val="20"/>
        </w:rPr>
        <w:t xml:space="preserve">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 xml:space="preserve">We intend to use substantially all of the net proceeds from this offering to purchase Litecoin. Litecoin is a highly volatile asset that has traded between $39.39 and $135.56 per Litecoin in the 12 months ended June 30, 2026. More recently, during the second quarter of calendar year 2026, Litecoin has traded between $39.39 and $60.53 per Litecoin. In addition, Litecoin does not pay interest. The ability to generate a return on investment from the purchase of Litecoin will depend on whether there is appreciation in the value of Litecoin following our purchases. Future fluctuations in Litecoin’s trading prices may result in our converting Litecoin into cash with a value substantially below the cost of such purchases. Our Litecoin holdings are less liquid than our existing cash and cash equivalents and may not be able to serve as a source of liquidity for us to the same extent as our cash and cash equivalents.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14" w:name="use_of_proceeds"/>
      <w:bookmarkEnd w:id="14"/>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20" w:after="283"/>
        <w:jc w:val="left"/>
        <w:rPr/>
      </w:pPr>
      <w:bookmarkStart w:id="15" w:name="tmfc"/>
      <w:bookmarkEnd w:id="15"/>
      <w:r>
        <w:rPr>
          <w:rFonts w:ascii="Times New Roman" w:hAnsi="Times New Roman"/>
          <w:color w:val="000000"/>
          <w:sz w:val="20"/>
        </w:rPr>
        <w:t>We will not receive any proceeds from the sale of Common Stock by the selling stockholders. All of the net proceeds from the sale of our Common Stock will go to the selling stockholders as described below in the sections entitled “</w:t>
      </w:r>
      <w:hyperlink w:anchor="selling_stockholders">
        <w:r>
          <w:rPr>
            <w:rStyle w:val="InternetLink"/>
            <w:rFonts w:ascii="Times New Roman" w:hAnsi="Times New Roman"/>
            <w:color w:val="0000FF"/>
            <w:sz w:val="20"/>
            <w:u w:val="single"/>
          </w:rPr>
          <w:t>selling stockholders</w:t>
        </w:r>
      </w:hyperlink>
      <w:r>
        <w:rPr>
          <w:rFonts w:ascii="Times New Roman" w:hAnsi="Times New Roman"/>
          <w:color w:val="000000"/>
          <w:sz w:val="20"/>
        </w:rPr>
        <w:t>” and “</w:t>
      </w:r>
      <w:hyperlink w:anchor="plan_distribution">
        <w:r>
          <w:rPr>
            <w:rStyle w:val="InternetLink"/>
            <w:rFonts w:ascii="Times New Roman" w:hAnsi="Times New Roman"/>
            <w:color w:val="0000FF"/>
            <w:sz w:val="20"/>
            <w:u w:val="single"/>
          </w:rPr>
          <w:t>Plan of Distribution</w:t>
        </w:r>
      </w:hyperlink>
      <w:r>
        <w:rPr>
          <w:rFonts w:ascii="Times New Roman" w:hAnsi="Times New Roman"/>
          <w:color w:val="000000"/>
          <w:sz w:val="20"/>
        </w:rPr>
        <w:t xml:space="preserve">.” However, we will receive up to approximately $132.23 in gross proceeds if the GSR Warrants are exercised in full and $56.67 in gross proceeds if the Advisory Warrants are exercised in full. To the extent we receive proceeds from the exercise of the GSR Warrants and Advisory Warrants, we expect to use such proceeds for general corporate purposes. We have agreed to bear the expenses relating to the registration of the Securities for the selling stockholders.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6" w:name="mkt_for_cs_and_div_policy"/>
      <w:bookmarkEnd w:id="16"/>
      <w:r>
        <w:rPr>
          <w:rFonts w:ascii="Times New Roman" w:hAnsi="Times New Roman"/>
          <w:b/>
          <w:color w:val="000000"/>
          <w:sz w:val="20"/>
        </w:rPr>
        <w:t>MARKET FOR COMMON STOCK AND 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our Common Stock are traded on The Nasdaq Capital Market (Nasdaq) under the symbol “LITS.” Other than a special dividend declared in November 2023 and paid in December 2023, we have never declared or paid, and do not anticipate declaring, or paying in the foreseeable future, any cash dividends on our capital stock. Future determinations as to the declaration and payment of dividends, if any, will be at the discretion of our Board of Directors and will depend on then existing conditions, including our operating results, financial conditions, contractual restrictions, capital requirements, business prospects and other factors our Board of Directors may deem relevant. </w:t>
      </w:r>
    </w:p>
    <w:p>
      <w:pPr>
        <w:pStyle w:val="TextBody"/>
        <w:bidi w:val="0"/>
        <w:spacing w:before="120" w:after="283"/>
        <w:jc w:val="left"/>
        <w:rPr>
          <w:rFonts w:ascii="Times New Roman" w:hAnsi="Times New Roman"/>
          <w:color w:val="000000"/>
          <w:sz w:val="20"/>
        </w:rPr>
      </w:pPr>
      <w:bookmarkStart w:id="17" w:name="tdos"/>
      <w:bookmarkEnd w:id="17"/>
      <w:r>
        <w:rPr>
          <w:rFonts w:ascii="Times New Roman" w:hAnsi="Times New Roman"/>
          <w:color w:val="000000"/>
          <w:sz w:val="20"/>
        </w:rPr>
        <w:t xml:space="preserve">Instead of paying cash dividends, we anticipate that all of our earnings will be used to provide working capital, to support our operations, and to finance the growth and development of our business. The payment of dividends is within the discretion of the Board of Directors and will depend on our earnings, capital requirements, financial condition, prospects, applicable Delaware law, which, among other requirements, provides that dividends are only payable out of retained earnings, and other factors our Board of Directors might deem relevant. There are no restrictions that currently limit our ability to pay dividends on our Common Stock other than those generally imposed by applicable Delaware law.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8" w:name="desc_securities"/>
      <w:bookmarkEnd w:id="18"/>
      <w:r>
        <w:rPr>
          <w:rFonts w:ascii="Times New Roman" w:hAnsi="Times New Roman"/>
          <w:b/>
          <w:color w:val="000000"/>
          <w:sz w:val="20"/>
        </w:rPr>
        <w:t>DESCRIPTION OF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descriptions of the Securities contained in this prospectus, together with any applicable prospectus supplements, summarize the material terms and provisions of the Securities being offered pursuant to this prospectus. </w:t>
      </w:r>
    </w:p>
    <w:p>
      <w:pPr>
        <w:pStyle w:val="TextBody"/>
        <w:bidi w:val="0"/>
        <w:spacing w:before="24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description of our Common Stock is a summary. This summary is qualified in its entirety by reference to the Delaware General Corporation Law (DGCL) and to the complete text of our Amended and Restated Certificate of Incorporation and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authorized capital stock consists of shares made up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226,000,000 shares of Common Stock, par value $0.00000002 per share;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100,000 shares of undesignated preferred stock, par value $0.01 per share, the rights and preferences of which may be established from time to time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our Common Stock are entitled to one vote per share for the election of directors and on all other matters that require stockholder approval. Holders of shares of Common Stock do not have any cumulative voting rights. Subject to any preferential rights of any outstanding preferred stock, in the event of our liquidation, dissolution or winding up, holders of our Common Stock are entitled to share ratably in the assets remaining after payment of liabilities and the liquidation preferences of any outstanding preferred stock. Our Common Stock does not carry any redemption rights or any preemptive or preferential rights enabling a holder to subscribe for, or receive shares of, any class of our Common Stock or any other securities convertible into shares of any class of our Common Stock. Holders of our Common Stock have the right to participate ratably in dividend distributions. The shares of our Common Stock offered hereby, when issued, will be fully paid and nonassessable. </w:t>
      </w:r>
    </w:p>
    <w:p>
      <w:pPr>
        <w:pStyle w:val="TextBody"/>
        <w:bidi w:val="0"/>
        <w:spacing w:before="240" w:after="283"/>
        <w:jc w:val="left"/>
        <w:rPr>
          <w:rFonts w:ascii="Times New Roman" w:hAnsi="Times New Roman"/>
          <w:sz w:val="20"/>
        </w:rPr>
      </w:pPr>
      <w:r>
        <w:rPr>
          <w:rFonts w:ascii="Times New Roman" w:hAnsi="Times New Roman"/>
          <w:b/>
          <w:color w:val="000000"/>
          <w:sz w:val="20"/>
        </w:rPr>
        <w:t>GSR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summary of certain terms and provisions of the GSR Warrants, which if exercised, will become the GSR Warrant Shares that are being offered hereby, is not complete and is subject to, and qualified in its entirety by, the provisions of the GSR Warrant, the form of which is filed as an exhibit to the registration statement of which this prospectus forms a part. Prospective investors should carefully review the terms and provisions of the form of GSR Warrant for a complete description of the terms and conditions of the GSR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Duration and Exercise Price</w:t>
      </w:r>
      <w:r>
        <w:rPr>
          <w:rFonts w:ascii="Times New Roman" w:hAnsi="Times New Roman"/>
          <w:color w:val="000000"/>
          <w:sz w:val="20"/>
        </w:rPr>
        <w:t xml:space="preserve">. Each GSR Warrant will have an initial exercise price per share equal to $0.0001. The GSR Warrants will be immediately exercisable or otherwise in accordance with the terms of the GSR Warrant and may be exercised at any time until the Warrants are exercised in full. The exercise price and number of shares of Common Stock issuable upon exercise is subject to appropriate adjustment in the event of stock dividends, stock splits, reorganizations or similar events affecting our Common Stock and the exercise price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Exercisability. </w:t>
      </w:r>
      <w:r>
        <w:rPr>
          <w:rFonts w:ascii="Times New Roman" w:hAnsi="Times New Roman"/>
          <w:color w:val="000000"/>
          <w:sz w:val="20"/>
        </w:rPr>
        <w:t xml:space="preserve">The GSR Warrants will be exercisable, at the option of each holder, in whole or in part, by delivering to us a duly executed exercise notice accompanied by payment in full for the number of our shares of Common Stock purchased upon such exercise (except in the case of a cashless exercise as discussed below). A holder (together with its affiliates) may not exercise any portion of the Warrant to the extent that the holder would own more than 4.99% of the outstanding shares of Common Stock immediately after exercise (or, upon election by a holder prior to the issuance of any Warrant, 9.99%), except that upon at least 61 days’ prior notice from the holder to us, the holder may increase the amount of ownership of outstanding stock after exercising the holder’s GSR Warrants up to 9.99% of the number of our shares of Common Stock outstanding immediately after giving effect to the exercise, as such percentage ownership is determined in accordance with the terms of the GSR Warrants. No fractional shares of Common Stock will be issued in connection with the exercise of a GSR Warrant. In lieu of fractional shares, the Company shall, at its election, either pay a cash adjustment in respect of such final fraction in an amount equal to such fraction multiplied by the exercise price or round up to the next whole share of Common Stock. </w:t>
      </w:r>
    </w:p>
    <w:p>
      <w:pPr>
        <w:pStyle w:val="TextBody"/>
        <w:bidi w:val="0"/>
        <w:spacing w:before="120" w:after="283"/>
        <w:jc w:val="left"/>
        <w:rPr>
          <w:rFonts w:ascii="Times New Roman" w:hAnsi="Times New Roman"/>
          <w:sz w:val="20"/>
        </w:rPr>
      </w:pPr>
      <w:r>
        <w:rPr>
          <w:rFonts w:ascii="Times New Roman" w:hAnsi="Times New Roman"/>
          <w:i/>
          <w:color w:val="000000"/>
          <w:sz w:val="20"/>
        </w:rPr>
        <w:t>Cashless Exercise.</w:t>
      </w:r>
      <w:r>
        <w:rPr>
          <w:rFonts w:ascii="Times New Roman" w:hAnsi="Times New Roman"/>
          <w:color w:val="000000"/>
          <w:sz w:val="20"/>
        </w:rPr>
        <w:t xml:space="preserve"> In lieu of making the cash payment otherwise contemplated to be made to us upon such exercise in payment of the aggregate exercise price, the holder of the GSR Warrant may exercise, in whole or in part, at such time by means of a “cashless exercise” through which the holder shall be entitled to receive upon such exercise the number of shares of Common Stock determined according to a formula set forth in the GSR Warrant. </w:t>
      </w:r>
    </w:p>
    <w:p>
      <w:pPr>
        <w:pStyle w:val="TextBody"/>
        <w:bidi w:val="0"/>
        <w:spacing w:before="120" w:after="283"/>
        <w:jc w:val="left"/>
        <w:rPr>
          <w:rFonts w:ascii="Times New Roman" w:hAnsi="Times New Roman"/>
          <w:sz w:val="20"/>
        </w:rPr>
      </w:pPr>
      <w:r>
        <w:rPr>
          <w:rFonts w:ascii="Times New Roman" w:hAnsi="Times New Roman"/>
          <w:i/>
          <w:color w:val="000000"/>
          <w:sz w:val="20"/>
        </w:rPr>
        <w:t>Transferability</w:t>
      </w:r>
      <w:r>
        <w:rPr>
          <w:rFonts w:ascii="Times New Roman" w:hAnsi="Times New Roman"/>
          <w:color w:val="000000"/>
          <w:sz w:val="20"/>
        </w:rPr>
        <w:t xml:space="preserve">. Subject to applicable laws, a GSR Warrant may be transferred at the option of the holder upon surrender of the GSR Warrant to us together with the appropriate instruments of transfer. </w:t>
      </w:r>
    </w:p>
    <w:p>
      <w:pPr>
        <w:pStyle w:val="TextBody"/>
        <w:bidi w:val="0"/>
        <w:spacing w:before="120" w:after="283"/>
        <w:jc w:val="left"/>
        <w:rPr>
          <w:rFonts w:ascii="Times New Roman" w:hAnsi="Times New Roman"/>
          <w:sz w:val="20"/>
        </w:rPr>
      </w:pPr>
      <w:r>
        <w:rPr>
          <w:rFonts w:ascii="Times New Roman" w:hAnsi="Times New Roman"/>
          <w:i/>
          <w:color w:val="000000"/>
          <w:sz w:val="20"/>
        </w:rPr>
        <w:t>Exchange Listing.</w:t>
      </w:r>
      <w:r>
        <w:rPr>
          <w:rFonts w:ascii="Times New Roman" w:hAnsi="Times New Roman"/>
          <w:color w:val="000000"/>
          <w:sz w:val="20"/>
        </w:rPr>
        <w:t xml:space="preserve"> There is no trading market available for the GSR Warrants on any securities exchange or nationally recognized trading system. We do not intend to list the GSR Warrants on any securities exchange or nationally recognized trading system.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Right as a Stockholder.</w:t>
      </w:r>
      <w:r>
        <w:rPr>
          <w:rFonts w:ascii="Times New Roman" w:hAnsi="Times New Roman"/>
          <w:color w:val="000000"/>
          <w:sz w:val="20"/>
        </w:rPr>
        <w:t xml:space="preserve"> Except as otherwise provided in the GSR Warrants or by virtue of such holder’s ownership of Common Stock, the holders of the GSR Warrants do not have the rights or privileges of holders of our Common Stock, including any voting rights, until they exercise their GSR Warrants. </w:t>
      </w:r>
    </w:p>
    <w:p>
      <w:pPr>
        <w:pStyle w:val="TextBody"/>
        <w:bidi w:val="0"/>
        <w:spacing w:before="120" w:after="283"/>
        <w:jc w:val="left"/>
        <w:rPr>
          <w:rFonts w:ascii="Times New Roman" w:hAnsi="Times New Roman"/>
          <w:sz w:val="20"/>
        </w:rPr>
      </w:pPr>
      <w:r>
        <w:rPr>
          <w:rFonts w:ascii="Times New Roman" w:hAnsi="Times New Roman"/>
          <w:i/>
          <w:color w:val="000000"/>
          <w:sz w:val="20"/>
        </w:rPr>
        <w:t>Fundamental Transaction.</w:t>
      </w:r>
      <w:r>
        <w:rPr>
          <w:rFonts w:ascii="Times New Roman" w:hAnsi="Times New Roman"/>
          <w:color w:val="000000"/>
          <w:sz w:val="20"/>
        </w:rPr>
        <w:t xml:space="preserve"> In the event of a fundamental transaction, as described in the GSR Warrants and generally including any 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shares of Common Stock, then, upon any subsequent exercise of the GSR Warrant, the holder shall have the right to receive, for each share underlying the GSR Warrant that would have been issuable upon such exercise immediately prior to the occurrence of such fundamental transaction, at the option of the holder, the number of shares of Common Stock of the successor or acquiring corporation or of the Company, if it is the surviving corporation, and any additional consideration (for purposes of this paragraph, the Alternate Consideration) receivable as a result of such fundamental transaction by a holder of the number of shares of Common Stock for which the GSR Warrant is exercisable immediately prior to such fundamental transaction. If holders of Common Stock are given any choice as to the securities, cash or property to be received in a fundamental transaction, then the holder shall be given the same choice as to the Alternate Consideration it receives upon any exercise of the GSR Warrant following such fundamental transaction. If the Company is not the surviving entity following a fundamental transaction, then at the option of the holder, the surviving entity shall deliver to the holder a security of the surviving entity in exchange for the GSR Warrant. </w:t>
      </w:r>
    </w:p>
    <w:p>
      <w:pPr>
        <w:pStyle w:val="TextBody"/>
        <w:bidi w:val="0"/>
        <w:spacing w:before="240" w:after="283"/>
        <w:jc w:val="left"/>
        <w:rPr>
          <w:rFonts w:ascii="Times New Roman" w:hAnsi="Times New Roman"/>
          <w:sz w:val="20"/>
        </w:rPr>
      </w:pPr>
      <w:r>
        <w:rPr>
          <w:rFonts w:ascii="Times New Roman" w:hAnsi="Times New Roman"/>
          <w:b/>
          <w:color w:val="000000"/>
          <w:sz w:val="20"/>
        </w:rPr>
        <w:t>Advisory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summary of certain terms and provisions of the Advisory Warrants, which if exercised, will become the Advisory Warrant Shares that are being offered hereby, is not complete and is subject to, and qualified in its entirety by, the provisions of the Advisory Warrant, the form of which is filed as an exhibit to the registration statement of which this prospectus forms a part. Prospective investors should carefully review the terms and provisions of the form of Advisory Warrant for a complete description of the terms and conditions of the Advisory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Duration and Exercise Price</w:t>
      </w:r>
      <w:r>
        <w:rPr>
          <w:rFonts w:ascii="Times New Roman" w:hAnsi="Times New Roman"/>
          <w:color w:val="000000"/>
          <w:sz w:val="20"/>
        </w:rPr>
        <w:t xml:space="preserve">. Each Advisory Warrant will have an initial exercise price per share equal to $0.0001. The Advisory Warrants will be immediately exercisable or otherwise in accordance with the terms of the Advisory Warrant and may be exercised at any time until July 22, 2031 (the Warrant Termination Date).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Exercisability. </w:t>
      </w:r>
      <w:r>
        <w:rPr>
          <w:rFonts w:ascii="Times New Roman" w:hAnsi="Times New Roman"/>
          <w:color w:val="000000"/>
          <w:sz w:val="20"/>
        </w:rPr>
        <w:t xml:space="preserve">The Advisory Warrants will be exercisable, at the option of each holder, in whole or in part, by delivering to us, on or before the Warrant Termination Date, a duly executed exercise notice accompanied by payment in full for the number of our shares of Common Stock purchased upon such exercise (except in the case of a cashless exercise as discussed below). A holder (together with its affiliates) may not exercise any portion of the Advisory Warrant to the extent that the holder would own more than 4.99% of the outstanding shares of Common Stock immediately after exercise (or, upon election by a holder prior to the issuance of any Warrant, 9.99%), except that upon at least 61 days’ prior notice from the holder to us, the holder may increase or decrease the amount of ownership of outstanding stock after exercising the holder’s Advisory Warrants provided that in no event shall ownership exceed 9.99% of the number of our shares of Common Stock outstanding immediately after giving effect to the exercise, as such percentage ownership is determined in accordance with the terms of the Advisory Warrants. No fractional shares of Common Stock will be issued in connection with the exercise of an Advisory Warrant. In lieu of fractional shares, at our election, we will either pay a cash adjustment in respect of such final fraction in an amount equal to such fraction multiplied by the exercise price or round up to the next whole share.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Vesting. </w:t>
      </w:r>
      <w:r>
        <w:rPr>
          <w:rFonts w:ascii="Times New Roman" w:hAnsi="Times New Roman"/>
          <w:color w:val="000000"/>
          <w:sz w:val="20"/>
        </w:rPr>
        <w:t xml:space="preserve">The Advisory Warrants shall become exercisable in four equal installments commencing on the initial exercise date, and then on each of the first three succeeding three-month anniversaries thereof. </w:t>
      </w:r>
    </w:p>
    <w:p>
      <w:pPr>
        <w:pStyle w:val="TextBody"/>
        <w:bidi w:val="0"/>
        <w:spacing w:before="120" w:after="283"/>
        <w:jc w:val="left"/>
        <w:rPr>
          <w:rFonts w:ascii="Times New Roman" w:hAnsi="Times New Roman"/>
          <w:sz w:val="20"/>
        </w:rPr>
      </w:pPr>
      <w:r>
        <w:rPr>
          <w:rFonts w:ascii="Times New Roman" w:hAnsi="Times New Roman"/>
          <w:i/>
          <w:color w:val="000000"/>
          <w:sz w:val="20"/>
        </w:rPr>
        <w:t>Cashless Exercise.</w:t>
      </w:r>
      <w:r>
        <w:rPr>
          <w:rFonts w:ascii="Times New Roman" w:hAnsi="Times New Roman"/>
          <w:color w:val="000000"/>
          <w:sz w:val="20"/>
        </w:rPr>
        <w:t xml:space="preserve">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Advisory Warrants. </w:t>
      </w:r>
    </w:p>
    <w:p>
      <w:pPr>
        <w:pStyle w:val="TextBody"/>
        <w:bidi w:val="0"/>
        <w:spacing w:before="120" w:after="283"/>
        <w:jc w:val="left"/>
        <w:rPr>
          <w:rFonts w:ascii="Times New Roman" w:hAnsi="Times New Roman"/>
          <w:sz w:val="20"/>
        </w:rPr>
      </w:pPr>
      <w:r>
        <w:rPr>
          <w:rFonts w:ascii="Times New Roman" w:hAnsi="Times New Roman"/>
          <w:i/>
          <w:color w:val="000000"/>
          <w:sz w:val="20"/>
        </w:rPr>
        <w:t>Transferability</w:t>
      </w:r>
      <w:r>
        <w:rPr>
          <w:rFonts w:ascii="Times New Roman" w:hAnsi="Times New Roman"/>
          <w:color w:val="000000"/>
          <w:sz w:val="20"/>
        </w:rPr>
        <w:t xml:space="preserve">. Subject to applicable laws, an Advisory Warrant may be transferred at the option of the holder upon surrender of the Advisory Warrant to us together with the appropriate instruments of transfer. </w:t>
      </w:r>
    </w:p>
    <w:p>
      <w:pPr>
        <w:pStyle w:val="TextBody"/>
        <w:bidi w:val="0"/>
        <w:spacing w:before="120" w:after="283"/>
        <w:jc w:val="left"/>
        <w:rPr>
          <w:rFonts w:ascii="Times New Roman" w:hAnsi="Times New Roman"/>
          <w:sz w:val="20"/>
        </w:rPr>
      </w:pPr>
      <w:r>
        <w:rPr>
          <w:rFonts w:ascii="Times New Roman" w:hAnsi="Times New Roman"/>
          <w:i/>
          <w:color w:val="000000"/>
          <w:sz w:val="20"/>
        </w:rPr>
        <w:t>Exchange Listing.</w:t>
      </w:r>
      <w:r>
        <w:rPr>
          <w:rFonts w:ascii="Times New Roman" w:hAnsi="Times New Roman"/>
          <w:color w:val="000000"/>
          <w:sz w:val="20"/>
        </w:rPr>
        <w:t xml:space="preserve"> There is no trading market available for the Advisory Warrants on any securities exchange or nationally recognized trading system. We do not intend to list the Advisory Warrants on any securities exchange or nationally recognized trading system. </w:t>
      </w:r>
    </w:p>
    <w:p>
      <w:pPr>
        <w:pStyle w:val="TextBody"/>
        <w:bidi w:val="0"/>
        <w:spacing w:before="120" w:after="283"/>
        <w:jc w:val="left"/>
        <w:rPr>
          <w:rFonts w:ascii="Times New Roman" w:hAnsi="Times New Roman"/>
          <w:sz w:val="20"/>
        </w:rPr>
      </w:pPr>
      <w:r>
        <w:rPr>
          <w:rFonts w:ascii="Times New Roman" w:hAnsi="Times New Roman"/>
          <w:i/>
          <w:color w:val="000000"/>
          <w:sz w:val="20"/>
        </w:rPr>
        <w:t>Right as a Stockholder.</w:t>
      </w:r>
      <w:r>
        <w:rPr>
          <w:rFonts w:ascii="Times New Roman" w:hAnsi="Times New Roman"/>
          <w:color w:val="000000"/>
          <w:sz w:val="20"/>
        </w:rPr>
        <w:t xml:space="preserve"> Except as otherwise provided in the Advisory Warrants or by virtue of such holder’s ownership of Common Stock, the holders of the Advisory Warrants do not have the rights or privileges of holders of our Common Stock, including any voting rights, until they exercise their Advisory Warrants.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Section 203 of the Delaware General Corporation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provisions of Section 203 of the DGCL regulating corporate takeovers. This statute prevents certain Delaware corporations, under certain circumstances, from engaging in a “business combination”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stockholder who owns 15% or more of our outstanding voting stock (otherwise known as an “interested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affiliate of an interested stockholder;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associate of an interested stockholder, for three years following the date that the stockholder became an interest stockholder.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“business combination” includes a merger or sale of more than 10% of our assets. However, the above provisions of Section 203 do not apply if: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approves the transaction that made the stockholder an "interested stockholder," prior to the date of the transaction,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completion of the transaction that resulted in the stockholder become an interested stockholder, that stockholder owned at least 85% of our voting stock outstanding at the time the transaction commended, other than statutorily excluded shares of Common Stock.</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19" w:name="tss"/>
      <w:bookmarkEnd w:id="19"/>
      <w:r>
        <w:rPr>
          <w:rFonts w:ascii="Times New Roman" w:hAnsi="Times New Roman"/>
          <w:color w:val="000000"/>
          <w:sz w:val="20"/>
        </w:rPr>
        <w:t xml:space="preserve">Our transfer agent is Computershare Trust Company, N.A. located at 150 Royall Street, Canton, MA 02021.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0" w:name="selling_stockholders"/>
      <w:bookmarkEnd w:id="20"/>
      <w:r>
        <w:rPr>
          <w:rFonts w:ascii="Times New Roman" w:hAnsi="Times New Roman"/>
          <w:b/>
          <w:color w:val="000000"/>
          <w:sz w:val="20"/>
        </w:rPr>
        <w:t>SELLING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shares of Common Stock being offered by the selling stockholders are those previously issued to the selling stockholders, or those issuable upon exercise of previously issued warrants to purchase shares of Common Stock. We are registering the Securities in order to permit the selling stockholders to offer the Securities for resale from time to time. </w:t>
      </w:r>
    </w:p>
    <w:p>
      <w:pPr>
        <w:pStyle w:val="TextBody"/>
        <w:bidi w:val="0"/>
        <w:spacing w:before="240" w:after="283"/>
        <w:jc w:val="left"/>
        <w:rPr>
          <w:rFonts w:ascii="Times New Roman" w:hAnsi="Times New Roman"/>
          <w:sz w:val="20"/>
        </w:rPr>
      </w:pPr>
      <w:r>
        <w:rPr>
          <w:rFonts w:ascii="Times New Roman" w:hAnsi="Times New Roman"/>
          <w:b/>
          <w:color w:val="000000"/>
          <w:sz w:val="20"/>
        </w:rPr>
        <w:t>Information about the selling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based on information provided to us by or on behalf of the selling stockholders or known to us, the name of the selling stockholders and the number of shares of our Common Stock beneficially owned by the selling stockholders before and after this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lists the selling stockholders and other information regarding the beneficial ownership (as determined under Section 13(d) of the Exchange Act, and the rules and regulations thereunder) of the shares of Common Stock held by each of the selling stockholders. </w:t>
      </w:r>
    </w:p>
    <w:p>
      <w:pPr>
        <w:pStyle w:val="TextBody"/>
        <w:bidi w:val="0"/>
        <w:spacing w:before="120" w:after="283"/>
        <w:jc w:val="left"/>
        <w:rPr/>
      </w:pPr>
      <w:r>
        <w:rPr>
          <w:rFonts w:ascii="Times New Roman" w:hAnsi="Times New Roman"/>
          <w:color w:val="000000"/>
          <w:sz w:val="20"/>
        </w:rPr>
        <w:t>The selling stockholders may sell all, some or none of their shares in this offering. See “</w:t>
      </w:r>
      <w:hyperlink w:anchor="plan_distribution">
        <w:r>
          <w:rPr>
            <w:rStyle w:val="InternetLink"/>
            <w:rFonts w:ascii="Times New Roman" w:hAnsi="Times New Roman"/>
            <w:color w:val="0000FF"/>
            <w:sz w:val="20"/>
            <w:u w:val="single"/>
          </w:rPr>
          <w:t>Plan of Distribution</w:t>
        </w:r>
      </w:hyperlink>
      <w:r>
        <w:rPr>
          <w:rFonts w:ascii="Times New Roman" w:hAnsi="Times New Roman"/>
          <w:color w:val="000000"/>
          <w:sz w:val="20"/>
        </w:rPr>
        <w:t xml:space="preserve">.” The percentages of ownership of the selling stockholders in the below table is based upon 30,407,268 shares of common stock outstanding as of September 22, 2026. </w:t>
      </w:r>
    </w:p>
    <w:p>
      <w:pPr>
        <w:pStyle w:val="TextBody"/>
        <w:bidi w:val="0"/>
        <w:jc w:val="left"/>
        <w:rPr/>
      </w:pPr>
      <w:r>
        <w:rPr/>
        <w:t> </w:t>
      </w:r>
    </w:p>
    <w:tbl>
      <w:tblPr>
        <w:tblW w:w="9993" w:type="dxa"/>
        <w:jc w:val="left"/>
        <w:tblInd w:w="0" w:type="dxa"/>
        <w:tblLayout w:type="fixed"/>
        <w:tblCellMar>
          <w:top w:w="28" w:type="dxa"/>
          <w:left w:w="28" w:type="dxa"/>
          <w:bottom w:w="28" w:type="dxa"/>
          <w:right w:w="28" w:type="dxa"/>
        </w:tblCellMar>
      </w:tblPr>
      <w:tblGrid>
        <w:gridCol w:w="2896"/>
        <w:gridCol w:w="146"/>
        <w:gridCol w:w="146"/>
        <w:gridCol w:w="1456"/>
        <w:gridCol w:w="146"/>
        <w:gridCol w:w="146"/>
        <w:gridCol w:w="1696"/>
        <w:gridCol w:w="146"/>
        <w:gridCol w:w="146"/>
        <w:gridCol w:w="1366"/>
        <w:gridCol w:w="146"/>
        <w:gridCol w:w="146"/>
        <w:gridCol w:w="14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8" w:space="0" w:color="000000"/>
            </w:tcBorders>
            <w:tcMar>
              <w:top w:w="0" w:type="dxa"/>
              <w:left w:w="0" w:type="dxa"/>
              <w:bottom w:w="43"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selling stockholder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bottom w:val="single" w:sz="8" w:space="0" w:color="000000"/>
            </w:tcBorders>
            <w:tcMar>
              <w:top w:w="0" w:type="dxa"/>
              <w:left w:w="0" w:type="dxa"/>
              <w:bottom w:w="43"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Number of Shares</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of Common Stock</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Owned Prior to</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bottom w:w="43"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Maximum Number</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of shares of Common</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Stock to be Sold</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Pursuant to this</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Prospectus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tcMar>
              <w:top w:w="0" w:type="dxa"/>
              <w:left w:w="0" w:type="dxa"/>
              <w:bottom w:w="43"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Number of</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shares of</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Common Stock</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Owned After the</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8" w:space="0" w:color="000000"/>
            </w:tcBorders>
            <w:tcMar>
              <w:top w:w="0" w:type="dxa"/>
              <w:left w:w="0" w:type="dxa"/>
              <w:bottom w:w="43"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Percentage</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of shares of</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Common Stock</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Owned After the</w:t>
            </w:r>
            <w:r>
              <w:rPr>
                <w:rFonts w:ascii="Times New Roman" w:hAnsi="Times New Roman"/>
                <w:color w:val="000000"/>
                <w:sz w:val="16"/>
              </w:rPr>
              <w:t xml:space="preserve"> </w:t>
            </w:r>
          </w:p>
          <w:p>
            <w:pPr>
              <w:pStyle w:val="TableContents"/>
              <w:bidi w:val="0"/>
              <w:spacing w:before="0" w:after="283"/>
              <w:jc w:val="center"/>
              <w:rPr>
                <w:rFonts w:ascii="Times New Roman" w:hAnsi="Times New Roman"/>
                <w:sz w:val="16"/>
              </w:rPr>
            </w:pPr>
            <w:r>
              <w:rPr>
                <w:rFonts w:ascii="Times New Roman" w:hAnsi="Times New Roman"/>
                <w:b/>
                <w:color w:val="000000"/>
                <w:sz w:val="16"/>
              </w:rPr>
              <w:t>Offering</w:t>
            </w:r>
            <w:r>
              <w:rPr>
                <w:rFonts w:ascii="Times New Roman" w:hAnsi="Times New Roman"/>
                <w:color w:val="000000"/>
                <w:sz w:val="16"/>
              </w:rPr>
              <w:t xml:space="preserve"> </w:t>
            </w:r>
          </w:p>
        </w:tc>
      </w:tr>
      <w:tr>
        <w:trPr/>
        <w:tc>
          <w:tcPr>
            <w:tcW w:w="2896" w:type="dxa"/>
            <w:tcBorders/>
            <w:shd w:fill="CCEE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GSR Strategies LLC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E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 xml:space="preserve">3,330,685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1,322,349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2,008,336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r>
      <w:tr>
        <w:trPr/>
        <w:tc>
          <w:tcPr>
            <w:tcW w:w="289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Green Dragon Investments LLC </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 xml:space="preserve">800,870 </w:t>
            </w:r>
            <w:r>
              <w:rPr>
                <w:rFonts w:ascii="Times New Roman" w:hAnsi="Times New Roman"/>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566,721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234,149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8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42" w:type="dxa"/>
        <w:jc w:val="left"/>
        <w:tblInd w:w="0" w:type="dxa"/>
        <w:tblLayout w:type="fixed"/>
        <w:tblCellMar>
          <w:top w:w="28" w:type="dxa"/>
          <w:left w:w="28" w:type="dxa"/>
          <w:bottom w:w="28" w:type="dxa"/>
          <w:right w:w="28" w:type="dxa"/>
        </w:tblCellMar>
      </w:tblPr>
      <w:tblGrid>
        <w:gridCol w:w="211"/>
        <w:gridCol w:w="8131"/>
      </w:tblGrid>
      <w:tr>
        <w:trPr/>
        <w:tc>
          <w:tcPr>
            <w:tcW w:w="211" w:type="dxa"/>
            <w:tcBorders/>
            <w:vAlign w:val="center"/>
          </w:tcPr>
          <w:p>
            <w:pPr>
              <w:pStyle w:val="TableContents"/>
              <w:bidi w:val="0"/>
              <w:spacing w:before="0" w:after="283"/>
              <w:jc w:val="left"/>
              <w:rPr>
                <w:sz w:val="4"/>
                <w:szCs w:val="4"/>
              </w:rPr>
            </w:pPr>
            <w:r>
              <w:rPr>
                <w:sz w:val="4"/>
                <w:szCs w:val="4"/>
              </w:rPr>
            </w:r>
          </w:p>
        </w:tc>
        <w:tc>
          <w:tcPr>
            <w:tcW w:w="8131"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w:t>
            </w:r>
          </w:p>
        </w:tc>
        <w:tc>
          <w:tcPr>
            <w:tcW w:w="81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 xml:space="preserve">Indicates beneficial ownership of less than one percent (1%) of the total outstanding shares of our Common Stock.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
        <w:gridCol w:w="9925"/>
      </w:tblGrid>
      <w:tr>
        <w:trPr/>
        <w:tc>
          <w:tcPr>
            <w:tcW w:w="280" w:type="dxa"/>
            <w:tcBorders/>
            <w:vAlign w:val="center"/>
          </w:tcPr>
          <w:p>
            <w:pPr>
              <w:pStyle w:val="TableContents"/>
              <w:bidi w:val="0"/>
              <w:spacing w:before="0" w:after="283"/>
              <w:jc w:val="left"/>
              <w:rPr>
                <w:sz w:val="4"/>
                <w:szCs w:val="4"/>
              </w:rPr>
            </w:pPr>
            <w:r>
              <w:rPr>
                <w:sz w:val="4"/>
                <w:szCs w:val="4"/>
              </w:rPr>
            </w:r>
          </w:p>
        </w:tc>
        <w:tc>
          <w:tcPr>
            <w:tcW w:w="9925" w:type="dxa"/>
            <w:tcBorders/>
            <w:vAlign w:val="center"/>
          </w:tcPr>
          <w:p>
            <w:pPr>
              <w:pStyle w:val="TableContents"/>
              <w:bidi w:val="0"/>
              <w:spacing w:before="0" w:after="283"/>
              <w:jc w:val="left"/>
              <w:rPr>
                <w:sz w:val="4"/>
                <w:szCs w:val="4"/>
              </w:rPr>
            </w:pPr>
            <w:r>
              <w:rPr>
                <w:sz w:val="4"/>
                <w:szCs w:val="4"/>
              </w:rPr>
            </w:r>
          </w:p>
        </w:tc>
      </w:tr>
      <w:tr>
        <w:trPr/>
        <w:tc>
          <w:tcPr>
            <w:tcW w:w="280"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(1)</w:t>
            </w:r>
          </w:p>
        </w:tc>
        <w:tc>
          <w:tcPr>
            <w:tcW w:w="992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As of September 22, 2026. Pursuant to that certain Asset Management Agreement, dated July 17, 2025, by and between the Company and GSR Strategies LLC (the selling stockholder), the Company issued the selling stockholder pre-funded warrants to purchase 1,322,349 shares of common stock. Of the aggregate number of shares of common stock owned by the selling stockholder, 1,461,988 shares are owned through GSR Growth Investments LP. Xin Song is a director of the ultimate parent company of the selling stockholder and chief executive officer of entities in the GSR group and may be deemed to be the beneficial owner of such shares. Mr. Song, however, disclaims any beneficial ownership of the shares held by the selling stockholder. The registered address of the selling stockholder is at c/o 251 Little Falls Drive, Wilmington, DE 19808.</w:t>
            </w:r>
          </w:p>
        </w:tc>
      </w:tr>
      <w:tr>
        <w:trPr/>
        <w:tc>
          <w:tcPr>
            <w:tcW w:w="280"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(2)</w:t>
            </w:r>
          </w:p>
        </w:tc>
        <w:tc>
          <w:tcPr>
            <w:tcW w:w="992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Includes the shares issuable upon the exercise of the warrants described in footnote 1.</w:t>
            </w:r>
          </w:p>
        </w:tc>
      </w:tr>
      <w:tr>
        <w:trPr/>
        <w:tc>
          <w:tcPr>
            <w:tcW w:w="280"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(3)</w:t>
            </w:r>
          </w:p>
        </w:tc>
        <w:tc>
          <w:tcPr>
            <w:tcW w:w="992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As of September 22, 2026. Pursuant to that certain Advisory Agreement, dated July 22, 2025, by and between the Company and Green Dragon Investments LLC (the selling stockholder), the Company issued the selling stockholder warrants to purchase 566,721 shares of common stock.</w:t>
            </w:r>
          </w:p>
        </w:tc>
      </w:tr>
      <w:tr>
        <w:trPr/>
        <w:tc>
          <w:tcPr>
            <w:tcW w:w="280"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(4)</w:t>
            </w:r>
          </w:p>
        </w:tc>
        <w:tc>
          <w:tcPr>
            <w:tcW w:w="992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Includes the shares issuable upon the exercise of the warrants described in footnote 3.</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1" w:name="plan_distribution"/>
      <w:bookmarkEnd w:id="21"/>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selling stockholder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ordinary brokerage transactions and transactions in which the broker-dealer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black trades in which the broker-dealer will attempt to sell the securities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by a broker-dealer as principal and resale by the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exchange distribution in accordance with the rules of the applicable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transactions through broker-dealers that agree with the selling stockholders to sell a specified number of such securities at a stipulated price per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combination of any such methods or sale;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method permitted pursuant to applicable law.</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selling stockholders may also sell securities under Rule 144 or any other exemption from registration under the Securities Act, if available, rather than under this prospectus.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 xml:space="preserve">We are obligated to maintain the effectiveness of this registration statement until all of the GSR Warrant Shares and Advisory Warrant Shares, registered pursuant to it (i) have been sold, thereunder or pursuant to Rule 144, or (ii) may be sold without volume or manner-of-sale restrictions pursuant to Rule 144 and without the requirement for the Company to be in compliance with the current public information requirement under Rule 144.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bookmarkStart w:id="22" w:name="tlm"/>
      <w:bookmarkEnd w:id="22"/>
      <w:r>
        <w:rPr>
          <w:rFonts w:ascii="Times New Roman" w:hAnsi="Times New Roman"/>
          <w:color w:val="000000"/>
          <w:sz w:val="20"/>
        </w:rPr>
        <w:t xml:space="preserve">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3" w:name="legal_matters"/>
      <w:bookmarkEnd w:id="23"/>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validity of the securities being offered hereby will be passed upon for us by Morgan, Lewis &amp; Bockius LLP, Philadelphia, Pennsylvania. </w:t>
      </w:r>
    </w:p>
    <w:p>
      <w:pPr>
        <w:pStyle w:val="TextBody"/>
        <w:bidi w:val="0"/>
        <w:jc w:val="left"/>
        <w:rPr/>
      </w:pPr>
      <w:r>
        <w:rPr/>
        <w:t> </w:t>
      </w:r>
    </w:p>
    <w:p>
      <w:pPr>
        <w:pStyle w:val="TextBody"/>
        <w:bidi w:val="0"/>
        <w:jc w:val="center"/>
        <w:rPr>
          <w:rFonts w:ascii="Times New Roman" w:hAnsi="Times New Roman"/>
          <w:sz w:val="20"/>
        </w:rPr>
      </w:pPr>
      <w:bookmarkStart w:id="24" w:name="experts"/>
      <w:bookmarkEnd w:id="24"/>
      <w:r>
        <w:rPr>
          <w:rFonts w:ascii="Times New Roman" w:hAnsi="Times New Roman"/>
          <w:b/>
          <w:color w:val="000000"/>
          <w:sz w:val="20"/>
        </w:rPr>
        <w:t>EXPERTS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as of and for the year ended June 30, 2026, of Lite Strategy, Inc. incorporated by reference in this Prospectus have been audited by CBIZ CPAs,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as of and for the year ended June 30, 2025, of Lite Strategy,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5" w:name="incorp_certain_docs_by_ref"/>
      <w:bookmarkEnd w:id="25"/>
      <w:r>
        <w:rPr>
          <w:rFonts w:ascii="Times New Roman" w:hAnsi="Times New Roman"/>
          <w:b/>
          <w:color w:val="000000"/>
          <w:sz w:val="20"/>
        </w:rPr>
        <w:t>INCORPORATION OF CERTAIN DOCUMENTS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 allows us to “incorporate by reference” the information we file with it, which means that we can disclose important information to you by referring you to those documents instead of having to repeat the information in this prospectus. The information incorporated by reference is considered to be part of this prospectus, and because we are a smaller reporting company, later information that we file with the SEC will automatically update and supersede this information. We incorporate by reference the documents listed below and any future filings (including those made after the initial filing of the registration statement of which this prospectus is a part and prior to the effectiveness of such registration statement) we will make with the SEC under Sections 13(a), 13(c), 14, or 15(d) of the Exchange Act until the termination of the offering of the shares covered by this prospectus.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w:t>
      </w:r>
      <w:hyperlink r:id="rId3">
        <w:r>
          <w:rPr>
            <w:rStyle w:val="InternetLink"/>
            <w:rFonts w:ascii="Times New Roman" w:hAnsi="Times New Roman"/>
            <w:color w:val="0000FF"/>
            <w:sz w:val="20"/>
            <w:u w:val="single"/>
          </w:rPr>
          <w:t>Annual Report on Form 10-K for the fiscal year ended June 30, 2026 filed with the SEC on September 28, 2026</w:t>
        </w:r>
      </w:hyperlink>
      <w:r>
        <w:rPr>
          <w:rFonts w:ascii="Times New Roman" w:hAnsi="Times New Roman"/>
          <w:color w:val="000000"/>
          <w:sz w:val="20"/>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description of our common stock contained in the Description of MEI Common Stock filed as </w:t>
      </w:r>
      <w:hyperlink r:id="rId4">
        <w:r>
          <w:rPr>
            <w:rStyle w:val="InternetLink"/>
            <w:rFonts w:ascii="Times New Roman" w:hAnsi="Times New Roman"/>
            <w:color w:val="0000FF"/>
            <w:sz w:val="20"/>
            <w:u w:val="single"/>
          </w:rPr>
          <w:t>Exhibit 4.4</w:t>
        </w:r>
      </w:hyperlink>
      <w:r>
        <w:rPr>
          <w:rFonts w:ascii="Times New Roman" w:hAnsi="Times New Roman"/>
          <w:color w:val="000000"/>
          <w:sz w:val="20"/>
        </w:rPr>
        <w:t xml:space="preserve"> to our </w:t>
      </w:r>
      <w:hyperlink r:id="rId5">
        <w:r>
          <w:rPr>
            <w:rStyle w:val="InternetLink"/>
            <w:rFonts w:ascii="Times New Roman" w:hAnsi="Times New Roman"/>
            <w:color w:val="0000FF"/>
            <w:sz w:val="20"/>
            <w:u w:val="single"/>
          </w:rPr>
          <w:t>Annual Report on Form 10-K for the fiscal year ended June 30, 2023</w:t>
        </w:r>
      </w:hyperlink>
      <w:r>
        <w:rPr>
          <w:rFonts w:ascii="Times New Roman" w:hAnsi="Times New Roman"/>
          <w:color w:val="000000"/>
          <w:sz w:val="20"/>
        </w:rPr>
        <w:t xml:space="preserve"> and any further Description of our MEI Common Stock filed thereafter for the purpose of updating such description.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smaller reporting company, we also are incorporating by reference any future information filed (rather than furnished) by us with the SEC under Section 13(a), 13(c), 14 or 15(d) of the Securities Exchange Act of 1934, as amended, after the date of the initial filing of the registration statement of which this prospectus is a part and before the effective date of the registration statement and after the date of this prospectus until the termination of the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available, free of charge, through our website at https://litestrategy.com/ under “Investor Relations”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Information contained on our website is not incorporated by reference into this prospectus and should not be considered part of this prospectus or any applicable prospectus supplement. In addition, the SEC maintains an Internet website that contains reports, proxy and information statements, and other information that we file with the SEC at www.sec.gov.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 </w:t>
      </w:r>
    </w:p>
    <w:p>
      <w:pPr>
        <w:pStyle w:val="TextBody"/>
        <w:bidi w:val="0"/>
        <w:jc w:val="center"/>
        <w:rPr>
          <w:rFonts w:ascii="Times New Roman" w:hAnsi="Times New Roman"/>
          <w:color w:val="000000"/>
          <w:sz w:val="20"/>
        </w:rPr>
      </w:pPr>
      <w:r>
        <w:rPr>
          <w:rFonts w:ascii="Times New Roman" w:hAnsi="Times New Roman"/>
          <w:color w:val="000000"/>
          <w:sz w:val="20"/>
        </w:rPr>
        <w:t>Lite Strategy, Inc.</w:t>
      </w:r>
    </w:p>
    <w:p>
      <w:pPr>
        <w:pStyle w:val="TextBody"/>
        <w:bidi w:val="0"/>
        <w:jc w:val="center"/>
        <w:rPr>
          <w:rFonts w:ascii="Times New Roman" w:hAnsi="Times New Roman"/>
          <w:color w:val="000000"/>
          <w:sz w:val="20"/>
        </w:rPr>
      </w:pPr>
      <w:r>
        <w:rPr>
          <w:rFonts w:ascii="Times New Roman" w:hAnsi="Times New Roman"/>
          <w:color w:val="000000"/>
          <w:sz w:val="20"/>
        </w:rPr>
        <w:t>9920 Pacific Heights Blvd., Suite 150</w:t>
      </w:r>
    </w:p>
    <w:p>
      <w:pPr>
        <w:pStyle w:val="TextBody"/>
        <w:bidi w:val="0"/>
        <w:jc w:val="center"/>
        <w:rPr>
          <w:rFonts w:ascii="Times New Roman" w:hAnsi="Times New Roman"/>
          <w:color w:val="000000"/>
          <w:sz w:val="20"/>
        </w:rPr>
      </w:pPr>
      <w:r>
        <w:rPr>
          <w:rFonts w:ascii="Times New Roman" w:hAnsi="Times New Roman"/>
          <w:color w:val="000000"/>
          <w:sz w:val="20"/>
        </w:rPr>
        <w:t>San Diego, California 92121</w:t>
      </w:r>
    </w:p>
    <w:p>
      <w:pPr>
        <w:pStyle w:val="TextBody"/>
        <w:bidi w:val="0"/>
        <w:jc w:val="center"/>
        <w:rPr>
          <w:rFonts w:ascii="Times New Roman" w:hAnsi="Times New Roman"/>
          <w:color w:val="000000"/>
          <w:sz w:val="20"/>
        </w:rPr>
      </w:pPr>
      <w:r>
        <w:rPr>
          <w:rFonts w:ascii="Times New Roman" w:hAnsi="Times New Roman"/>
          <w:color w:val="000000"/>
          <w:sz w:val="20"/>
        </w:rPr>
        <w:t>Tel: (858) 369-7100</w:t>
      </w:r>
    </w:p>
    <w:p>
      <w:pPr>
        <w:pStyle w:val="TextBody"/>
        <w:bidi w:val="0"/>
        <w:jc w:val="center"/>
        <w:rPr>
          <w:rFonts w:ascii="Times New Roman" w:hAnsi="Times New Roman"/>
          <w:color w:val="000000"/>
          <w:sz w:val="20"/>
        </w:rPr>
      </w:pPr>
      <w:r>
        <w:rPr>
          <w:rFonts w:ascii="Times New Roman" w:hAnsi="Times New Roman"/>
          <w:color w:val="000000"/>
          <w:sz w:val="20"/>
        </w:rPr>
        <w:t xml:space="preserve">Attn: Investor Relations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rely only on the information incorporated by reference or provided in this prospectus or any prospectus supplement. We have not authorized anyone to provide you with different information. Neither we nor the selling stockholders are making an offer of the Common Stock in any state where the offer is not permitted. You should not assume that the information in this prospectus or in the documents incorporated by reference is accurate as of any date other than the date on the front of this prospectus or those documents.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6" w:name="where_to_find_info"/>
      <w:bookmarkEnd w:id="26"/>
      <w:r>
        <w:rPr>
          <w:rFonts w:ascii="Times New Roman" w:hAnsi="Times New Roman"/>
          <w:b/>
          <w:color w:val="000000"/>
          <w:sz w:val="20"/>
        </w:rPr>
        <w:t>WHERE YOU CAN FIND ADDITIONAL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information requirements of the Exchange Act, and in accordance with the Exchange Act, file annual, quarterly and special reports, proxy statements and other information with the SEC. These documents may be accessed through the SEC’s electronic data gathering, analysis and retrieval system, or EDGAR, via electronic means, including the SEC’s home page on the Internet (www.sec.gov). Our corporate website address is https://litestrategy.com/. Information contained on or accessible through our website is not a part of this prospectus, and the inclusion of our website address in this prospectus is an inactive textual reference only. </w:t>
      </w:r>
    </w:p>
    <w:p>
      <w:pPr>
        <w:pStyle w:val="TextBody"/>
        <w:bidi w:val="0"/>
        <w:spacing w:before="120" w:after="283"/>
        <w:jc w:val="left"/>
        <w:rPr>
          <w:rFonts w:ascii="Times New Roman" w:hAnsi="Times New Roman"/>
          <w:color w:val="000000"/>
          <w:sz w:val="20"/>
        </w:rPr>
      </w:pPr>
      <w:bookmarkStart w:id="27" w:name="ny20053247x2_s3a_300_bcv_pg1"/>
      <w:bookmarkEnd w:id="27"/>
      <w:r>
        <w:rPr>
          <w:rFonts w:ascii="Times New Roman" w:hAnsi="Times New Roman"/>
          <w:color w:val="000000"/>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1,889,070 Shares of Common Stock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Offered by the selling stockholders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3324225"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3324225" cy="990600"/>
                    </a:xfrm>
                    <a:prstGeom prst="rect">
                      <a:avLst/>
                    </a:prstGeom>
                  </pic:spPr>
                </pic:pic>
              </a:graphicData>
            </a:graphic>
          </wp:inline>
        </w:drawing>
      </w:r>
    </w:p>
    <w:p>
      <w:pPr>
        <w:pStyle w:val="TextBody"/>
        <w:bidi w:val="0"/>
        <w:jc w:val="left"/>
        <w:rPr>
          <w:color w:val="000000"/>
        </w:rPr>
      </w:pPr>
      <w:r>
        <w:rPr>
          <w:color w:val="000000"/>
        </w:rPr>
        <w:t> </w:t>
      </w:r>
    </w:p>
    <w:p>
      <w:pPr>
        <w:pStyle w:val="TextBody"/>
        <w:bidi w:val="0"/>
        <w:jc w:val="center"/>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jc w:val="center"/>
        <w:rPr>
          <w:color w:val="000000"/>
        </w:rPr>
      </w:pPr>
      <w:r>
        <w:rPr>
          <w:color w:val="000000"/>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September 28, 2026</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 </w:t>
      </w:r>
    </w:p>
    <w:p>
      <w:pPr>
        <w:pStyle w:val="TextBody"/>
        <w:pBdr/>
        <w:bidi w:val="0"/>
        <w:jc w:val="left"/>
        <w:rPr/>
      </w:pPr>
      <w:r>
        <w:rPr/>
        <w:t> </w:t>
      </w:r>
    </w:p>
    <w:p>
      <w:pPr>
        <w:pStyle w:val="TextBody"/>
        <w:bidi w:val="0"/>
        <w:spacing w:before="60" w:after="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INFORMATION NOT REQUIRED IN PROSPECTUS</w:t>
      </w:r>
      <w:r>
        <w:rPr>
          <w:rFonts w:ascii="Times New Roman" w:hAnsi="Times New Roman"/>
          <w:color w:val="000000"/>
          <w:sz w:val="20"/>
        </w:rPr>
        <w:t xml:space="preserve"> </w:t>
      </w:r>
    </w:p>
    <w:tbl>
      <w:tblPr>
        <w:tblW w:w="4772" w:type="dxa"/>
        <w:jc w:val="left"/>
        <w:tblInd w:w="0" w:type="dxa"/>
        <w:tblLayout w:type="fixed"/>
        <w:tblCellMar>
          <w:top w:w="28" w:type="dxa"/>
          <w:left w:w="28" w:type="dxa"/>
          <w:bottom w:w="28" w:type="dxa"/>
          <w:right w:w="28" w:type="dxa"/>
        </w:tblCellMar>
      </w:tblPr>
      <w:tblGrid>
        <w:gridCol w:w="811"/>
        <w:gridCol w:w="3961"/>
      </w:tblGrid>
      <w:tr>
        <w:trPr/>
        <w:tc>
          <w:tcPr>
            <w:tcW w:w="811"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14.</w:t>
            </w:r>
          </w:p>
        </w:tc>
        <w:tc>
          <w:tcPr>
            <w:tcW w:w="3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Other Expenses of Issuance and Distribution.</w:t>
            </w:r>
            <w:r>
              <w:rPr>
                <w:rFonts w:ascii="Times New Roman" w:hAnsi="Times New Roman"/>
                <w:color w:val="000000"/>
                <w:sz w:val="20"/>
              </w:rPr>
              <w:t xml:space="preserve">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the various expenses to be incurred in connection with the sale and distribution of the securities being registered hereby, all of which will be borne by Lite Strategy, Inc. (other than commissions and discounts and similar selling expenses). All amounts shown are estimates except the SEC registration fee: </w:t>
      </w:r>
    </w:p>
    <w:tbl>
      <w:tblPr>
        <w:tblW w:w="2979" w:type="dxa"/>
        <w:jc w:val="left"/>
        <w:tblInd w:w="0" w:type="dxa"/>
        <w:tblLayout w:type="fixed"/>
        <w:tblCellMar>
          <w:top w:w="28" w:type="dxa"/>
          <w:left w:w="28" w:type="dxa"/>
          <w:bottom w:w="28" w:type="dxa"/>
          <w:right w:w="28" w:type="dxa"/>
        </w:tblCellMar>
      </w:tblPr>
      <w:tblGrid>
        <w:gridCol w:w="1861"/>
        <w:gridCol w:w="146"/>
        <w:gridCol w:w="146"/>
        <w:gridCol w:w="82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8" w:space="0" w:color="000000"/>
            </w:tcBorders>
            <w:tcMar>
              <w:top w:w="0" w:type="dxa"/>
              <w:left w:w="0" w:type="dxa"/>
              <w:bottom w:w="48"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Item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bottom w:w="48"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r>
            <w:r>
              <w:rPr>
                <w:rFonts w:ascii="Times New Roman" w:hAnsi="Times New Roman"/>
                <w:color w:val="000000"/>
                <w:sz w:val="16"/>
              </w:rPr>
              <w:t xml:space="preserve"> </w:t>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$333.93</w:t>
            </w:r>
          </w:p>
        </w:tc>
      </w:tr>
    </w:tbl>
    <w:p>
      <w:pPr>
        <w:pStyle w:val="TextBody"/>
        <w:bidi w:val="0"/>
        <w:jc w:val="left"/>
        <w:rPr/>
      </w:pPr>
      <w:r>
        <w:rPr/>
        <w:t> </w:t>
      </w:r>
    </w:p>
    <w:tbl>
      <w:tblPr>
        <w:tblW w:w="3879" w:type="dxa"/>
        <w:jc w:val="left"/>
        <w:tblInd w:w="0" w:type="dxa"/>
        <w:tblLayout w:type="fixed"/>
        <w:tblCellMar>
          <w:top w:w="28" w:type="dxa"/>
          <w:left w:w="28" w:type="dxa"/>
          <w:bottom w:w="28" w:type="dxa"/>
          <w:right w:w="28" w:type="dxa"/>
        </w:tblCellMar>
      </w:tblPr>
      <w:tblGrid>
        <w:gridCol w:w="2866"/>
        <w:gridCol w:w="146"/>
        <w:gridCol w:w="146"/>
        <w:gridCol w:w="72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
              </w:rPr>
            </w:pPr>
            <w:r>
              <w:rPr>
                <w:rFonts w:ascii="Times New Roman" w:hAnsi="Times New Roman"/>
                <w:color w:val="000000"/>
                <w:sz w:val="2"/>
              </w:rPr>
              <w:t>30</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Fees and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r>
    </w:tbl>
    <w:p>
      <w:pPr>
        <w:pStyle w:val="TextBody"/>
        <w:bidi w:val="0"/>
        <w:jc w:val="left"/>
        <w:rPr/>
      </w:pPr>
      <w:r>
        <w:rPr/>
        <w:t> </w:t>
      </w:r>
    </w:p>
    <w:tbl>
      <w:tblPr>
        <w:tblW w:w="1929" w:type="dxa"/>
        <w:jc w:val="left"/>
        <w:tblInd w:w="0" w:type="dxa"/>
        <w:tblLayout w:type="fixed"/>
        <w:tblCellMar>
          <w:top w:w="28" w:type="dxa"/>
          <w:left w:w="28" w:type="dxa"/>
          <w:bottom w:w="28" w:type="dxa"/>
          <w:right w:w="28" w:type="dxa"/>
        </w:tblCellMar>
      </w:tblPr>
      <w:tblGrid>
        <w:gridCol w:w="556"/>
        <w:gridCol w:w="146"/>
        <w:gridCol w:w="146"/>
        <w:gridCol w:w="108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CCEEFF" w:val="clear"/>
            <w:tcMar>
              <w:top w:w="45"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$54,333.93</w:t>
            </w:r>
          </w:p>
        </w:tc>
      </w:tr>
    </w:tbl>
    <w:p>
      <w:pPr>
        <w:pStyle w:val="TextBody"/>
        <w:bidi w:val="0"/>
        <w:jc w:val="left"/>
        <w:rPr/>
      </w:pPr>
      <w:r>
        <w:rPr/>
        <w:t> </w:t>
      </w:r>
    </w:p>
    <w:tbl>
      <w:tblPr>
        <w:tblW w:w="4532" w:type="dxa"/>
        <w:jc w:val="left"/>
        <w:tblInd w:w="0" w:type="dxa"/>
        <w:tblLayout w:type="fixed"/>
        <w:tblCellMar>
          <w:top w:w="28" w:type="dxa"/>
          <w:left w:w="28" w:type="dxa"/>
          <w:bottom w:w="28" w:type="dxa"/>
          <w:right w:w="28" w:type="dxa"/>
        </w:tblCellMar>
      </w:tblPr>
      <w:tblGrid>
        <w:gridCol w:w="811"/>
        <w:gridCol w:w="3721"/>
      </w:tblGrid>
      <w:tr>
        <w:trPr/>
        <w:tc>
          <w:tcPr>
            <w:tcW w:w="81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15.</w:t>
            </w:r>
          </w:p>
        </w:tc>
        <w:tc>
          <w:tcPr>
            <w:tcW w:w="37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Indemnification of Directors and Officers.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authorizes a corporation’s board of directors to grant, and authorizes a court to award, indemnity to officers, directors, and other corporate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permitted by Delaware law, our certificate of incorporation provides that, to the fullest extent permitted by Delaware law, no director will be personally liable to us or our stockholders for monetary damages for breach of fiduciary duty as a director. Pursuant to Delaware law such protection would not be available for liability: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breach of the director’s duty of loyalty to us or our stockholders; </w:t>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act or omission not in good faith or that involves intentional misconduct or a knowing violation of law; </w:t>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 act or omission for which the liability of a director is expressly provided by an applicable statute, including unlawful payments of dividends or unlawful stock repurchases or redemptions as provided in Section 174 of the DGCL; or </w:t>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transaction from which the director derived an improper personal benefit.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we must indemnify our directors and officers to the fullest extent permitted by Delaware law. Our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bylaws also provide that we are required to advance expenses to our directors and officers as incurred in connection with legal proceedings against them for which they may be indemnified and that the rights conferred in the bylaws are not exclusive.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indemnification agreements with each of our directors and executive officers. </w:t>
      </w:r>
    </w:p>
    <w:p>
      <w:pPr>
        <w:pStyle w:val="TextBody"/>
        <w:bidi w:val="0"/>
        <w:spacing w:before="120" w:after="100"/>
        <w:jc w:val="left"/>
        <w:rPr>
          <w:rFonts w:ascii="Times New Roman" w:hAnsi="Times New Roman"/>
          <w:color w:val="000000"/>
          <w:sz w:val="20"/>
        </w:rPr>
      </w:pPr>
      <w:bookmarkStart w:id="28" w:name="ny20053247x2_s3a_400_part2_pg2"/>
      <w:bookmarkEnd w:id="28"/>
      <w:r>
        <w:rPr>
          <w:rFonts w:ascii="Times New Roman" w:hAnsi="Times New Roman"/>
          <w:color w:val="000000"/>
          <w:sz w:val="20"/>
        </w:rPr>
        <w:t xml:space="preserve">These agreements, among other things, require us to indemnify each director and officer to the fullest extent permitted by Delaware law, the certificate of incorporation and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also have directors’ and officers’ liability insurance.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SEC has taken the position that personal liability of directors for violation of the federal securities laws cannot be limited and that indemnification by us for any such violation is unenforceable.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146"/>
        <w:gridCol w:w="146"/>
        <w:gridCol w:w="9160"/>
      </w:tblGrid>
      <w:tr>
        <w:trPr/>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0" w:type="dxa"/>
            <w:tcBorders/>
            <w:vAlign w:val="center"/>
          </w:tcPr>
          <w:p>
            <w:pPr>
              <w:pStyle w:val="TableContents"/>
              <w:bidi w:val="0"/>
              <w:spacing w:before="0" w:after="283"/>
              <w:jc w:val="left"/>
              <w:rPr>
                <w:sz w:val="4"/>
                <w:szCs w:val="4"/>
              </w:rPr>
            </w:pPr>
            <w:r>
              <w:rPr>
                <w:sz w:val="4"/>
                <w:szCs w:val="4"/>
              </w:rPr>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Exhibits.</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bottom w:val="single" w:sz="8" w:space="0" w:color="000000"/>
            </w:tcBorders>
            <w:tcMar>
              <w:top w:w="0" w:type="dxa"/>
              <w:left w:w="0" w:type="dxa"/>
              <w:bottom w:w="48"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bottom w:val="single" w:sz="8" w:space="0" w:color="000000"/>
            </w:tcBorders>
            <w:tcMar>
              <w:top w:w="0" w:type="dxa"/>
              <w:left w:w="0" w:type="dxa"/>
              <w:bottom w:w="48"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7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shd w:fill="CCEE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Certificate of Incorporation of Lite Strategy, Inc. (incorporated by reference to Exhibit 3.1 to the Company’s Annual Report on Form 10-K, as filed on September 26, 2025)</w:t>
              </w:r>
            </w:hyperlink>
            <w:hyperlink r:id="rId8">
              <w:r>
                <w:rPr>
                  <w:rStyle w:val="InternetLink"/>
                  <w:rFonts w:ascii="Times New Roman" w:hAnsi="Times New Roman"/>
                  <w:color w:val="0000FF"/>
                  <w:sz w:val="20"/>
                </w:rPr>
                <w:t xml:space="preserve"> </w:t>
              </w:r>
            </w:hyperlink>
          </w:p>
        </w:tc>
      </w:tr>
      <w:tr>
        <w:trPr/>
        <w:tc>
          <w:tcPr>
            <w:tcW w:w="7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Sixth Amended and Restated Bylaws of MEI Pharma, Inc. adopted as of December 18, 2023 (incorporated by reference to Exhibit 3.1 to the Company’s Current Report on Form 8-K, as filed on December 22, 2023)</w:t>
              </w:r>
            </w:hyperlink>
            <w:hyperlink r:id="rId10">
              <w:r>
                <w:rPr>
                  <w:rStyle w:val="InternetLink"/>
                  <w:rFonts w:ascii="Times New Roman" w:hAnsi="Times New Roman"/>
                  <w:color w:val="0000FF"/>
                  <w:sz w:val="20"/>
                </w:rPr>
                <w:t xml:space="preserve"> </w:t>
              </w:r>
            </w:hyperlink>
          </w:p>
        </w:tc>
      </w:tr>
      <w:tr>
        <w:trPr/>
        <w:tc>
          <w:tcPr>
            <w:tcW w:w="7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shd w:fill="CCEE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GSR Pre-Funded Warrant (incorporated by reference to Exhibit 4.3 to the Company’s Current Report on Form 8-K, as filed on July 22, 2025)</w:t>
              </w:r>
            </w:hyperlink>
            <w:hyperlink r:id="rId12">
              <w:r>
                <w:rPr>
                  <w:rStyle w:val="InternetLink"/>
                  <w:rFonts w:ascii="Times New Roman" w:hAnsi="Times New Roman"/>
                  <w:color w:val="0000FF"/>
                  <w:sz w:val="20"/>
                </w:rPr>
                <w:t xml:space="preserve"> </w:t>
              </w:r>
            </w:hyperlink>
          </w:p>
        </w:tc>
      </w:tr>
      <w:tr>
        <w:trPr/>
        <w:tc>
          <w:tcPr>
            <w:tcW w:w="7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Advisory Warrant (incorporated by reference to Exhibit 4.5 to the Company’s Current Report on Form 8-K, as filed on July 22, 2025)</w:t>
              </w:r>
            </w:hyperlink>
            <w:hyperlink r:id="rId14">
              <w:r>
                <w:rPr>
                  <w:rStyle w:val="InternetLink"/>
                  <w:rFonts w:ascii="Times New Roman" w:hAnsi="Times New Roman"/>
                  <w:color w:val="0000FF"/>
                  <w:sz w:val="20"/>
                </w:rPr>
                <w:t xml:space="preserve"> </w:t>
              </w:r>
            </w:hyperlink>
          </w:p>
        </w:tc>
      </w:tr>
      <w:tr>
        <w:trPr/>
        <w:tc>
          <w:tcPr>
            <w:tcW w:w="7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its-ex5_1.htm">
              <w:r>
                <w:rPr>
                  <w:rStyle w:val="InternetLink"/>
                  <w:rFonts w:ascii="Times New Roman" w:hAnsi="Times New Roman"/>
                  <w:color w:val="0000FF"/>
                  <w:sz w:val="20"/>
                  <w:u w:val="single"/>
                </w:rPr>
                <w:t>Opinion of Morgan, Lewis &amp; Bockius LLP</w:t>
              </w:r>
            </w:hyperlink>
            <w:hyperlink w:anchor="lits-ex5_1.htm">
              <w:r>
                <w:rPr>
                  <w:rStyle w:val="InternetLink"/>
                  <w:rFonts w:ascii="Times New Roman" w:hAnsi="Times New Roman"/>
                  <w:color w:val="0000FF"/>
                  <w:sz w:val="20"/>
                </w:rPr>
                <w:t xml:space="preserve"> </w:t>
              </w:r>
            </w:hyperlink>
          </w:p>
        </w:tc>
      </w:tr>
      <w:tr>
        <w:trPr/>
        <w:tc>
          <w:tcPr>
            <w:tcW w:w="7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Asset Management Agreement, dated July 22, 2025, by and between MEI Pharma, Inc. and GSR Strategies LLC (incorporated by reference to Exhibit 10.4 to the Company’s Current Report on Form 8-K, as filed on July 22, 2025)</w:t>
              </w:r>
            </w:hyperlink>
            <w:hyperlink r:id="rId16">
              <w:r>
                <w:rPr>
                  <w:rStyle w:val="InternetLink"/>
                  <w:rFonts w:ascii="Times New Roman" w:hAnsi="Times New Roman"/>
                  <w:color w:val="0000FF"/>
                  <w:sz w:val="20"/>
                </w:rPr>
                <w:t xml:space="preserve"> </w:t>
              </w:r>
            </w:hyperlink>
          </w:p>
        </w:tc>
      </w:tr>
      <w:tr>
        <w:trPr/>
        <w:tc>
          <w:tcPr>
            <w:tcW w:w="7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shd w:fill="CCEE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Advisory Agreement, dated July 22, 2025, by and between MEI Pharma, Inc. and Green Dragon Investments LLC (incorporated by reference to Exhibit 10.6 to the Company’s Current Report on Form 8-K, as filed on July 22, 2025)</w:t>
              </w:r>
            </w:hyperlink>
            <w:hyperlink r:id="rId18">
              <w:r>
                <w:rPr>
                  <w:rStyle w:val="InternetLink"/>
                  <w:rFonts w:ascii="Times New Roman" w:hAnsi="Times New Roman"/>
                  <w:color w:val="0000FF"/>
                  <w:sz w:val="20"/>
                </w:rPr>
                <w:t xml:space="preserve"> </w:t>
              </w:r>
            </w:hyperlink>
          </w:p>
        </w:tc>
      </w:tr>
      <w:tr>
        <w:trPr/>
        <w:tc>
          <w:tcPr>
            <w:tcW w:w="7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hyperlink w:anchor="lits-ex23_1.htm">
              <w:r>
                <w:rPr>
                  <w:rStyle w:val="InternetLink"/>
                  <w:rFonts w:ascii="Times New Roman" w:hAnsi="Times New Roman"/>
                  <w:color w:val="0000FF"/>
                  <w:sz w:val="20"/>
                  <w:u w:val="single"/>
                </w:rPr>
                <w:t>Consent of CBIZ CPAs PC, Independent Registered Public Accounting Firm</w:t>
              </w:r>
            </w:hyperlink>
          </w:p>
        </w:tc>
      </w:tr>
      <w:tr>
        <w:trPr/>
        <w:tc>
          <w:tcPr>
            <w:tcW w:w="7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hyperlink w:anchor="lits-ex23_2.htm">
              <w:r>
                <w:rPr>
                  <w:rStyle w:val="InternetLink"/>
                  <w:rFonts w:ascii="Times New Roman" w:hAnsi="Times New Roman"/>
                  <w:color w:val="0000FF"/>
                  <w:sz w:val="20"/>
                  <w:u w:val="single"/>
                </w:rPr>
                <w:t>Consent of Deloitte &amp; Touche LLP, Independent Registered Public Accounting Firm</w:t>
              </w:r>
            </w:hyperlink>
            <w:hyperlink w:anchor="lits-ex23_2.htm">
              <w:r>
                <w:rPr>
                  <w:rStyle w:val="InternetLink"/>
                  <w:rFonts w:ascii="Times New Roman" w:hAnsi="Times New Roman"/>
                  <w:color w:val="0000FF"/>
                  <w:sz w:val="20"/>
                </w:rPr>
                <w:t xml:space="preserve"> </w:t>
              </w:r>
            </w:hyperlink>
          </w:p>
        </w:tc>
      </w:tr>
      <w:tr>
        <w:trPr/>
        <w:tc>
          <w:tcPr>
            <w:tcW w:w="7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its-ex5_1.htm">
              <w:r>
                <w:rPr>
                  <w:rStyle w:val="InternetLink"/>
                  <w:rFonts w:ascii="Times New Roman" w:hAnsi="Times New Roman"/>
                  <w:color w:val="0000FF"/>
                  <w:sz w:val="20"/>
                  <w:u w:val="single"/>
                </w:rPr>
                <w:t>Consent of Morgan, Lewis &amp; Bockius LLP (included in Exhibit 5.1)</w:t>
              </w:r>
            </w:hyperlink>
            <w:r>
              <w:rPr>
                <w:rFonts w:ascii="Times New Roman" w:hAnsi="Times New Roman"/>
                <w:color w:val="000000"/>
                <w:sz w:val="20"/>
              </w:rPr>
              <w:t xml:space="preserve"> </w:t>
            </w:r>
          </w:p>
        </w:tc>
      </w:tr>
      <w:tr>
        <w:trPr/>
        <w:tc>
          <w:tcPr>
            <w:tcW w:w="7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20"/>
                  <w:u w:val="single"/>
                </w:rPr>
                <w:t>Power of Attorney (included on the signature page)</w:t>
              </w:r>
            </w:hyperlink>
            <w:hyperlink w:anchor="poa">
              <w:r>
                <w:rPr>
                  <w:rStyle w:val="InternetLink"/>
                  <w:rFonts w:ascii="Times New Roman" w:hAnsi="Times New Roman"/>
                  <w:color w:val="0000FF"/>
                  <w:sz w:val="20"/>
                </w:rPr>
                <w:t xml:space="preserve"> </w:t>
              </w:r>
            </w:hyperlink>
          </w:p>
        </w:tc>
      </w:tr>
      <w:tr>
        <w:trPr/>
        <w:tc>
          <w:tcPr>
            <w:tcW w:w="7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its_exfilingfees.htm">
              <w:r>
                <w:rPr>
                  <w:rStyle w:val="InternetLink"/>
                  <w:rFonts w:ascii="Times New Roman" w:hAnsi="Times New Roman"/>
                  <w:color w:val="0000FF"/>
                  <w:sz w:val="20"/>
                  <w:u w:val="single"/>
                </w:rPr>
                <w:t>Filing Fee Table</w:t>
              </w:r>
            </w:hyperlink>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97" w:type="dxa"/>
        <w:jc w:val="left"/>
        <w:tblInd w:w="0" w:type="dxa"/>
        <w:tblLayout w:type="fixed"/>
        <w:tblCellMar>
          <w:top w:w="28" w:type="dxa"/>
          <w:left w:w="28" w:type="dxa"/>
          <w:bottom w:w="28" w:type="dxa"/>
          <w:right w:w="28" w:type="dxa"/>
        </w:tblCellMar>
      </w:tblPr>
      <w:tblGrid>
        <w:gridCol w:w="211"/>
        <w:gridCol w:w="1186"/>
      </w:tblGrid>
      <w:tr>
        <w:trPr/>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w:t>
            </w:r>
          </w:p>
        </w:tc>
        <w:tc>
          <w:tcPr>
            <w:tcW w:w="11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6"/>
              </w:rPr>
            </w:pPr>
            <w:r>
              <w:rPr>
                <w:rFonts w:ascii="Times New Roman" w:hAnsi="Times New Roman"/>
                <w:color w:val="000000"/>
                <w:sz w:val="16"/>
              </w:rPr>
              <w:t xml:space="preserve">Filed herewith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1"/>
        <w:gridCol w:w="1343"/>
        <w:gridCol w:w="8291"/>
      </w:tblGrid>
      <w:tr>
        <w:trPr/>
        <w:tc>
          <w:tcPr>
            <w:tcW w:w="57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8291" w:type="dxa"/>
            <w:tcBorders/>
            <w:vAlign w:val="center"/>
          </w:tcPr>
          <w:p>
            <w:pPr>
              <w:pStyle w:val="TableContents"/>
              <w:bidi w:val="0"/>
              <w:spacing w:before="0" w:after="283"/>
              <w:jc w:val="left"/>
              <w:rPr>
                <w:sz w:val="4"/>
                <w:szCs w:val="4"/>
              </w:rPr>
            </w:pPr>
            <w:r>
              <w:rPr>
                <w:sz w:val="4"/>
                <w:szCs w:val="4"/>
              </w:rPr>
            </w:r>
          </w:p>
        </w:tc>
      </w:tr>
      <w:tr>
        <w:trPr/>
        <w:tc>
          <w:tcPr>
            <w:tcW w:w="1914" w:type="dxa"/>
            <w:gridSpan w:val="2"/>
            <w:tcBorders/>
            <w:tcMar>
              <w:top w:w="0" w:type="dxa"/>
              <w:left w:w="0" w:type="dxa"/>
              <w:bottom w:w="0" w:type="dxa"/>
              <w:right w:w="0" w:type="dxa"/>
            </w:tcMar>
            <w:vAlign w:val="center"/>
          </w:tcPr>
          <w:p>
            <w:pPr>
              <w:pStyle w:val="TableContents"/>
              <w:bidi w:val="0"/>
              <w:spacing w:before="135" w:after="283"/>
              <w:jc w:val="left"/>
              <w:rPr>
                <w:rFonts w:ascii="Times New Roman" w:hAnsi="Times New Roman"/>
                <w:b/>
                <w:color w:val="000000"/>
                <w:sz w:val="20"/>
              </w:rPr>
            </w:pPr>
            <w:r>
              <w:rPr>
                <w:rFonts w:ascii="Times New Roman" w:hAnsi="Times New Roman"/>
                <w:b/>
                <w:color w:val="000000"/>
                <w:sz w:val="20"/>
              </w:rPr>
              <w:t>Item 17.</w:t>
            </w:r>
          </w:p>
        </w:tc>
        <w:tc>
          <w:tcPr>
            <w:tcW w:w="8291" w:type="dxa"/>
            <w:tcBorders/>
            <w:tcMar>
              <w:top w:w="0" w:type="dxa"/>
              <w:left w:w="0" w:type="dxa"/>
              <w:bottom w:w="0" w:type="dxa"/>
              <w:right w:w="0" w:type="dxa"/>
            </w:tcMar>
            <w:vAlign w:val="center"/>
          </w:tcPr>
          <w:p>
            <w:pPr>
              <w:pStyle w:val="TableContents"/>
              <w:bidi w:val="0"/>
              <w:spacing w:before="135" w:after="283"/>
              <w:jc w:val="left"/>
              <w:rPr>
                <w:rFonts w:ascii="Times New Roman" w:hAnsi="Times New Roman"/>
                <w:sz w:val="20"/>
              </w:rPr>
            </w:pPr>
            <w:r>
              <w:rPr>
                <w:rFonts w:ascii="Times New Roman" w:hAnsi="Times New Roman"/>
                <w:b/>
                <w:color w:val="000000"/>
                <w:sz w:val="20"/>
              </w:rPr>
              <w:t>Undertakings.</w:t>
            </w:r>
            <w:r>
              <w:rPr>
                <w:rFonts w:ascii="Times New Roman" w:hAnsi="Times New Roman"/>
                <w:color w:val="000000"/>
                <w:sz w:val="20"/>
              </w:rPr>
              <w:t xml:space="preserve"> </w:t>
            </w:r>
          </w:p>
        </w:tc>
      </w:tr>
      <w:tr>
        <w:trPr/>
        <w:tc>
          <w:tcPr>
            <w:tcW w:w="5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w:t>
            </w:r>
          </w:p>
        </w:tc>
        <w:tc>
          <w:tcPr>
            <w:tcW w:w="9634" w:type="dxa"/>
            <w:gridSpan w:val="2"/>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The undersigned registrant hereby undertakes: </w:t>
            </w:r>
          </w:p>
        </w:tc>
      </w:tr>
      <w:tr>
        <w:trPr/>
        <w:tc>
          <w:tcPr>
            <w:tcW w:w="5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9634" w:type="dxa"/>
            <w:gridSpan w:val="2"/>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To file, during any period in which offers or sales are being made, a post-effective amendment to this registration statement: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
        <w:gridCol w:w="9837"/>
      </w:tblGrid>
      <w:tr>
        <w:trPr/>
        <w:tc>
          <w:tcPr>
            <w:tcW w:w="368" w:type="dxa"/>
            <w:tcBorders/>
            <w:vAlign w:val="center"/>
          </w:tcPr>
          <w:p>
            <w:pPr>
              <w:pStyle w:val="TableContents"/>
              <w:bidi w:val="0"/>
              <w:spacing w:before="0" w:after="283"/>
              <w:jc w:val="left"/>
              <w:rPr>
                <w:sz w:val="4"/>
                <w:szCs w:val="4"/>
              </w:rPr>
            </w:pPr>
            <w:r>
              <w:rPr>
                <w:sz w:val="4"/>
                <w:szCs w:val="4"/>
              </w:rPr>
            </w:r>
          </w:p>
        </w:tc>
        <w:tc>
          <w:tcPr>
            <w:tcW w:w="9837" w:type="dxa"/>
            <w:tcBorders/>
            <w:vAlign w:val="center"/>
          </w:tcPr>
          <w:p>
            <w:pPr>
              <w:pStyle w:val="TableContents"/>
              <w:bidi w:val="0"/>
              <w:spacing w:before="0" w:after="283"/>
              <w:jc w:val="left"/>
              <w:rPr>
                <w:sz w:val="4"/>
                <w:szCs w:val="4"/>
              </w:rPr>
            </w:pPr>
            <w:r>
              <w:rPr>
                <w:sz w:val="4"/>
                <w:szCs w:val="4"/>
              </w:rPr>
            </w:r>
          </w:p>
        </w:tc>
      </w:tr>
      <w:tr>
        <w:trPr/>
        <w:tc>
          <w:tcPr>
            <w:tcW w:w="36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w:t>
            </w:r>
          </w:p>
        </w:tc>
        <w:tc>
          <w:tcPr>
            <w:tcW w:w="983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To include any prospectus required by Section 10(a)(3) of the Securities Act of 1933; </w:t>
            </w:r>
          </w:p>
        </w:tc>
      </w:tr>
      <w:tr>
        <w:trPr/>
        <w:tc>
          <w:tcPr>
            <w:tcW w:w="36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(ii)</w:t>
            </w:r>
          </w:p>
        </w:tc>
        <w:tc>
          <w:tcPr>
            <w:tcW w:w="983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w:t>
            </w:r>
          </w:p>
        </w:tc>
      </w:tr>
      <w:tr>
        <w:trPr/>
        <w:tc>
          <w:tcPr>
            <w:tcW w:w="36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(iii)</w:t>
            </w:r>
          </w:p>
        </w:tc>
        <w:tc>
          <w:tcPr>
            <w:tcW w:w="983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provided, however, that the undertakings set forth in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30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w:t>
            </w:r>
          </w:p>
        </w:tc>
        <w:tc>
          <w:tcPr>
            <w:tcW w:w="989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
        <w:gridCol w:w="9876"/>
      </w:tblGrid>
      <w:tr>
        <w:trPr/>
        <w:tc>
          <w:tcPr>
            <w:tcW w:w="329" w:type="dxa"/>
            <w:tcBorders/>
            <w:vAlign w:val="center"/>
          </w:tcPr>
          <w:p>
            <w:pPr>
              <w:pStyle w:val="TableContents"/>
              <w:bidi w:val="0"/>
              <w:spacing w:before="0" w:after="283"/>
              <w:jc w:val="left"/>
              <w:rPr>
                <w:sz w:val="4"/>
                <w:szCs w:val="4"/>
              </w:rPr>
            </w:pPr>
            <w:r>
              <w:rPr>
                <w:sz w:val="4"/>
                <w:szCs w:val="4"/>
              </w:rPr>
            </w:r>
          </w:p>
        </w:tc>
        <w:tc>
          <w:tcPr>
            <w:tcW w:w="9876" w:type="dxa"/>
            <w:tcBorders/>
            <w:vAlign w:val="center"/>
          </w:tcPr>
          <w:p>
            <w:pPr>
              <w:pStyle w:val="TableContents"/>
              <w:bidi w:val="0"/>
              <w:spacing w:before="0" w:after="283"/>
              <w:jc w:val="left"/>
              <w:rPr>
                <w:sz w:val="4"/>
                <w:szCs w:val="4"/>
              </w:rPr>
            </w:pPr>
            <w:r>
              <w:rPr>
                <w:sz w:val="4"/>
                <w:szCs w:val="4"/>
              </w:rPr>
            </w:r>
          </w:p>
        </w:tc>
      </w:tr>
      <w:tr>
        <w:trPr/>
        <w:tc>
          <w:tcPr>
            <w:tcW w:w="32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w:t>
            </w:r>
          </w:p>
        </w:tc>
        <w:tc>
          <w:tcPr>
            <w:tcW w:w="98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To remove from registration by means of a post-effective amendment any of the securities being registered which remain unsold at the termination of the offering. </w:t>
            </w:r>
          </w:p>
        </w:tc>
      </w:tr>
    </w:tbl>
    <w:p>
      <w:pPr>
        <w:pStyle w:val="TextBody"/>
        <w:bidi w:val="0"/>
        <w:jc w:val="left"/>
        <w:rPr/>
      </w:pPr>
      <w:r>
        <w:rPr/>
        <w:t> </w:t>
      </w:r>
    </w:p>
    <w:tbl>
      <w:tblPr>
        <w:tblW w:w="8267" w:type="dxa"/>
        <w:jc w:val="left"/>
        <w:tblInd w:w="0" w:type="dxa"/>
        <w:tblLayout w:type="fixed"/>
        <w:tblCellMar>
          <w:top w:w="28" w:type="dxa"/>
          <w:left w:w="28" w:type="dxa"/>
          <w:bottom w:w="28" w:type="dxa"/>
          <w:right w:w="28" w:type="dxa"/>
        </w:tblCellMar>
      </w:tblPr>
      <w:tblGrid>
        <w:gridCol w:w="346"/>
        <w:gridCol w:w="7921"/>
      </w:tblGrid>
      <w:tr>
        <w:trPr/>
        <w:tc>
          <w:tcPr>
            <w:tcW w:w="346"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w:t>
            </w:r>
          </w:p>
        </w:tc>
        <w:tc>
          <w:tcPr>
            <w:tcW w:w="79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That, for the purpose of determining liability under the Securities Act of 1933 to any purchaser: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30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w:t>
            </w:r>
          </w:p>
        </w:tc>
        <w:tc>
          <w:tcPr>
            <w:tcW w:w="990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Each prospectus filed by the registrant pursuant to Rule 424(b)(3) shall be deemed to be part of the registration statement as of the date the filed prospectus was deemed part of and included in the registration statement; and </w:t>
            </w:r>
          </w:p>
        </w:tc>
      </w:tr>
      <w:tr>
        <w:trPr/>
        <w:tc>
          <w:tcPr>
            <w:tcW w:w="30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(ii)</w:t>
            </w:r>
          </w:p>
        </w:tc>
        <w:tc>
          <w:tcPr>
            <w:tcW w:w="99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Each prospectus required to be filed pursuant to Rule 424(b)(2), (b)(5), or (b)(7) as part of a registration statement in reliance on Rule 430B relating to an offering made pursuant to Rule 415(a) (1)(i),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That, for the purpose of determining liability of the registrant under the Securities Act of 1933 to any purchaser in the initial distribution of the securities: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vAlign w:val="center"/>
          </w:tcPr>
          <w:p>
            <w:pPr>
              <w:pStyle w:val="TableContents"/>
              <w:bidi w:val="0"/>
              <w:spacing w:before="0" w:after="283"/>
              <w:jc w:val="left"/>
              <w:rPr>
                <w:sz w:val="4"/>
                <w:szCs w:val="4"/>
              </w:rPr>
            </w:pPr>
            <w:r>
              <w:rPr>
                <w:sz w:val="4"/>
                <w:szCs w:val="4"/>
              </w:rPr>
            </w:r>
          </w:p>
        </w:tc>
        <w:tc>
          <w:tcPr>
            <w:tcW w:w="9912"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w:t>
            </w:r>
          </w:p>
        </w:tc>
        <w:tc>
          <w:tcPr>
            <w:tcW w:w="99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preliminary prospectus or prospectus of the undersigned registrant relating to the offering required to be filed pursuant to Rule 424;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
        <w:gridCol w:w="9860"/>
      </w:tblGrid>
      <w:tr>
        <w:trPr/>
        <w:tc>
          <w:tcPr>
            <w:tcW w:w="345" w:type="dxa"/>
            <w:tcBorders/>
            <w:vAlign w:val="center"/>
          </w:tcPr>
          <w:p>
            <w:pPr>
              <w:pStyle w:val="TableContents"/>
              <w:bidi w:val="0"/>
              <w:spacing w:before="0" w:after="283"/>
              <w:jc w:val="left"/>
              <w:rPr>
                <w:sz w:val="4"/>
                <w:szCs w:val="4"/>
              </w:rPr>
            </w:pPr>
            <w:r>
              <w:rPr>
                <w:sz w:val="4"/>
                <w:szCs w:val="4"/>
              </w:rPr>
            </w:r>
          </w:p>
        </w:tc>
        <w:tc>
          <w:tcPr>
            <w:tcW w:w="9860" w:type="dxa"/>
            <w:tcBorders/>
            <w:vAlign w:val="center"/>
          </w:tcPr>
          <w:p>
            <w:pPr>
              <w:pStyle w:val="TableContents"/>
              <w:bidi w:val="0"/>
              <w:spacing w:before="0" w:after="283"/>
              <w:jc w:val="left"/>
              <w:rPr>
                <w:sz w:val="4"/>
                <w:szCs w:val="4"/>
              </w:rPr>
            </w:pPr>
            <w:r>
              <w:rPr>
                <w:sz w:val="4"/>
                <w:szCs w:val="4"/>
              </w:rPr>
            </w:r>
          </w:p>
        </w:tc>
      </w:tr>
      <w:tr>
        <w:trPr/>
        <w:tc>
          <w:tcPr>
            <w:tcW w:w="3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(ii)</w:t>
            </w:r>
          </w:p>
        </w:tc>
        <w:tc>
          <w:tcPr>
            <w:tcW w:w="986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free writing prospectus relating to the offering prepared by or on behalf of the undersigned registrant or used or referred to by the undersigned registrant;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
        <w:gridCol w:w="9812"/>
      </w:tblGrid>
      <w:tr>
        <w:trPr/>
        <w:tc>
          <w:tcPr>
            <w:tcW w:w="393"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39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(iii)</w:t>
            </w:r>
          </w:p>
        </w:tc>
        <w:tc>
          <w:tcPr>
            <w:tcW w:w="98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jc w:val="left"/>
        <w:rPr/>
      </w:pPr>
      <w:r>
        <w:rPr/>
        <w:t> </w:t>
      </w:r>
    </w:p>
    <w:tbl>
      <w:tblPr>
        <w:tblW w:w="9407" w:type="dxa"/>
        <w:jc w:val="left"/>
        <w:tblInd w:w="0" w:type="dxa"/>
        <w:tblLayout w:type="fixed"/>
        <w:tblCellMar>
          <w:top w:w="28" w:type="dxa"/>
          <w:left w:w="28" w:type="dxa"/>
          <w:bottom w:w="28" w:type="dxa"/>
          <w:right w:w="28" w:type="dxa"/>
        </w:tblCellMar>
      </w:tblPr>
      <w:tblGrid>
        <w:gridCol w:w="406"/>
        <w:gridCol w:w="9001"/>
      </w:tblGrid>
      <w:tr>
        <w:trPr/>
        <w:tc>
          <w:tcPr>
            <w:tcW w:w="406"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(iv)</w:t>
            </w:r>
          </w:p>
        </w:tc>
        <w:tc>
          <w:tcPr>
            <w:tcW w:w="90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other communication that is an offer in the offering made by the undersigned registrant to the purchaser.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
        <w:gridCol w:w="9909"/>
      </w:tblGrid>
      <w:tr>
        <w:trPr/>
        <w:tc>
          <w:tcPr>
            <w:tcW w:w="296" w:type="dxa"/>
            <w:tcBorders/>
            <w:vAlign w:val="center"/>
          </w:tcPr>
          <w:p>
            <w:pPr>
              <w:pStyle w:val="TableContents"/>
              <w:bidi w:val="0"/>
              <w:spacing w:before="0" w:after="283"/>
              <w:jc w:val="left"/>
              <w:rPr>
                <w:sz w:val="4"/>
                <w:szCs w:val="4"/>
              </w:rPr>
            </w:pPr>
            <w:r>
              <w:rPr>
                <w:sz w:val="4"/>
                <w:szCs w:val="4"/>
              </w:rPr>
            </w:r>
          </w:p>
        </w:tc>
        <w:tc>
          <w:tcPr>
            <w:tcW w:w="9909"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w:t>
            </w:r>
          </w:p>
        </w:tc>
        <w:tc>
          <w:tcPr>
            <w:tcW w:w="990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
        <w:gridCol w:w="9929"/>
      </w:tblGrid>
      <w:tr>
        <w:trPr/>
        <w:tc>
          <w:tcPr>
            <w:tcW w:w="276"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left"/>
              <w:rPr>
                <w:sz w:val="4"/>
                <w:szCs w:val="4"/>
              </w:rPr>
            </w:pPr>
            <w:r>
              <w:rPr>
                <w:sz w:val="4"/>
                <w:szCs w:val="4"/>
              </w:rPr>
            </w:r>
          </w:p>
        </w:tc>
      </w:tr>
      <w:tr>
        <w:trPr/>
        <w:tc>
          <w:tcPr>
            <w:tcW w:w="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w:t>
            </w:r>
          </w:p>
        </w:tc>
        <w:tc>
          <w:tcPr>
            <w:tcW w:w="992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informed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60" w:after="60"/>
        <w:jc w:val="left"/>
        <w:rPr/>
      </w:pPr>
      <w:bookmarkStart w:id="29" w:name="ny20053247x2_s3a_401_sig_pg1"/>
      <w:bookmarkEnd w:id="29"/>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30" w:name="signatures"/>
      <w:bookmarkEnd w:id="3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San Diego, State of California, on this 28th day of September, 2026. </w:t>
      </w:r>
    </w:p>
    <w:tbl>
      <w:tblPr>
        <w:tblW w:w="6582" w:type="dxa"/>
        <w:jc w:val="left"/>
        <w:tblInd w:w="0" w:type="dxa"/>
        <w:tblLayout w:type="fixed"/>
        <w:tblCellMar>
          <w:top w:w="28" w:type="dxa"/>
          <w:left w:w="28" w:type="dxa"/>
          <w:bottom w:w="28" w:type="dxa"/>
          <w:right w:w="28" w:type="dxa"/>
        </w:tblCellMar>
      </w:tblPr>
      <w:tblGrid>
        <w:gridCol w:w="161"/>
        <w:gridCol w:w="146"/>
        <w:gridCol w:w="146"/>
        <w:gridCol w:w="676"/>
        <w:gridCol w:w="146"/>
        <w:gridCol w:w="146"/>
        <w:gridCol w:w="51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LITE STRATEGY, INC.</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bottom w:val="single" w:sz="8" w:space="0" w:color="000000"/>
            </w:tcBorders>
            <w:tcMar>
              <w:top w:w="0" w:type="dxa"/>
              <w:left w:w="0" w:type="dxa"/>
              <w:bottom w:w="43"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Justin J. File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Justin J. File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Chief Financial Officer and Secretary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bookmarkStart w:id="31" w:name="tpoa"/>
      <w:bookmarkStart w:id="32" w:name="poa"/>
      <w:bookmarkEnd w:id="31"/>
      <w:bookmarkEnd w:id="32"/>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Justin J. File his true and lawful attorney-in-fact and agent with full power of substitution, for him and in his name, place and stead, in any and all capacities, to sign any and all amendments (including post-effective amendments) to this registration statement, and to sign any registration statement for the same offerings covered by the registration statement that is to be effective upon filing pursuant to Rule 462(b) promulgated under the Securities Act, and all post- 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any of them, or his or their substitute or substitutes, may lawfully do or cause to be done by virtue 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28" w:type="dxa"/>
          <w:left w:w="28" w:type="dxa"/>
          <w:bottom w:w="28" w:type="dxa"/>
          <w:right w:w="28" w:type="dxa"/>
        </w:tblCellMar>
      </w:tblPr>
      <w:tblGrid>
        <w:gridCol w:w="1551"/>
        <w:gridCol w:w="146"/>
        <w:gridCol w:w="146"/>
        <w:gridCol w:w="6614"/>
        <w:gridCol w:w="146"/>
        <w:gridCol w:w="146"/>
        <w:gridCol w:w="1456"/>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J. File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Chief Financial Officer and Secretary (Principal Executive Officer, Principal Financial and Accounting Officer)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28, 2026 </w:t>
            </w:r>
          </w:p>
        </w:tc>
      </w:tr>
      <w:tr>
        <w:trPr/>
        <w:tc>
          <w:tcPr>
            <w:tcW w:w="1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J. File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1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56" w:type="dxa"/>
            <w:vMerge w:val="continue"/>
            <w:tcBorders/>
            <w:tcMar>
              <w:top w:w="0" w:type="dxa"/>
              <w:left w:w="0" w:type="dxa"/>
              <w:bottom w:w="0" w:type="dxa"/>
              <w:right w:w="0" w:type="dxa"/>
            </w:tcMar>
            <w:vAlign w:val="center"/>
          </w:tcPr>
          <w:p>
            <w:pPr>
              <w:pStyle w:val="Normal"/>
              <w:bidi w:val="0"/>
              <w:jc w:val="left"/>
              <w:rPr/>
            </w:pPr>
            <w:r>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Frederick W. Driscoll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Chairman</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28, 2026 </w:t>
            </w:r>
          </w:p>
        </w:tc>
      </w:tr>
      <w:tr>
        <w:trPr/>
        <w:tc>
          <w:tcPr>
            <w:tcW w:w="1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Frederick W. Driscoll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1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56" w:type="dxa"/>
            <w:vMerge w:val="continue"/>
            <w:tcBorders/>
            <w:tcMar>
              <w:top w:w="0" w:type="dxa"/>
              <w:left w:w="0" w:type="dxa"/>
              <w:bottom w:w="0" w:type="dxa"/>
              <w:right w:w="0" w:type="dxa"/>
            </w:tcMar>
            <w:vAlign w:val="center"/>
          </w:tcPr>
          <w:p>
            <w:pPr>
              <w:pStyle w:val="Normal"/>
              <w:bidi w:val="0"/>
              <w:jc w:val="left"/>
              <w:rPr/>
            </w:pPr>
            <w:r>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Flynn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28, 2026 </w:t>
            </w:r>
          </w:p>
        </w:tc>
      </w:tr>
      <w:tr>
        <w:trPr/>
        <w:tc>
          <w:tcPr>
            <w:tcW w:w="1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Flynn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1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56" w:type="dxa"/>
            <w:vMerge w:val="continue"/>
            <w:tcBorders/>
            <w:tcMar>
              <w:top w:w="0" w:type="dxa"/>
              <w:left w:w="0" w:type="dxa"/>
              <w:bottom w:w="0" w:type="dxa"/>
              <w:right w:w="0" w:type="dxa"/>
            </w:tcMar>
            <w:vAlign w:val="center"/>
          </w:tcPr>
          <w:p>
            <w:pPr>
              <w:pStyle w:val="Normal"/>
              <w:bidi w:val="0"/>
              <w:jc w:val="left"/>
              <w:rPr/>
            </w:pPr>
            <w:r>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R. Glover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28, 2026 </w:t>
            </w:r>
          </w:p>
        </w:tc>
      </w:tr>
      <w:tr>
        <w:trPr/>
        <w:tc>
          <w:tcPr>
            <w:tcW w:w="1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Nicholas R. Glover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1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56" w:type="dxa"/>
            <w:vMerge w:val="continue"/>
            <w:tcBorders/>
            <w:tcMar>
              <w:top w:w="0" w:type="dxa"/>
              <w:left w:w="0" w:type="dxa"/>
              <w:bottom w:w="0" w:type="dxa"/>
              <w:right w:w="0" w:type="dxa"/>
            </w:tcMar>
            <w:vAlign w:val="center"/>
          </w:tcPr>
          <w:p>
            <w:pPr>
              <w:pStyle w:val="Normal"/>
              <w:bidi w:val="0"/>
              <w:jc w:val="left"/>
              <w:rPr/>
            </w:pPr>
            <w:r>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B. Lee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28, 2026 </w:t>
            </w:r>
          </w:p>
        </w:tc>
      </w:tr>
      <w:tr>
        <w:trPr/>
        <w:tc>
          <w:tcPr>
            <w:tcW w:w="1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Charles B. Lee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1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56" w:type="dxa"/>
            <w:vMerge w:val="continue"/>
            <w:tcBorders/>
            <w:tcMar>
              <w:top w:w="0" w:type="dxa"/>
              <w:left w:w="0" w:type="dxa"/>
              <w:bottom w:w="0" w:type="dxa"/>
              <w:right w:w="0" w:type="dxa"/>
            </w:tcMar>
            <w:vAlign w:val="center"/>
          </w:tcPr>
          <w:p>
            <w:pPr>
              <w:pStyle w:val="Normal"/>
              <w:bidi w:val="0"/>
              <w:jc w:val="left"/>
              <w:rPr/>
            </w:pPr>
            <w:r>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Joshua Riezman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28, 2026 </w:t>
            </w:r>
          </w:p>
        </w:tc>
      </w:tr>
      <w:tr>
        <w:trPr/>
        <w:tc>
          <w:tcPr>
            <w:tcW w:w="1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Joshua Riezman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1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56" w:type="dxa"/>
            <w:vMerge w:val="continue"/>
            <w:tcBorders/>
            <w:tcMar>
              <w:top w:w="0" w:type="dxa"/>
              <w:left w:w="0" w:type="dxa"/>
              <w:bottom w:w="0" w:type="dxa"/>
              <w:right w:w="0" w:type="dxa"/>
            </w:tcMar>
            <w:vAlign w:val="center"/>
          </w:tcPr>
          <w:p>
            <w:pPr>
              <w:pStyle w:val="Normal"/>
              <w:bidi w:val="0"/>
              <w:jc w:val="left"/>
              <w:rPr/>
            </w:pPr>
            <w:r>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lits-ex5_1.htm"/>
      <w:bookmarkStart w:id="34" w:name="kslitsex5_1"/>
      <w:bookmarkEnd w:id="33"/>
      <w:bookmarkEnd w:id="34"/>
      <w:r>
        <w:rPr>
          <w:rFonts w:ascii="Times New Roman" w:hAnsi="Times New Roman"/>
          <w:b/>
          <w:color w:val="000000"/>
          <w:sz w:val="20"/>
        </w:rPr>
        <w:t>EXHIBIT 5.1</w:t>
      </w:r>
      <w:r>
        <w:br w:type="page"/>
      </w:r>
    </w:p>
    <w:p>
      <w:pPr>
        <w:pStyle w:val="TextBody"/>
        <w:bidi w:val="0"/>
        <w:jc w:val="left"/>
        <w:rPr/>
      </w:pPr>
      <w:r>
        <w:rPr/>
        <w:drawing>
          <wp:inline distT="0" distB="0" distL="0" distR="0">
            <wp:extent cx="23526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2352675" cy="371475"/>
                    </a:xfrm>
                    <a:prstGeom prst="rect">
                      <a:avLst/>
                    </a:prstGeom>
                  </pic:spPr>
                </pic:pic>
              </a:graphicData>
            </a:graphic>
          </wp:inline>
        </w:drawing>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September 28,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Lite Strategy, Inc.</w:t>
        <w:br/>
        <w:t xml:space="preserve">9920 Pacific Heights Blvd., Suite 150 </w:t>
        <w:br/>
        <w:t>San Diego, CA 92121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 Lite Strategy, Inc. – Registration Statement on Form S-3</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Ladies and Gentlemen: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opinion is furnished to you in connection with the preparation and filing of a Registration Statement on Form S-3, filed by Lite Strategy, Inc., a Delaware corporation (the “Company”), with the Securities and Exchange Commission (the “Commission”) under the Securities Act of 1933, as amended (the “Securities Act”), on or about September 28, 2026 (such registration statement, the “Registration Statement”) relating to the offer and resale from time to time of 1,889,070 shares of the Company’s common stock, par value $0.00000002 share (the “Common Stock”), consisting of (i) 1,322,349 shares of Common Stock (the “GSR Warrant Shares”) issuable upon the exercise of warrants (the “GSR Warrants”) issued to GSR Strategies LLC with an exercise price of $0.0001 per share and (ii) 566,721 shares of Common Stock (the “Advisory Warrant Shares”) issuable upon the exercise of warrants (the “Advisory Warrants”) issued to Green Dragon Investments LLC with an exercise price of $0.0001 per share. The GSR Warrant Shares and the Advisory Warrant Shares are referred to collectively as the “Warrant Shares” and the GSR Warrants and the Advisory Warrants are referred to collectively as the “Warrants”. The offering of the Warrant Shares will be as set forth in the prospectus (the “Prospectus”) contained in the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opinion letter is furnished to you at your request to enable you to fulfill the requirements of Item 601(b)(5) of Regulation S-K, 17 C.F.R. § 229.601(b)(5), in connection with the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counsel to the Company, in rendering the opinions hereinafter expressed, we have examined and relied upon originals or copies of such corporate records, agreements, documents and instruments as we have deemed necessary or advisable for purposes of this opinion, including (i) the Amended and Restated Certificate of Incorporation, as amended, (ii) the Sixth Amended and Restated Bylaws of the Company, (iii) the Registration Statement and the exhibits thereto filed with the Commission, (iv) the prospectus contained within the Registration Statement, (v) the Warrants, and (vi) copies of resolutions adopted by the Board of Directors of the Company at any meeting duly called and held or by written consent without a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rendering the opinions contained herein, we have assumed the genuineness of all signatures on all documents examined by us, the legal capacity of all natural persons signing such documents, the due authority of all parties, other than the Company, signing such documents, the authenticity of all documents submitted to us as originals, the conformity to original documents of all documents submitted to us as photostatic or certified copies and the authenticity of the originals of such copies.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enforcement of any obligations of the Company may be limited by bankruptcy, insolvency, reorganization, moratorium, marshaling or other laws and rules of law affecting the enforcement generally of creditors’ rights and remedies, including, without limitation, fraudulent conveyance and fraudulent transfer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opinions are subject to the effects of general principles of equity (whether considered in a proceeding at law or in equity), including but not limited to principles limiting the availability of specific performance or injunctive relief, and concepts of materiality and reasonableness, and the implied duty of good faith and fair dealing.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opinion is limited solely to the Delaware General Corporation Law without regard to choice of law, to the extent that the same may apply to or govern the transactions contemplated by the Registration Statement. We express no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opinion as to the effect of events occurring, circumstances arising, or changes of law becoming effective or occurring, after the date hereof on the matters addressed in this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such examination and subject to the foregoing, we are of the opinion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Warrant Shares, when issued upon exercise of the Warrants, as applicable, in accordance with the terms of the Warrants and provided that a sufficient number of authorized but unissued shares of Common Stock are available at the time of such exercise, will be validly issued, fully paid and nonassessable;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Warrants are legal, valid, and binding agreements of the Company, enforceable against the Company in accordance with their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hereby consent to the reference to this firm therein and under the heading “Legal Matters” in the Prospectus included in the Registration Statement. In giving this consent, we do not admit that we are in the category of persons whose consent is required under Section 7 of the Securities Act, or the rules and regulations of the Commission thereunder. In rendering this opinion, we are opining only as to the specific legal issues expressly set forth herein, and no opinion shall be inferred as to any other matter or matters. This opinion is limited to the matters stated herein, and no opinion is implied or may be inferred beyond the matters expressly stated.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MORGAN, LEWIS &amp; BOCKIUS LLP</w:t>
      </w:r>
    </w:p>
    <w:p>
      <w:pPr>
        <w:pStyle w:val="HorizontalLine"/>
        <w:pBdr>
          <w:bottom w:val="double" w:sz="2" w:space="0" w:color="808080"/>
        </w:pBdr>
        <w:bidi w:val="0"/>
        <w:spacing w:before="0" w:after="283"/>
        <w:jc w:val="left"/>
        <w:rPr/>
      </w:pPr>
      <w:r>
        <w:rPr/>
      </w:r>
    </w:p>
    <w:p>
      <w:pPr>
        <w:pStyle w:val="TextBody"/>
        <w:bidi w:val="0"/>
        <w:spacing w:before="78" w:after="283"/>
        <w:jc w:val="left"/>
        <w:rPr>
          <w:rFonts w:ascii="Times New Roman" w:hAnsi="Times New Roman"/>
          <w:b/>
          <w:color w:val="000000"/>
          <w:sz w:val="24"/>
        </w:rPr>
      </w:pPr>
      <w:bookmarkStart w:id="35" w:name="lits-ex23_1.htm"/>
      <w:bookmarkStart w:id="36" w:name="kslitsex23_1"/>
      <w:bookmarkEnd w:id="35"/>
      <w:bookmarkEnd w:id="36"/>
      <w:r>
        <w:rPr>
          <w:rFonts w:ascii="Times New Roman" w:hAnsi="Times New Roman"/>
          <w:b/>
          <w:color w:val="000000"/>
          <w:sz w:val="24"/>
        </w:rPr>
        <w:t>Exhibit 23.1</w:t>
      </w:r>
      <w:r>
        <w:br w:type="page"/>
      </w:r>
    </w:p>
    <w:p>
      <w:pPr>
        <w:pStyle w:val="TextBody"/>
        <w:bidi w:val="0"/>
        <w:spacing w:before="78" w:after="283"/>
        <w:jc w:val="left"/>
        <w:rPr/>
      </w:pPr>
      <w:r>
        <w:rPr/>
        <w:t> </w:t>
      </w:r>
    </w:p>
    <w:p>
      <w:pPr>
        <w:pStyle w:val="TextBody"/>
        <w:bidi w:val="0"/>
        <w:spacing w:before="78" w:after="283"/>
        <w:jc w:val="left"/>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consent to the incorporation by reference in this Registration Statement on Form S-3 of our report dated September 28, 2026 with respect to the financial statements of Lite Strategy, Inc. included in the Annual Report on Form 10-K of Lite Strategy, Inc. for the year ended June 30, 2026. We also consent to the reference to us under the heading “Experts” in such Registration Statement.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/s/ </w:t>
      </w:r>
      <w:r>
        <w:rPr>
          <w:rFonts w:ascii="Times New Roman" w:hAnsi="Times New Roman"/>
          <w:smallCaps/>
          <w:color w:val="000000"/>
          <w:sz w:val="22"/>
        </w:rPr>
        <w:t>CBIZ CPAs P.C.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Costa Mesa, California </w:t>
      </w:r>
    </w:p>
    <w:p>
      <w:pPr>
        <w:pStyle w:val="TextBody"/>
        <w:bidi w:val="0"/>
        <w:jc w:val="left"/>
        <w:rPr>
          <w:rFonts w:ascii="Times New Roman" w:hAnsi="Times New Roman"/>
          <w:color w:val="000000"/>
          <w:sz w:val="22"/>
        </w:rPr>
      </w:pPr>
      <w:r>
        <w:rPr>
          <w:rFonts w:ascii="Times New Roman" w:hAnsi="Times New Roman"/>
          <w:color w:val="000000"/>
          <w:sz w:val="22"/>
        </w:rPr>
        <w:t xml:space="preserve">September 28,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37" w:name="lits-ex23_2.htm"/>
      <w:bookmarkStart w:id="38" w:name="kslitsex23_2"/>
      <w:bookmarkEnd w:id="37"/>
      <w:bookmarkEnd w:id="38"/>
      <w:r>
        <w:rPr>
          <w:rFonts w:ascii="Times New Roman" w:hAnsi="Times New Roman"/>
          <w:b/>
          <w:color w:val="000000"/>
          <w:sz w:val="22"/>
        </w:rPr>
        <w:t>Exhibit 23.2</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consent to the incorporation by reference in this Registration Statement on Form S-3 of our report dated September 26, 2025, relating to the financial statements of Lite Strategy, Inc., appearing in the Annual Report on Form 10-K of Lite Strategy, Inc. for the year ended June 30, 2026. We also consent to the reference to us under the heading “Experts” in such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 Deloitte &amp; Touche LLP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San Diego, California </w:t>
        <w:br/>
        <w:t>September 28,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9" w:name="lits_exfilingfees.htm"/>
      <w:bookmarkStart w:id="40" w:name="kslits_exfilingfees"/>
      <w:bookmarkEnd w:id="39"/>
      <w:bookmarkEnd w:id="40"/>
      <w:r>
        <w:rPr>
          <w:rFonts w:ascii="Times New Roman" w:hAnsi="Times New Roman"/>
          <w:b/>
          <w:color w:val="000000"/>
          <w:sz w:val="22"/>
        </w:rPr>
        <w:t>Exhibit 107</w:t>
      </w:r>
      <w:r>
        <w:br w:type="page"/>
      </w:r>
    </w:p>
    <w:p>
      <w:pPr>
        <w:pStyle w:val="TextBody"/>
        <w:bidi w:val="0"/>
        <w:spacing w:before="0" w:after="160"/>
        <w:jc w:val="center"/>
        <w:rPr>
          <w:rFonts w:ascii="Times New Roman" w:hAnsi="Times New Roman"/>
          <w:sz w:val="24"/>
        </w:rPr>
      </w:pPr>
      <w:r>
        <w:rPr>
          <w:rFonts w:ascii="Times New Roman" w:hAnsi="Times New Roman"/>
          <w:b/>
          <w:color w:val="000000"/>
          <w:sz w:val="24"/>
        </w:rPr>
        <w:t>Calculation of Filing Fee</w:t>
      </w:r>
      <w:r>
        <w:rPr>
          <w:rFonts w:ascii="Times New Roman" w:hAnsi="Times New Roman"/>
          <w:color w:val="000000"/>
          <w:sz w:val="24"/>
        </w:rPr>
        <w:t xml:space="preserve"> </w:t>
      </w:r>
      <w:r>
        <w:rPr>
          <w:rFonts w:ascii="Times New Roman" w:hAnsi="Times New Roman"/>
          <w:b/>
          <w:color w:val="000000"/>
          <w:sz w:val="24"/>
        </w:rPr>
        <w:t>Table</w:t>
      </w:r>
    </w:p>
    <w:p>
      <w:pPr>
        <w:pStyle w:val="TextBody"/>
        <w:bidi w:val="0"/>
        <w:spacing w:before="0" w:after="160"/>
        <w:jc w:val="center"/>
        <w:rPr>
          <w:rFonts w:ascii="Times New Roman" w:hAnsi="Times New Roman"/>
          <w:sz w:val="20"/>
        </w:rPr>
      </w:pPr>
      <w:r>
        <w:rPr>
          <w:rFonts w:ascii="Times New Roman" w:hAnsi="Times New Roman"/>
          <w:b/>
          <w:color w:val="000000"/>
          <w:sz w:val="28"/>
        </w:rPr>
        <w:t>Form S-3</w:t>
      </w:r>
      <w:r>
        <w:rPr>
          <w:rFonts w:ascii="Times New Roman" w:hAnsi="Times New Roman"/>
          <w:color w:val="000000"/>
          <w:sz w:val="24"/>
        </w:rPr>
        <w:br/>
      </w:r>
      <w:r>
        <w:rPr>
          <w:rFonts w:ascii="Times New Roman" w:hAnsi="Times New Roman"/>
          <w:color w:val="000000"/>
          <w:sz w:val="20"/>
        </w:rPr>
        <w:t>(Form Type)</w:t>
      </w:r>
    </w:p>
    <w:p>
      <w:pPr>
        <w:pStyle w:val="TextBody"/>
        <w:bidi w:val="0"/>
        <w:spacing w:before="0" w:after="120"/>
        <w:jc w:val="center"/>
        <w:rPr>
          <w:rFonts w:ascii="Times New Roman" w:hAnsi="Times New Roman"/>
          <w:b/>
          <w:color w:val="000000"/>
          <w:sz w:val="28"/>
        </w:rPr>
      </w:pPr>
      <w:r>
        <w:rPr>
          <w:rFonts w:ascii="Times New Roman" w:hAnsi="Times New Roman"/>
          <w:b/>
          <w:color w:val="000000"/>
          <w:sz w:val="28"/>
        </w:rPr>
        <w:t>Lite Strategy, Inc.</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160"/>
        <w:jc w:val="center"/>
        <w:rPr>
          <w:rFonts w:ascii="Times New Roman" w:hAnsi="Times New Roman"/>
          <w:sz w:val="20"/>
        </w:rPr>
      </w:pPr>
      <w:r>
        <w:rPr>
          <w:rFonts w:ascii="Times New Roman" w:hAnsi="Times New Roman"/>
          <w:b/>
          <w:color w:val="000000"/>
          <w:sz w:val="20"/>
        </w:rPr>
        <w:t>Table 1: Newly Registered and Carry Forward Securities</w:t>
      </w:r>
      <w:r>
        <w:rPr>
          <w:rFonts w:ascii="Times New Roman" w:hAnsi="Times New Roman"/>
          <w:color w:val="000000"/>
          <w:sz w:val="20"/>
        </w:rPr>
        <w:t xml:space="preserve"> </w:t>
      </w:r>
    </w:p>
    <w:tbl>
      <w:tblPr>
        <w:tblW w:w="11921" w:type="dxa"/>
        <w:jc w:val="left"/>
        <w:tblInd w:w="0" w:type="dxa"/>
        <w:tblLayout w:type="fixed"/>
        <w:tblCellMar>
          <w:top w:w="28" w:type="dxa"/>
          <w:left w:w="28" w:type="dxa"/>
          <w:bottom w:w="28" w:type="dxa"/>
          <w:right w:w="28" w:type="dxa"/>
        </w:tblCellMar>
      </w:tblPr>
      <w:tblGrid>
        <w:gridCol w:w="526"/>
        <w:gridCol w:w="146"/>
        <w:gridCol w:w="109"/>
        <w:gridCol w:w="346"/>
        <w:gridCol w:w="819"/>
        <w:gridCol w:w="1051"/>
        <w:gridCol w:w="952"/>
        <w:gridCol w:w="873"/>
        <w:gridCol w:w="843"/>
        <w:gridCol w:w="1141"/>
        <w:gridCol w:w="871"/>
        <w:gridCol w:w="1009"/>
        <w:gridCol w:w="751"/>
        <w:gridCol w:w="751"/>
        <w:gridCol w:w="754"/>
        <w:gridCol w:w="979"/>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13"/>
              <w:jc w:val="left"/>
              <w:rPr/>
            </w:pPr>
            <w:r>
              <w:rPr/>
              <w:t> </w:t>
            </w:r>
          </w:p>
        </w:tc>
        <w:tc>
          <w:tcPr>
            <w:tcW w:w="3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13"/>
              <w:jc w:val="center"/>
              <w:rPr/>
            </w:pPr>
            <w:r>
              <w:rPr/>
              <w:t> </w:t>
            </w:r>
          </w:p>
        </w:tc>
        <w:tc>
          <w:tcPr>
            <w:tcW w:w="819" w:type="dxa"/>
            <w:tcBorders>
              <w:top w:val="single" w:sz="4" w:space="0" w:color="000000"/>
              <w:bottom w:val="single" w:sz="4" w:space="0" w:color="000000"/>
              <w:right w:val="single" w:sz="4" w:space="0" w:color="000000"/>
            </w:tcBorders>
            <w:tcMar>
              <w:left w:w="0" w:type="dxa"/>
            </w:tcMar>
            <w:vAlign w:val="center"/>
          </w:tcPr>
          <w:p>
            <w:pPr>
              <w:pStyle w:val="TableContents"/>
              <w:bidi w:val="0"/>
              <w:ind w:left="0" w:right="0" w:firstLine="113"/>
              <w:jc w:val="center"/>
              <w:rPr>
                <w:rFonts w:ascii="Times New Roman" w:hAnsi="Times New Roman"/>
                <w:sz w:val="16"/>
              </w:rPr>
            </w:pPr>
            <w:r>
              <w:rPr>
                <w:rFonts w:ascii="Times New Roman" w:hAnsi="Times New Roman"/>
                <w:b/>
                <w:color w:val="000000"/>
                <w:sz w:val="16"/>
              </w:rPr>
              <w:t>Security</w:t>
            </w:r>
            <w:r>
              <w:rPr>
                <w:rFonts w:ascii="Times New Roman" w:hAnsi="Times New Roman"/>
                <w:color w:val="000000"/>
                <w:sz w:val="16"/>
              </w:rPr>
              <w:t xml:space="preserve"> </w:t>
            </w:r>
          </w:p>
          <w:p>
            <w:pPr>
              <w:pStyle w:val="TableContents"/>
              <w:bidi w:val="0"/>
              <w:spacing w:before="0" w:after="283"/>
              <w:ind w:left="0" w:right="0" w:firstLine="113"/>
              <w:jc w:val="center"/>
              <w:rPr>
                <w:rFonts w:ascii="Times New Roman" w:hAnsi="Times New Roman"/>
                <w:b/>
                <w:color w:val="000000"/>
                <w:sz w:val="16"/>
              </w:rPr>
            </w:pPr>
            <w:r>
              <w:rPr>
                <w:rFonts w:ascii="Times New Roman" w:hAnsi="Times New Roman"/>
                <w:b/>
                <w:color w:val="000000"/>
                <w:sz w:val="16"/>
              </w:rPr>
              <w:t>Type</w:t>
            </w:r>
          </w:p>
        </w:tc>
        <w:tc>
          <w:tcPr>
            <w:tcW w:w="105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6"/>
              <w:jc w:val="center"/>
              <w:rPr>
                <w:rFonts w:ascii="Times New Roman" w:hAnsi="Times New Roman"/>
                <w:b/>
                <w:color w:val="000000"/>
                <w:sz w:val="16"/>
              </w:rPr>
            </w:pPr>
            <w:r>
              <w:rPr>
                <w:rFonts w:ascii="Times New Roman" w:hAnsi="Times New Roman"/>
                <w:b/>
                <w:color w:val="000000"/>
                <w:sz w:val="16"/>
              </w:rPr>
              <w:t>Security Class</w:t>
              <w:br/>
              <w:t>Title</w:t>
            </w:r>
          </w:p>
        </w:tc>
        <w:tc>
          <w:tcPr>
            <w:tcW w:w="95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6"/>
              <w:jc w:val="center"/>
              <w:rPr>
                <w:rFonts w:ascii="Times New Roman" w:hAnsi="Times New Roman"/>
                <w:b/>
                <w:color w:val="000000"/>
                <w:sz w:val="16"/>
              </w:rPr>
            </w:pPr>
            <w:r>
              <w:rPr>
                <w:rFonts w:ascii="Times New Roman" w:hAnsi="Times New Roman"/>
                <w:b/>
                <w:color w:val="000000"/>
                <w:sz w:val="16"/>
              </w:rPr>
              <w:t>Fee Calculation Rule</w:t>
            </w:r>
          </w:p>
        </w:tc>
        <w:tc>
          <w:tcPr>
            <w:tcW w:w="87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
              <w:jc w:val="center"/>
              <w:rPr>
                <w:rFonts w:ascii="Times New Roman" w:hAnsi="Times New Roman"/>
                <w:b/>
                <w:color w:val="000000"/>
                <w:sz w:val="16"/>
              </w:rPr>
            </w:pPr>
            <w:r>
              <w:rPr>
                <w:rFonts w:ascii="Times New Roman" w:hAnsi="Times New Roman"/>
                <w:b/>
                <w:color w:val="000000"/>
                <w:sz w:val="16"/>
              </w:rPr>
              <w:t>Amount</w:t>
              <w:br/>
              <w:t>Registered</w:t>
            </w:r>
          </w:p>
        </w:tc>
        <w:tc>
          <w:tcPr>
            <w:tcW w:w="84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
              <w:jc w:val="center"/>
              <w:rPr>
                <w:rFonts w:ascii="Times New Roman" w:hAnsi="Times New Roman"/>
                <w:b/>
                <w:color w:val="000000"/>
                <w:sz w:val="16"/>
              </w:rPr>
            </w:pPr>
            <w:r>
              <w:rPr>
                <w:rFonts w:ascii="Times New Roman" w:hAnsi="Times New Roman"/>
                <w:b/>
                <w:color w:val="000000"/>
                <w:sz w:val="16"/>
              </w:rPr>
              <w:t>Proposed Maximum</w:t>
              <w:br/>
              <w:t>Offering Price Per Unit</w:t>
            </w:r>
          </w:p>
        </w:tc>
        <w:tc>
          <w:tcPr>
            <w:tcW w:w="114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Maximum Aggregate</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 Price</w:t>
            </w:r>
          </w:p>
        </w:tc>
        <w:tc>
          <w:tcPr>
            <w:tcW w:w="8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Fee Rate</w:t>
            </w:r>
          </w:p>
        </w:tc>
        <w:tc>
          <w:tcPr>
            <w:tcW w:w="100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Amount of</w:t>
              <w:br/>
              <w:t>Registration Fee</w:t>
            </w:r>
          </w:p>
        </w:tc>
        <w:tc>
          <w:tcPr>
            <w:tcW w:w="75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Carry </w:t>
            </w:r>
          </w:p>
          <w:p>
            <w:pPr>
              <w:pStyle w:val="TableContents"/>
              <w:bidi w:val="0"/>
              <w:jc w:val="center"/>
              <w:rPr>
                <w:rFonts w:ascii="Times New Roman" w:hAnsi="Times New Roman"/>
                <w:b/>
                <w:color w:val="000000"/>
                <w:sz w:val="16"/>
              </w:rPr>
            </w:pPr>
            <w:r>
              <w:rPr>
                <w:rFonts w:ascii="Times New Roman" w:hAnsi="Times New Roman"/>
                <w:b/>
                <w:color w:val="000000"/>
                <w:sz w:val="16"/>
              </w:rPr>
              <w:t>Forward Form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w:t>
            </w:r>
          </w:p>
        </w:tc>
        <w:tc>
          <w:tcPr>
            <w:tcW w:w="75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Carry </w:t>
            </w:r>
          </w:p>
          <w:p>
            <w:pPr>
              <w:pStyle w:val="TableContents"/>
              <w:bidi w:val="0"/>
              <w:jc w:val="center"/>
              <w:rPr>
                <w:rFonts w:ascii="Times New Roman" w:hAnsi="Times New Roman"/>
                <w:b/>
                <w:color w:val="000000"/>
                <w:sz w:val="16"/>
              </w:rPr>
            </w:pPr>
            <w:r>
              <w:rPr>
                <w:rFonts w:ascii="Times New Roman" w:hAnsi="Times New Roman"/>
                <w:b/>
                <w:color w:val="000000"/>
                <w:sz w:val="16"/>
              </w:rPr>
              <w:t>Forward </w:t>
            </w:r>
          </w:p>
          <w:p>
            <w:pPr>
              <w:pStyle w:val="TableContents"/>
              <w:bidi w:val="0"/>
              <w:jc w:val="center"/>
              <w:rPr>
                <w:rFonts w:ascii="Times New Roman" w:hAnsi="Times New Roman"/>
                <w:b/>
                <w:color w:val="000000"/>
                <w:sz w:val="16"/>
              </w:rPr>
            </w:pPr>
            <w:r>
              <w:rPr>
                <w:rFonts w:ascii="Times New Roman" w:hAnsi="Times New Roman"/>
                <w:b/>
                <w:color w:val="000000"/>
                <w:sz w:val="16"/>
              </w:rPr>
              <w:t>File </w:t>
            </w:r>
          </w:p>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Number </w:t>
            </w:r>
          </w:p>
        </w:tc>
        <w:tc>
          <w:tcPr>
            <w:tcW w:w="754" w:type="dxa"/>
            <w:tcBorders>
              <w:top w:val="single" w:sz="4" w:space="0" w:color="000000"/>
              <w:bottom w:val="single" w:sz="4" w:space="0" w:color="000000"/>
              <w:right w:val="single" w:sz="4" w:space="0" w:color="000000"/>
            </w:tcBorders>
            <w:tcMar>
              <w:left w:w="0" w:type="dxa"/>
            </w:tcMar>
            <w:vAlign w:val="center"/>
          </w:tcPr>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Carry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Forward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Initial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effective </w:t>
            </w:r>
          </w:p>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date</w:t>
            </w:r>
          </w:p>
        </w:tc>
        <w:tc>
          <w:tcPr>
            <w:tcW w:w="979" w:type="dxa"/>
            <w:tcBorders>
              <w:top w:val="single" w:sz="4" w:space="0" w:color="000000"/>
              <w:bottom w:val="single" w:sz="4" w:space="0" w:color="000000"/>
              <w:right w:val="single" w:sz="4" w:space="0" w:color="000000"/>
            </w:tcBorders>
            <w:tcMar>
              <w:left w:w="0" w:type="dxa"/>
            </w:tcMar>
            <w:vAlign w:val="center"/>
          </w:tcPr>
          <w:p>
            <w:pPr>
              <w:pStyle w:val="TableContents"/>
              <w:bidi w:val="0"/>
              <w:ind w:left="0" w:right="0" w:firstLine="3"/>
              <w:jc w:val="center"/>
              <w:rPr>
                <w:color w:val="000000"/>
              </w:rPr>
            </w:pPr>
            <w:r>
              <w:rPr>
                <w:color w:val="000000"/>
              </w:rPr>
              <w:t> </w:t>
            </w:r>
            <w:r>
              <w:rPr>
                <w:rFonts w:ascii="Times New Roman" w:hAnsi="Times New Roman"/>
                <w:b/>
                <w:color w:val="000000"/>
                <w:sz w:val="16"/>
              </w:rPr>
              <w:t>Filing Fee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Previously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Paid In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Connection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with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Unsold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Securities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to be </w:t>
            </w:r>
          </w:p>
          <w:p>
            <w:pPr>
              <w:pStyle w:val="TableContents"/>
              <w:bidi w:val="0"/>
              <w:ind w:left="0" w:right="0" w:firstLine="3"/>
              <w:jc w:val="center"/>
              <w:rPr>
                <w:rFonts w:ascii="Times New Roman" w:hAnsi="Times New Roman"/>
                <w:b/>
                <w:color w:val="000000"/>
                <w:sz w:val="16"/>
              </w:rPr>
            </w:pPr>
            <w:r>
              <w:rPr>
                <w:rFonts w:ascii="Times New Roman" w:hAnsi="Times New Roman"/>
                <w:b/>
                <w:color w:val="000000"/>
                <w:sz w:val="16"/>
              </w:rPr>
              <w:t>Carried </w:t>
            </w:r>
          </w:p>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Forward</w:t>
            </w:r>
          </w:p>
        </w:tc>
      </w:tr>
      <w:tr>
        <w:trPr/>
        <w:tc>
          <w:tcPr>
            <w:tcW w:w="11921" w:type="dxa"/>
            <w:gridSpan w:val="16"/>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Newly Registered Securities</w:t>
            </w:r>
          </w:p>
        </w:tc>
      </w:tr>
      <w:tr>
        <w:trPr/>
        <w:tc>
          <w:tcPr>
            <w:tcW w:w="781"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to Be Paid</w:t>
            </w:r>
          </w:p>
        </w:tc>
        <w:tc>
          <w:tcPr>
            <w:tcW w:w="3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8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0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$0.00000002 per share</w:t>
            </w:r>
          </w:p>
        </w:tc>
        <w:tc>
          <w:tcPr>
            <w:tcW w:w="9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Rule 457(c)</w:t>
            </w:r>
          </w:p>
        </w:tc>
        <w:tc>
          <w:tcPr>
            <w:tcW w:w="8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1,889,070 </w:t>
            </w:r>
          </w:p>
        </w:tc>
        <w:tc>
          <w:tcPr>
            <w:tcW w:w="8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2,418,009.60</w:t>
            </w:r>
          </w:p>
        </w:tc>
        <w:tc>
          <w:tcPr>
            <w:tcW w:w="8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0.0001381</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$333.93</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11921" w:type="dxa"/>
            <w:gridSpan w:val="16"/>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 Forward Securities</w:t>
            </w:r>
          </w:p>
        </w:tc>
      </w:tr>
      <w:tr>
        <w:trPr/>
        <w:tc>
          <w:tcPr>
            <w:tcW w:w="781"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Carry</w:t>
            </w:r>
          </w:p>
          <w:p>
            <w:pPr>
              <w:pStyle w:val="TableContents"/>
              <w:bidi w:val="0"/>
              <w:jc w:val="left"/>
              <w:rPr>
                <w:rFonts w:ascii="Times New Roman" w:hAnsi="Times New Roman"/>
                <w:color w:val="000000"/>
                <w:sz w:val="16"/>
              </w:rPr>
            </w:pPr>
            <w:r>
              <w:rPr>
                <w:rFonts w:ascii="Times New Roman" w:hAnsi="Times New Roman"/>
                <w:color w:val="000000"/>
                <w:sz w:val="16"/>
              </w:rPr>
              <w:t>Forward</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Securities</w:t>
            </w:r>
          </w:p>
        </w:tc>
        <w:tc>
          <w:tcPr>
            <w:tcW w:w="3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9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73"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843"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87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81"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3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3695"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Offering Amount</w:t>
            </w:r>
          </w:p>
        </w:tc>
        <w:tc>
          <w:tcPr>
            <w:tcW w:w="843"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$2,418,009.60</w:t>
            </w:r>
          </w:p>
        </w:tc>
        <w:tc>
          <w:tcPr>
            <w:tcW w:w="8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$333.93</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81"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3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3695"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Fees Previously Paid</w:t>
            </w:r>
          </w:p>
        </w:tc>
        <w:tc>
          <w:tcPr>
            <w:tcW w:w="843"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87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81"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3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3695"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Fee Offsets</w:t>
            </w:r>
          </w:p>
        </w:tc>
        <w:tc>
          <w:tcPr>
            <w:tcW w:w="843"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87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81"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3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3695"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Fee Due</w:t>
            </w:r>
          </w:p>
        </w:tc>
        <w:tc>
          <w:tcPr>
            <w:tcW w:w="843"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871" w:type="dxa"/>
            <w:tcBorders>
              <w:bottom w:val="single" w:sz="4" w:space="0" w:color="000000"/>
              <w:right w:val="single" w:sz="4" w:space="0" w:color="000000"/>
            </w:tcBorders>
            <w:tcMar>
              <w:top w:w="0" w:type="dxa"/>
              <w:left w:w="0" w:type="dxa"/>
            </w:tcMar>
            <w:vAlign w:val="center"/>
          </w:tcPr>
          <w:p>
            <w:pPr>
              <w:pStyle w:val="TableContents"/>
              <w:bidi w:val="0"/>
              <w:spacing w:lineRule="auto" w:line="360" w:before="0" w:after="283"/>
              <w:jc w:val="center"/>
              <w:rPr>
                <w:color w:val="000000"/>
              </w:rPr>
            </w:pPr>
            <w:r>
              <w:rPr>
                <w:color w:val="000000"/>
              </w:rPr>
              <w:t>—</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$333.93</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6" w:type="dxa"/>
            <w:gridSpan w:val="1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Offering Note</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gridSpan w:val="10"/>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16"/>
              </w:rPr>
            </w:pPr>
            <w:r>
              <w:rPr>
                <w:rFonts w:ascii="Times New Roman" w:hAnsi="Times New Roman"/>
                <w:color w:val="000000"/>
                <w:sz w:val="16"/>
              </w:rPr>
              <w:t>Pursuant to Rule 416 of the Securities Act of 1933, as amended (the “Securities Act”), this Registration Statement shall also cover any additional shares of Lite Strategy, Inc.’s (the “Registrant”) common stock, par value $0.00000002 (“Common Stock”) that become issuable by reason of any stock dividend, stock split, recapitalization or other similar transaction effected without receipt of consideration that increases the number of outstanding shares of Common Stock.</w:t>
            </w:r>
          </w:p>
          <w:p>
            <w:pPr>
              <w:pStyle w:val="TableContents"/>
              <w:bidi w:val="0"/>
              <w:jc w:val="left"/>
              <w:rPr>
                <w:rFonts w:ascii="Times New Roman" w:hAnsi="Times New Roman"/>
                <w:color w:val="000000"/>
                <w:sz w:val="16"/>
              </w:rPr>
            </w:pPr>
            <w:r>
              <w:rPr>
                <w:rFonts w:ascii="Times New Roman" w:hAnsi="Times New Roman"/>
                <w:color w:val="000000"/>
                <w:sz w:val="16"/>
              </w:rPr>
              <w:t>Represents the shares of Common Stock of the Registrant that will be offered for resale by the selling stockholders pursuant to the prospectus contained in this Registration Statement on Form S-3 (the “Registration Statement”) to which this exhibit is attached. The Registration Statement registers an aggregate of 1,889,070 shares of Common Stock consisting of (i) 1,322,349 shares of Common Stock issuable upon the exercise of warrants issued to GSR Strategies LLC with an exercise price of $0.0001 per shares and (ii) 566,721 shares of Common Stock issuable upon the exercise of warrants issued to Green Dragon Investments LLC with an exercise price of $0.0001 per share.</w:t>
            </w:r>
          </w:p>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Estimated solely for the purpose of calculating the amount of the registration fee pursuant to Rule 457(c) under the Securities Act. The offering price per share and aggregate offering price are based upon the average of the high and low prices for the Common Stock as reported on the Nasdaq Capital Market on September 22, 2026, a date within five business days prior to the filing of the Registration Statement.</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262104/000119312526405328/lits-20260630.htm" TargetMode="External"/><Relationship Id="rId4" Type="http://schemas.openxmlformats.org/officeDocument/2006/relationships/hyperlink" Target="https://www.sec.gov/Archives/edgar/data/1262104/000095017023049927/meip-ex4_4.htm" TargetMode="External"/><Relationship Id="rId5" Type="http://schemas.openxmlformats.org/officeDocument/2006/relationships/hyperlink" Target="https://www.sec.gov/ix?doc=/Archives/edgar/data/1262104/000095017023049927/meip-20230630.htm" TargetMode="External"/><Relationship Id="rId6" Type="http://schemas.openxmlformats.org/officeDocument/2006/relationships/image" Target="media/image1.jpeg"/><Relationship Id="rId7" Type="http://schemas.openxmlformats.org/officeDocument/2006/relationships/hyperlink" Target="https://www.sec.gov/Archives/edgar/data/1262104/000119312525220421/lits-ex3_1.htm" TargetMode="External"/><Relationship Id="rId8" Type="http://schemas.openxmlformats.org/officeDocument/2006/relationships/hyperlink" Target="https://www.sec.gov/Archives/edgar/data/1262104/000119312525220421/lits-ex3_1.htm" TargetMode="External"/><Relationship Id="rId9" Type="http://schemas.openxmlformats.org/officeDocument/2006/relationships/hyperlink" Target="https://www.sec.gov/Archives/edgar/data/1262104/000095017023072612/meip-ex3_1.htm" TargetMode="External"/><Relationship Id="rId10" Type="http://schemas.openxmlformats.org/officeDocument/2006/relationships/hyperlink" Target="https://www.sec.gov/Archives/edgar/data/1262104/000095017023072612/meip-ex3_1.htm" TargetMode="External"/><Relationship Id="rId11" Type="http://schemas.openxmlformats.org/officeDocument/2006/relationships/hyperlink" Target="https://www.sec.gov/Archives/edgar/data/1262104/000114036125026773/ef20052363_ex4-3.htm" TargetMode="External"/><Relationship Id="rId12" Type="http://schemas.openxmlformats.org/officeDocument/2006/relationships/hyperlink" Target="https://www.sec.gov/Archives/edgar/data/1262104/000114036125026773/ef20052363_ex4-3.htm" TargetMode="External"/><Relationship Id="rId13" Type="http://schemas.openxmlformats.org/officeDocument/2006/relationships/hyperlink" Target="https://www.sec.gov/Archives/edgar/data/1262104/000114036125026773/ef20052363_ex4-5.htm" TargetMode="External"/><Relationship Id="rId14" Type="http://schemas.openxmlformats.org/officeDocument/2006/relationships/hyperlink" Target="https://www.sec.gov/Archives/edgar/data/1262104/000114036125026773/ef20052363_ex4-5.htm" TargetMode="External"/><Relationship Id="rId15" Type="http://schemas.openxmlformats.org/officeDocument/2006/relationships/hyperlink" Target="https://www.sec.gov/Archives/edgar/data/1262104/000114036125026773/ef20052363_ex10-4.htm" TargetMode="External"/><Relationship Id="rId16" Type="http://schemas.openxmlformats.org/officeDocument/2006/relationships/hyperlink" Target="https://www.sec.gov/Archives/edgar/data/1262104/000114036125026773/ef20052363_ex10-4.htm" TargetMode="External"/><Relationship Id="rId17" Type="http://schemas.openxmlformats.org/officeDocument/2006/relationships/hyperlink" Target="https://www.sec.gov/Archives/edgar/data/1262104/000114036125026773/ef20052363_ex10-6.htm" TargetMode="External"/><Relationship Id="rId18" Type="http://schemas.openxmlformats.org/officeDocument/2006/relationships/hyperlink" Target="https://www.sec.gov/Archives/edgar/data/1262104/000114036125026773/ef20052363_ex10-6.htm" TargetMode="External"/><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13682</Words>
  <Characters>72882</Characters>
  <CharactersWithSpaces>86693</CharactersWithSpaces>
  <Paragraphs>1070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