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680" w:right="1580" w:hanging="3659"/>
        <w:spacing w:after="0" w:line="391" w:lineRule="auto"/>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December 31,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06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3725545</wp:posOffset>
            </wp:positionH>
            <wp:positionV relativeFrom="paragraph">
              <wp:posOffset>19685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MEI Pharma,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3880" w:type="dxa"/>
            <w:vAlign w:val="bottom"/>
          </w:tcPr>
          <w:p>
            <w:pPr>
              <w:jc w:val="center"/>
              <w:ind w:left="2067"/>
              <w:spacing w:after="0"/>
              <w:rPr>
                <w:sz w:val="20"/>
                <w:szCs w:val="20"/>
                <w:color w:val="auto"/>
              </w:rPr>
            </w:pPr>
            <w:r>
              <w:rPr>
                <w:rFonts w:ascii="Times New Roman" w:cs="Times New Roman" w:eastAsia="Times New Roman" w:hAnsi="Times New Roman"/>
                <w:sz w:val="16"/>
                <w:szCs w:val="16"/>
                <w:b w:val="1"/>
                <w:bCs w:val="1"/>
                <w:color w:val="auto"/>
                <w:w w:val="99"/>
              </w:rPr>
              <w:t>DELAWARE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Pr>
          <w:p>
            <w:pPr>
              <w:jc w:val="center"/>
              <w:ind w:right="1328"/>
              <w:spacing w:after="0"/>
              <w:rPr>
                <w:sz w:val="20"/>
                <w:szCs w:val="20"/>
                <w:color w:val="auto"/>
              </w:rPr>
            </w:pPr>
            <w:r>
              <w:rPr>
                <w:rFonts w:ascii="Times New Roman" w:cs="Times New Roman" w:eastAsia="Times New Roman" w:hAnsi="Times New Roman"/>
                <w:sz w:val="16"/>
                <w:szCs w:val="16"/>
                <w:b w:val="1"/>
                <w:bCs w:val="1"/>
                <w:color w:val="auto"/>
              </w:rPr>
              <w:t>51-0407811</w:t>
            </w:r>
          </w:p>
        </w:tc>
        <w:tc>
          <w:tcPr>
            <w:tcW w:w="0" w:type="dxa"/>
            <w:vAlign w:val="bottom"/>
          </w:tcPr>
          <w:p>
            <w:pPr>
              <w:spacing w:after="0"/>
              <w:rPr>
                <w:sz w:val="1"/>
                <w:szCs w:val="1"/>
                <w:color w:val="auto"/>
              </w:rPr>
            </w:pPr>
          </w:p>
        </w:tc>
      </w:tr>
      <w:tr>
        <w:trPr>
          <w:trHeight w:val="135"/>
        </w:trPr>
        <w:tc>
          <w:tcPr>
            <w:tcW w:w="3880" w:type="dxa"/>
            <w:vAlign w:val="bottom"/>
          </w:tcPr>
          <w:p>
            <w:pPr>
              <w:jc w:val="center"/>
              <w:ind w:left="20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20" w:type="dxa"/>
            <w:vAlign w:val="bottom"/>
          </w:tcPr>
          <w:p>
            <w:pPr>
              <w:jc w:val="center"/>
              <w:ind w:right="134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880" w:type="dxa"/>
            <w:vAlign w:val="bottom"/>
          </w:tcPr>
          <w:p>
            <w:pPr>
              <w:jc w:val="center"/>
              <w:ind w:left="204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34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c>
          <w:tcPr>
            <w:tcW w:w="0" w:type="dxa"/>
            <w:vAlign w:val="bottom"/>
          </w:tcPr>
          <w:p>
            <w:pPr>
              <w:spacing w:after="0"/>
              <w:rPr>
                <w:sz w:val="1"/>
                <w:szCs w:val="1"/>
                <w:color w:val="auto"/>
              </w:rPr>
            </w:pPr>
          </w:p>
        </w:tc>
      </w:tr>
      <w:tr>
        <w:trPr>
          <w:trHeight w:val="374"/>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6"/>
                <w:szCs w:val="16"/>
                <w:b w:val="1"/>
                <w:bCs w:val="1"/>
                <w:color w:val="auto"/>
              </w:rPr>
              <w:t>9920 Pacific Heights Blvd., Suite 150, San Diego, CA 92121</w:t>
            </w: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880" w:type="dxa"/>
            <w:vAlign w:val="bottom"/>
          </w:tcPr>
          <w:p>
            <w:pPr>
              <w:spacing w:after="0"/>
              <w:rPr>
                <w:sz w:val="24"/>
                <w:szCs w:val="24"/>
                <w:color w:val="auto"/>
              </w:rPr>
            </w:pPr>
          </w:p>
        </w:tc>
        <w:tc>
          <w:tcPr>
            <w:tcW w:w="2320" w:type="dxa"/>
            <w:vAlign w:val="bottom"/>
            <w:gridSpan w:val="5"/>
          </w:tcPr>
          <w:p>
            <w:pPr>
              <w:jc w:val="center"/>
              <w:ind w:left="1108"/>
              <w:spacing w:after="0"/>
              <w:rPr>
                <w:sz w:val="20"/>
                <w:szCs w:val="20"/>
                <w:color w:val="auto"/>
              </w:rPr>
            </w:pPr>
            <w:r>
              <w:rPr>
                <w:rFonts w:ascii="Times New Roman" w:cs="Times New Roman" w:eastAsia="Times New Roman" w:hAnsi="Times New Roman"/>
                <w:sz w:val="16"/>
                <w:szCs w:val="16"/>
                <w:b w:val="1"/>
                <w:bCs w:val="1"/>
                <w:color w:val="auto"/>
              </w:rPr>
              <w:t>(858) 369-7100</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80" w:type="dxa"/>
            <w:vAlign w:val="bottom"/>
          </w:tcPr>
          <w:p>
            <w:pPr>
              <w:spacing w:after="0"/>
              <w:rPr>
                <w:sz w:val="14"/>
                <w:szCs w:val="14"/>
                <w:color w:val="auto"/>
              </w:rPr>
            </w:pPr>
          </w:p>
        </w:tc>
        <w:tc>
          <w:tcPr>
            <w:tcW w:w="3340" w:type="dxa"/>
            <w:vAlign w:val="bottom"/>
            <w:gridSpan w:val="7"/>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5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880" w:type="dxa"/>
            <w:vAlign w:val="bottom"/>
          </w:tcPr>
          <w:p>
            <w:pPr>
              <w:spacing w:after="0"/>
              <w:rPr>
                <w:sz w:val="22"/>
                <w:szCs w:val="22"/>
                <w:color w:val="auto"/>
              </w:rPr>
            </w:pPr>
          </w:p>
        </w:tc>
        <w:tc>
          <w:tcPr>
            <w:tcW w:w="736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88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880" w:type="dxa"/>
            <w:vAlign w:val="bottom"/>
            <w:tcBorders>
              <w:top w:val="single" w:sz="8" w:color="auto"/>
            </w:tcBorders>
          </w:tcPr>
          <w:p>
            <w:pPr>
              <w:jc w:val="center"/>
              <w:ind w:left="347"/>
              <w:spacing w:after="0"/>
              <w:rPr>
                <w:sz w:val="20"/>
                <w:szCs w:val="20"/>
                <w:color w:val="auto"/>
              </w:rPr>
            </w:pPr>
            <w:r>
              <w:rPr>
                <w:rFonts w:ascii="Times New Roman" w:cs="Times New Roman" w:eastAsia="Times New Roman" w:hAnsi="Times New Roman"/>
                <w:sz w:val="16"/>
                <w:szCs w:val="16"/>
                <w:b w:val="1"/>
                <w:bCs w:val="1"/>
                <w:color w:val="auto"/>
              </w:rPr>
              <w:t>Common Stock, $0.00000002 par value</w:t>
            </w: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MEIP</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48"/>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8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6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February 7, 2025, the number of shares outstanding of the issuer’s common stock, $0.00000002 par value, was 6,662,857.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20" w:type="dxa"/>
            <w:vAlign w:val="bottom"/>
          </w:tcPr>
          <w:p>
            <w:pPr>
              <w:spacing w:after="0"/>
              <w:rPr>
                <w:sz w:val="17"/>
                <w:szCs w:val="17"/>
                <w:color w:val="auto"/>
              </w:rPr>
            </w:pPr>
          </w:p>
        </w:tc>
      </w:tr>
      <w:tr>
        <w:trPr>
          <w:trHeight w:val="682"/>
        </w:trPr>
        <w:tc>
          <w:tcPr>
            <w:tcW w:w="2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9"/>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MEI PHARMA, INC.</w:t>
            </w:r>
          </w:p>
        </w:tc>
        <w:tc>
          <w:tcPr>
            <w:tcW w:w="122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00" w:type="dxa"/>
            <w:vAlign w:val="bottom"/>
            <w:gridSpan w:val="9"/>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20" w:type="dxa"/>
            <w:vAlign w:val="bottom"/>
          </w:tcPr>
          <w:p>
            <w:pPr>
              <w:spacing w:after="0"/>
              <w:rPr>
                <w:sz w:val="24"/>
                <w:szCs w:val="24"/>
                <w:color w:val="auto"/>
              </w:rPr>
            </w:pPr>
          </w:p>
        </w:tc>
      </w:tr>
      <w:tr>
        <w:trPr>
          <w:trHeight w:val="648"/>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2024 and June 30, 2024 (Unaudited)</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December 31, 2024 and 2023</w:t>
            </w:r>
          </w:p>
        </w:tc>
        <w:tc>
          <w:tcPr>
            <w:tcW w:w="12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12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December 31, 2024 and</w:t>
            </w:r>
          </w:p>
        </w:tc>
        <w:tc>
          <w:tcPr>
            <w:tcW w:w="12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7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2023 (Unaudited)</w:t>
            </w:r>
          </w:p>
        </w:tc>
        <w:tc>
          <w:tcPr>
            <w:tcW w:w="12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December 31, 2024 and 2023 (Unaudited)</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80" w:type="dxa"/>
            <w:vAlign w:val="bottom"/>
            <w:gridSpan w:val="6"/>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3"/>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960" w:type="dxa"/>
            <w:vAlign w:val="bottom"/>
            <w:gridSpan w:val="1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420" w:type="dxa"/>
            <w:vAlign w:val="bottom"/>
            <w:gridSpan w:val="1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120" w:type="dxa"/>
            <w:vAlign w:val="bottom"/>
            <w:gridSpan w:val="1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1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560" w:type="dxa"/>
            <w:vAlign w:val="bottom"/>
            <w:gridSpan w:val="18"/>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r>
        <w:trPr>
          <w:trHeight w:val="884"/>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80" w:type="dxa"/>
            <w:vAlign w:val="bottom"/>
            <w:gridSpan w:val="15"/>
          </w:tcPr>
          <w:p>
            <w:pPr>
              <w:jc w:val="center"/>
              <w:ind w:left="363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63"/>
        </w:trPr>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(In thousands, except par value data)</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09"/>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31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2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18"/>
                <w:szCs w:val="18"/>
                <w:color w:val="auto"/>
              </w:rPr>
            </w:pPr>
          </w:p>
        </w:tc>
      </w:tr>
      <w:tr>
        <w:trPr>
          <w:trHeight w:val="249"/>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413"/>
        </w:trPr>
        <w:tc>
          <w:tcPr>
            <w:tcW w:w="718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18"/>
                <w:szCs w:val="18"/>
                <w:color w:val="auto"/>
              </w:rPr>
            </w:pPr>
          </w:p>
        </w:tc>
      </w:tr>
      <w:tr>
        <w:trPr>
          <w:trHeight w:val="209"/>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$0.01 par value; 100 shares authorized; none outstanding</w:t>
            </w: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$0.00000002 par value; 226,000 shares authorized; 6,663</w:t>
            </w: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December 31, 2024 and June 30, 2024.</w:t>
            </w:r>
          </w:p>
        </w:tc>
        <w:tc>
          <w:tcPr>
            <w:tcW w:w="1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12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(398,903 )</w:t>
            </w: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(388,219 )</w:t>
            </w:r>
          </w:p>
        </w:tc>
      </w:tr>
      <w:tr>
        <w:trPr>
          <w:trHeight w:val="209"/>
        </w:trPr>
        <w:tc>
          <w:tcPr>
            <w:tcW w:w="718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120" w:type="dxa"/>
            <w:vAlign w:val="bottom"/>
            <w:tcBorders>
              <w:top w:val="single" w:sz="8" w:color="CFF0FC"/>
            </w:tcBorders>
          </w:tcPr>
          <w:p>
            <w:pPr>
              <w:spacing w:after="0"/>
              <w:rPr>
                <w:sz w:val="18"/>
                <w:szCs w:val="18"/>
                <w:color w:val="auto"/>
              </w:rPr>
            </w:pPr>
          </w:p>
        </w:tc>
      </w:tr>
      <w:tr>
        <w:trPr>
          <w:trHeight w:val="250"/>
        </w:trPr>
        <w:tc>
          <w:tcPr>
            <w:tcW w:w="7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-2990850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-2990850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-2425065</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-2407920</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-2425065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-2407920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-1713865</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-1713865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-1422400</wp:posOffset>
            </wp:positionV>
            <wp:extent cx="60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-1422400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-316230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-316230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-24765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9"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60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20" w:type="dxa"/>
            <w:vAlign w:val="bottom"/>
          </w:tcPr>
          <w:p>
            <w:pPr>
              <w:spacing w:after="0"/>
              <w:rPr>
                <w:sz w:val="18"/>
                <w:szCs w:val="18"/>
                <w:color w:val="auto"/>
              </w:rPr>
            </w:pPr>
          </w:p>
        </w:tc>
        <w:tc>
          <w:tcPr>
            <w:tcW w:w="238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23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5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from customers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 from collaboration agreements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0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100" w:type="dxa"/>
            <w:vAlign w:val="bottom"/>
          </w:tcPr>
          <w:p>
            <w:pPr>
              <w:spacing w:after="0"/>
              <w:rPr>
                <w:sz w:val="18"/>
                <w:szCs w:val="18"/>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(3,451 )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(11,930 )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(11,803 )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43,351</w:t>
            </w:r>
          </w:p>
        </w:tc>
        <w:tc>
          <w:tcPr>
            <w:tcW w:w="100" w:type="dxa"/>
            <w:vAlign w:val="bottom"/>
            <w:shd w:val="clear" w:color="auto" w:fill="CFF0FC"/>
          </w:tcPr>
          <w:p>
            <w:pPr>
              <w:spacing w:after="0"/>
              <w:rPr>
                <w:sz w:val="18"/>
                <w:szCs w:val="18"/>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10"/>
        </w:trPr>
        <w:tc>
          <w:tcPr>
            <w:tcW w:w="50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Borders>
              <w:top w:val="single" w:sz="8" w:color="CFF0FC"/>
            </w:tcBorders>
          </w:tcPr>
          <w:p>
            <w:pPr>
              <w:spacing w:after="0"/>
              <w:rPr>
                <w:sz w:val="18"/>
                <w:szCs w:val="18"/>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(2,677 )</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(10,684 )</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 basic and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(0.40 )</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24"/>
                <w:szCs w:val="24"/>
                <w:color w:val="auto"/>
              </w:rPr>
            </w:pPr>
          </w:p>
        </w:tc>
      </w:tr>
      <w:tr>
        <w:trPr>
          <w:trHeight w:val="216"/>
        </w:trPr>
        <w:tc>
          <w:tcPr>
            <w:tcW w:w="5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per share - basic and diluted</w:t>
            </w: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-2553970</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-2553970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-2553970</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-2553970</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-1851025</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-1851025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-1851025</wp:posOffset>
            </wp:positionV>
            <wp:extent cx="60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-1851025</wp:posOffset>
            </wp:positionV>
            <wp:extent cx="60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-1559560</wp:posOffset>
            </wp:positionV>
            <wp:extent cx="59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-1559560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-1559560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-1559560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-1002665</wp:posOffset>
            </wp:positionV>
            <wp:extent cx="59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-1002665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-1002665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-710565</wp:posOffset>
            </wp:positionV>
            <wp:extent cx="596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-693420</wp:posOffset>
            </wp:positionV>
            <wp:extent cx="596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-710565</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-693420</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-710565</wp:posOffset>
            </wp:positionV>
            <wp:extent cx="60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-693420</wp:posOffset>
            </wp:positionV>
            <wp:extent cx="60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-710565</wp:posOffset>
            </wp:positionV>
            <wp:extent cx="603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484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20"/>
                <w:szCs w:val="20"/>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421,239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(388,219 )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33,020</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(8,007 )</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(8,007 )</w:t>
            </w: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(135 )</w:t>
            </w:r>
          </w:p>
        </w:tc>
      </w:tr>
      <w:tr>
        <w:trPr>
          <w:trHeight w:val="20"/>
        </w:trPr>
        <w:tc>
          <w:tcPr>
            <w:tcW w:w="48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(396,226 )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(2,677 )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(2,677 )</w:t>
            </w: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r>
      <w:tr>
        <w:trPr>
          <w:trHeight w:val="20"/>
        </w:trPr>
        <w:tc>
          <w:tcPr>
            <w:tcW w:w="4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(398,903 )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22,098</w:t>
            </w:r>
          </w:p>
        </w:tc>
        <w:tc>
          <w:tcPr>
            <w:tcW w:w="80" w:type="dxa"/>
            <w:vAlign w:val="bottom"/>
            <w:shd w:val="clear" w:color="auto" w:fill="CFF0FC"/>
          </w:tcPr>
          <w:p>
            <w:pPr>
              <w:spacing w:after="0"/>
              <w:rPr>
                <w:sz w:val="19"/>
                <w:szCs w:val="19"/>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-591185</wp:posOffset>
            </wp:positionV>
            <wp:extent cx="596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-591185</wp:posOffset>
            </wp:positionV>
            <wp:extent cx="60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-591185</wp:posOffset>
            </wp:positionV>
            <wp:extent cx="59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-591185</wp:posOffset>
            </wp:positionV>
            <wp:extent cx="596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596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596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9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840" w:type="dxa"/>
            <w:vAlign w:val="bottom"/>
          </w:tcPr>
          <w:p>
            <w:pPr>
              <w:spacing w:after="0"/>
              <w:rPr>
                <w:sz w:val="18"/>
                <w:szCs w:val="18"/>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484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20"/>
                <w:szCs w:val="20"/>
                <w:color w:val="auto"/>
              </w:rPr>
            </w:pPr>
          </w:p>
        </w:tc>
      </w:tr>
      <w:tr>
        <w:trPr>
          <w:trHeight w:val="209"/>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430,621</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(405,997 )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24,624</w:t>
            </w:r>
          </w:p>
        </w:tc>
        <w:tc>
          <w:tcPr>
            <w:tcW w:w="80" w:type="dxa"/>
            <w:vAlign w:val="bottom"/>
            <w:shd w:val="clear" w:color="auto" w:fill="CFF0FC"/>
          </w:tcPr>
          <w:p>
            <w:pPr>
              <w:spacing w:after="0"/>
              <w:rPr>
                <w:sz w:val="18"/>
                <w:szCs w:val="18"/>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56,374</w:t>
            </w:r>
          </w:p>
        </w:tc>
        <w:tc>
          <w:tcPr>
            <w:tcW w:w="80" w:type="dxa"/>
            <w:vAlign w:val="bottom"/>
          </w:tcPr>
          <w:p>
            <w:pPr>
              <w:spacing w:after="0"/>
              <w:rPr>
                <w:sz w:val="18"/>
                <w:szCs w:val="18"/>
                <w:color w:val="auto"/>
              </w:rPr>
            </w:pPr>
          </w:p>
        </w:tc>
      </w:tr>
      <w:tr>
        <w:trPr>
          <w:trHeight w:val="216"/>
        </w:trPr>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(349,623 )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81,361</w:t>
            </w:r>
          </w:p>
        </w:tc>
        <w:tc>
          <w:tcPr>
            <w:tcW w:w="80" w:type="dxa"/>
            <w:vAlign w:val="bottom"/>
          </w:tcPr>
          <w:p>
            <w:pPr>
              <w:spacing w:after="0"/>
              <w:rPr>
                <w:sz w:val="18"/>
                <w:szCs w:val="18"/>
                <w:color w:val="auto"/>
              </w:rPr>
            </w:pPr>
          </w:p>
        </w:tc>
      </w:tr>
      <w:tr>
        <w:trPr>
          <w:trHeight w:val="21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(11,063 )</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(11,063 )</w:t>
            </w: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declared ($1.75 per share)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(11,660 )</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(11,660 )</w:t>
            </w:r>
          </w:p>
        </w:tc>
      </w:tr>
      <w:tr>
        <w:trPr>
          <w:trHeight w:val="216"/>
        </w:trPr>
        <w:tc>
          <w:tcPr>
            <w:tcW w:w="4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420,174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(360,686 )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8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-728345</wp:posOffset>
            </wp:positionV>
            <wp:extent cx="59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-728345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-728345</wp:posOffset>
            </wp:positionV>
            <wp:extent cx="596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-170815</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596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-170815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9"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392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210"/>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(10,684 )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(238 )</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disposition of a non-financial asset</w:t>
            </w:r>
          </w:p>
        </w:tc>
        <w:tc>
          <w:tcPr>
            <w:tcW w:w="1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receivables</w:t>
            </w:r>
          </w:p>
        </w:tc>
        <w:tc>
          <w:tcPr>
            <w:tcW w:w="1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(2,572 )</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(4,756 )</w:t>
            </w: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(3,496 )</w:t>
            </w: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(6,816 )</w:t>
            </w:r>
          </w:p>
        </w:tc>
      </w:tr>
      <w:tr>
        <w:trPr>
          <w:trHeight w:val="216"/>
        </w:trPr>
        <w:tc>
          <w:tcPr>
            <w:tcW w:w="7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(64,862 )</w:t>
            </w:r>
          </w:p>
        </w:tc>
      </w:tr>
      <w:tr>
        <w:trPr>
          <w:trHeight w:val="216"/>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(15,116 )</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(29,546 )</w:t>
            </w:r>
          </w:p>
        </w:tc>
      </w:tr>
      <w:tr>
        <w:trPr>
          <w:trHeight w:val="209"/>
        </w:trPr>
        <w:tc>
          <w:tcPr>
            <w:tcW w:w="7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(33,938 )</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maturity of short-term investments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63,419</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disposition of a non-financial asset</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35,150</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cash dividend</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(11,660 )</w:t>
            </w:r>
          </w:p>
        </w:tc>
      </w:tr>
      <w:tr>
        <w:trPr>
          <w:trHeight w:val="20"/>
        </w:trPr>
        <w:tc>
          <w:tcPr>
            <w:tcW w:w="7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(11,660 )</w:t>
            </w:r>
          </w:p>
        </w:tc>
      </w:tr>
      <w:tr>
        <w:trPr>
          <w:trHeight w:val="20"/>
        </w:trPr>
        <w:tc>
          <w:tcPr>
            <w:tcW w:w="7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(11,732 )</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120" w:type="dxa"/>
            <w:vAlign w:val="bottom"/>
          </w:tcPr>
          <w:p>
            <w:pPr>
              <w:spacing w:after="0"/>
              <w:rPr>
                <w:sz w:val="18"/>
                <w:szCs w:val="18"/>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-2279650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-1019175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-1019175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-599440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-599440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MEI 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MEI Pharma, Inc. (Nasdaq: MEIP) is a pharmaceutical company that has been developing novel and differentiated cancer therapies. We built our pipeline by acquiring promising cancer agents and creating value in programs through development, strategic partnerships, and out-licensing or commercialization, as appropriate. Our approach to oncology drug development has been to evaluate our drug candidates in combinations with standard-of-care therapies to overcome known resistance mechanisms and address clear medical needs to provide improved patient benefit. Our pipeline includes voruciclib, an oral cyclin-dependent kinase 9 (CDK9) inhibitor, and prior to its sale, ME-344 as more fully discussed in </w:t>
      </w:r>
      <w:r>
        <w:rPr>
          <w:rFonts w:ascii="Times New Roman" w:cs="Times New Roman" w:eastAsia="Times New Roman" w:hAnsi="Times New Roman"/>
          <w:sz w:val="18"/>
          <w:szCs w:val="18"/>
          <w:i w:val="1"/>
          <w:iCs w:val="1"/>
          <w:u w:val="single" w:color="auto"/>
          <w:color w:val="0000FF"/>
        </w:rPr>
        <w:t>Note 12. Disposition of a Non-financial Asset</w:t>
      </w:r>
      <w:r>
        <w:rPr>
          <w:rFonts w:ascii="Times New Roman" w:cs="Times New Roman" w:eastAsia="Times New Roman" w:hAnsi="Times New Roman"/>
          <w:sz w:val="18"/>
          <w:szCs w:val="18"/>
          <w:color w:val="000000"/>
        </w:rPr>
        <w:t>, an intravenous small molecule mitochondrial inhibitor targeting the oxidative phosphorylation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5501005</wp:posOffset>
            </wp:positionH>
            <wp:positionV relativeFrom="paragraph">
              <wp:posOffset>-168910</wp:posOffset>
            </wp:positionV>
            <wp:extent cx="14027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02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6756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5640" cy="825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119"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7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former President and Chief Executive Officer, and Richard Ghalie, M.D., our former Chief Medical Officer, stepped down effective August 1, 2024. Mr. Urso also left the Board at that date. We have entered into consulting agreements with both Mr. Urso and Dr. Ghalie under which they will remain available to assist us in our strategic efforts. Charles V. Baltic III, the former Chairperson of the Board, also stepped down from the Board contemporaneously with the announcement on July 22, 2024. Our Board appointed Justin J. File, our Chief Financial Officer, to assume the position of Acting Chief Executive Officer and appointed Frederick W. Driscoll as our Chairperson of the Board.</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Interim Financial Information</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are unaudited. These interim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interim condensed financial statements do not include all of the information and notes required by U.S. GAAP for complete financial statements. In the opinion of management, the accompanying condensed interim consolidated financial statements reflect all adjustments (consisting of normal recurring adjustments) that are necessary for a fair statement of the financial position, results of operations and cash flows for the periods presented. These statements do not include all disclosures required by U.S. GAAP and should be read in conjunction with the Company’s audited consolidated financial statements and notes for the fiscal year ended June 30,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Consolidation Principles</w:t>
      </w:r>
    </w:p>
    <w:p>
      <w:pPr>
        <w:spacing w:after="0" w:line="11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MEI Pharma, Inc. and our wholly owned subsidiary, Meadow Merger Sub, Inc. We have eliminated all intercompany accounts and transactions in consolidation.</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for the quarterly and six month periods ended December 31, 2024 should be read in conjunction with the audited financial statements and notes thereto as of and for the fiscal year ended June 30, 2024, included in our Annual Report on Form 10-K filed with the Securities and Exchange Commission (SEC) on September 19, 2024 (2024 Annual Report). Interim results are not necessarily indicative of results for a full year.</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Subsequent Events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condensed consolidated financial statements were issued.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We have accumulated losses of $398.9 million since inception and expect to incur operating losses and generate negative cash flows from operations for the foreseeable future. As of December 31, 2024, we had $23.7 million in cash and cash equivalents. In connection with our July 2024 announcement regarding the evaluation of our strategic alternatives, we discontinued the clinical development of voruciclib, while certain nonclinical research and development activities continued. As a result, we continue to incur research and development expenses in connection with clinical trial closing costs and the completion of our nonclinical projects. We believe that our cash balance, will be sufficient to meet our obligations and fund operations for at least the next 12 months from the issuance of these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from those described in the notes to our audited consolidated financial statements contained in the 2024 Annual Report.</w:t>
      </w:r>
    </w:p>
    <w:p>
      <w:pPr>
        <w:spacing w:after="0" w:line="158"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19" w:lineRule="exact"/>
        <w:rPr>
          <w:sz w:val="20"/>
          <w:szCs w:val="20"/>
          <w:color w:val="auto"/>
        </w:rPr>
      </w:pPr>
    </w:p>
    <w:p>
      <w:pPr>
        <w:jc w:val="right"/>
        <w:ind w:right="950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of assets and liabilities and disclosure of contingent assets and liabilities at the date of the consolidated financial statements and the reported amounts of revenues and expenses during the reporting period. On an ongoing basis, we evaluate our estimates, including those related to the valuation of share-based awards, the discount rate used in estimating the present value of the right-of-use assets and lease liabilities, the useful lives of property and equipment, the recoverability of long-lived assets, clinical trial accruals, periods over which revenue should be recognized, relative stand-alone selling price, deferred income taxes and related valuation allowances, and the assessment of our ability to fund our operations for at least the next 12 months from the date of issuance of these condensed consolidated financial statements. We base our estimates on historical experience and other market-specific or other relevant assumptions that we believe to be reasonable under the circumstances. Estimates are assessed each reporting period and updated to reflect current information. As future events and their effects cannot be determined with precision, actual results may materially differ from those estimates or assumptions.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Short-term investments are marketable securities with maturities greater than three months but less than one year from date of purchase. As of December 31, 2024 we had no short-term investments. As of June 30, 2024, our short-term investments consisted of $34.6 million, in United States government securities. The short-term investments held as of June 30, 2024 were considered to be held to maturity and are carried at amortized cost. As of December 31, 2024, we had no unrealized gains and losses. As of June 30, 2024, gross unrealized gains and losses were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Revenues from Customers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we recognized revenue when control of the promised goods or services was transferred to our customers, in an amount that reflects the consideration we expected to be entitled to in exchange for those goods or services. For enforceable contracts with our customers, we first identified the distinct performance obligations – or accounting units – within the contract. Performance obligations are commitments in a contract to transfer a distinct good or service to the customer.</w:t>
      </w:r>
    </w:p>
    <w:p>
      <w:pPr>
        <w:spacing w:after="0" w:line="7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used judgment to evaluate whether the milestones were probable of being achieved, and we estimated the amount, if any, to include in the transaction price using the most likely method. If it were probable that a significant revenue reversal would not occur, the estimated amount was included in the transaction price. Milestone payments that were not within our or the licensee’s control, such as regulatory approvals, were not included in the transaction price until those approvals were received. At the end of each reporting period, we re-evaluated the probability of achievement of development milestones and any related constraint and, as necessary, we adjusted our estimate of the overall transaction price.</w:t>
      </w:r>
    </w:p>
    <w:p>
      <w:pPr>
        <w:spacing w:after="0" w:line="8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To the extent a contract included multiple promised deliverables, we applied judgment to determine whether promised deliverables were capable of being distinct and were distinct within the context of the contract. If these criteria were not met, the promised deliverables were accounted for as a combined performance obligation. For arrangements with multiple distinct performance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obligations, we allocated variable consideration related to our 50-50 cost share for development services directly to the associated performance obligation and then allocated the remaining consideration among the performance obligations based on their relative stand-alone selling price.</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When not directly observable, we typically estimated the stand-alone selling price for each distinct performance obligation. Variable consideration that related specifically to our efforts to satisfy specific performance obligations was allocated entirely to those performance obligations. Other components of the transaction price were allocated based on the relative stand-alone selling price, over which management has applied significant judgment. We developed assumptions that required judgment to determine the stand-alone selling price for license-related performance obligations, which may have included forecasted revenues, development timelines, reimbursement rates for personnel costs, discount rates and probabilities of technical, regulatory and commercial success. We estimated stand-alone selling price for research and development performance obligations by forecasting the expected costs of satisfying a performance obligation plus an appropriate margin.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case of a license that is a distinct performance obligation, we recognized revenue allocated to the license from non-refundable, up-front fees at the point in time when the license was transferred to the licensee and the licensee can use and benefit from the license. For licenses that are bundled with other distinct or combined obligations, we used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evaluated the measure of progress in each reporting period and, if necessary, adjusted the measure of performance and related revenue recognition.</w:t>
      </w:r>
    </w:p>
    <w:p>
      <w:pPr>
        <w:spacing w:after="0" w:line="7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selection of the method to measure progress towards completion requires judgment and is based on the nature of the products or services to be provided. Revenue is recorded proportionally as costs are incurred. We generally used the cost-to-cost measure of progress because it best depicted the transfer of control to the customer which occurred as we incurred costs. Under the cost-to-cost measure of progress, the extent of progress towards completion was measured based on the ratio of costs incurred to date to the total estimated costs at completion of the performance obligation (an input method under Topic 606). We used judgment to estimate the total cost expected to complete the research and development performance obligations, which included subcontractors’ costs, labor, materials, other direct costs and an allocation of indirect costs. We evaluated these cost estimates and the progress each reporting period and, as necessary, we adjusted the measure of progress and related revenue recognition.</w:t>
      </w:r>
    </w:p>
    <w:p>
      <w:pPr>
        <w:spacing w:after="0" w:line="81" w:lineRule="exact"/>
        <w:rPr>
          <w:sz w:val="20"/>
          <w:szCs w:val="20"/>
          <w:color w:val="auto"/>
        </w:rPr>
      </w:pPr>
    </w:p>
    <w:p>
      <w:pPr>
        <w:ind w:right="80" w:firstLine="554"/>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now terminated, April 2020 License, Development and Commercialization Agreement with Kyowa Kirin Co., Ltd. (KKC) (the KKC Commercialization Agreement) described in </w:t>
      </w:r>
      <w:r>
        <w:rPr>
          <w:rFonts w:ascii="Times New Roman" w:cs="Times New Roman" w:eastAsia="Times New Roman" w:hAnsi="Times New Roman"/>
          <w:sz w:val="18"/>
          <w:szCs w:val="18"/>
          <w:i w:val="1"/>
          <w:iCs w:val="1"/>
          <w:u w:val="single" w:color="auto"/>
          <w:color w:val="0000FF"/>
        </w:rPr>
        <w:t>Note 7. License Agreements,</w:t>
      </w:r>
      <w:r>
        <w:rPr>
          <w:rFonts w:ascii="Times New Roman" w:cs="Times New Roman" w:eastAsia="Times New Roman" w:hAnsi="Times New Roman"/>
          <w:sz w:val="18"/>
          <w:szCs w:val="18"/>
          <w:color w:val="auto"/>
        </w:rPr>
        <w:t xml:space="preserve"> we performed development services related to our 50-50 cost sharing arrangement for which revenue was recognized over time. Additionally, we performed services for KKC at their request, the costs of which were fully reimbursed to us. We recorded the reimbursement for such pass through services as revenue at 100% of reimbursed costs, as control of the additional services for KKC was transferred at the time we incurred such costs. The costs of these services were recognized in the condensed consolidated statements of operations as research and development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-580390</wp:posOffset>
            </wp:positionV>
            <wp:extent cx="13042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4290" cy="8890"/>
                    </a:xfrm>
                    <a:prstGeom prst="rect">
                      <a:avLst/>
                    </a:prstGeom>
                    <a:noFill/>
                  </pic:spPr>
                </pic:pic>
              </a:graphicData>
            </a:graphic>
          </wp:anchor>
        </w:drawing>
      </w:r>
    </w:p>
    <w:p>
      <w:pPr>
        <w:spacing w:after="0" w:line="5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December 31, 2024 and the three months ended December 31, 2023, we did not recognize any revenue associated with the KKC Commercialization Agreement. During the six months ended December 31, 2023, we recognized revenue associated with the KKC Commercialization Agreement as follows (in thousands):</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9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0D0D0D"/>
              </w:rPr>
              <w:t>Services performed over time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r>
      <w:tr>
        <w:trPr>
          <w:trHeight w:val="216"/>
        </w:trPr>
        <w:tc>
          <w:tcPr>
            <w:tcW w:w="8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0D0D0D"/>
              </w:rPr>
              <w:t>Pass through services at a point in time</w:t>
            </w:r>
          </w:p>
        </w:tc>
        <w:tc>
          <w:tcPr>
            <w:tcW w:w="9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were included in deferred revenue and deferred revenue, long-term in our condensed consolidated balance sheets. Our contract liabilities accounted for under Topic 606 related to the amount of initial upfront consideration allocated to the development services performance obligations.</w:t>
      </w:r>
    </w:p>
    <w:p>
      <w:pPr>
        <w:spacing w:after="0" w:line="6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2024, we had no accounts receivable, unbilled receivable balances or contract liabilities. A reconciliation of the beginning and ending amount of contract liabilities as of June 30, 2024, which was primarily related to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combined performance obligation for the transfer of development services under the KKC Commercialization Agreement and was a separate performance obligation in our contracts pursuant to research plans under the agreements, was as follows: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Recognized as revenue:</w:t>
            </w:r>
          </w:p>
        </w:tc>
        <w:tc>
          <w:tcPr>
            <w:tcW w:w="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upon satisfaction of performance obligations</w:t>
            </w: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(317 )</w:t>
            </w:r>
          </w:p>
        </w:tc>
      </w:tr>
      <w:tr>
        <w:trPr>
          <w:trHeight w:val="249"/>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78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invoicing and cash collections results in billed accounts receivable and unbilled receivables (contract assets) and deferred revenue (contract liabilities). We invoiced our customers in accordance with agreed-upon contractual terms, typically at periodic intervals or upon achievement of contractual milestones. Invoicing may have occurred subsequent to revenue recognition, resulting in unbilled receivables. Advanced payments from our customers before revenue was recognized resulted in contract liabilities.</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 from Collaborators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At contract inception, we assessed whether the collaboration arrangements were within the scope of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808)</w:t>
      </w:r>
      <w:r>
        <w:rPr>
          <w:rFonts w:ascii="Times New Roman" w:cs="Times New Roman" w:eastAsia="Times New Roman" w:hAnsi="Times New Roman"/>
          <w:sz w:val="18"/>
          <w:szCs w:val="18"/>
          <w:color w:val="auto"/>
        </w:rPr>
        <w:t>, to determine whether such arrangements involved joint operating activities performed by parties that were both active participants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and exposed to significant risks and rewards dependent on the commercial success of such activities. This assessment was performed based on the responsibilities of all parties in the arrangement. For collaboration arrangements within the scope of Topic 808 that contain multiple units of account, we first determined which units of account within the arrangement were within the scope of Topic 808 and which elements were within the scope of Topic</w:t>
      </w:r>
    </w:p>
    <w:p>
      <w:pPr>
        <w:spacing w:after="0" w:line="1" w:lineRule="exact"/>
        <w:rPr>
          <w:sz w:val="20"/>
          <w:szCs w:val="20"/>
          <w:color w:val="auto"/>
        </w:rPr>
      </w:pPr>
    </w:p>
    <w:p>
      <w:pPr>
        <w:ind w:right="20" w:firstLine="8"/>
        <w:spacing w:after="0" w:line="253" w:lineRule="auto"/>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units of account within collaboration arrangements that were accounted for pursuant to Topic 808, an appropriate recognition method was determined and applied consistently, by analogy to authoritative accounting literature. For elements of collaboration arrangements that were accounted for pursuant to Topic 606, we recognized revenue as discussed above. Consideration received that did not meet the requirements to satisfy Topic 606 revenue recognition criteria was recorded as deferred revenue and classified as either current or long-term deferred revenue based on our best estimate of when such amounts would be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Non-Financial Assets</w:t>
      </w:r>
    </w:p>
    <w:p>
      <w:pPr>
        <w:spacing w:after="0" w:line="119"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infrequent dispositions of assets in its product pipeline in accordance with ASC 610-20, </w:t>
      </w:r>
      <w:r>
        <w:rPr>
          <w:rFonts w:ascii="Times New Roman" w:cs="Times New Roman" w:eastAsia="Times New Roman" w:hAnsi="Times New Roman"/>
          <w:sz w:val="18"/>
          <w:szCs w:val="18"/>
          <w:i w:val="1"/>
          <w:iCs w:val="1"/>
          <w:color w:val="auto"/>
        </w:rPr>
        <w:t>Other Income - Gains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from the Derecognition of Nonfinancial Assets</w:t>
      </w:r>
      <w:r>
        <w:rPr>
          <w:rFonts w:ascii="Times New Roman" w:cs="Times New Roman" w:eastAsia="Times New Roman" w:hAnsi="Times New Roman"/>
          <w:sz w:val="18"/>
          <w:szCs w:val="18"/>
          <w:color w:val="auto"/>
        </w:rPr>
        <w:t>, which requires dispositions of long-lived assets that are not a discontinued operation be accounted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on a net basis and included in income from continuing operations before income taxes in accordance with ASC 350, </w:t>
      </w:r>
      <w:r>
        <w:rPr>
          <w:rFonts w:ascii="Times New Roman" w:cs="Times New Roman" w:eastAsia="Times New Roman" w:hAnsi="Times New Roman"/>
          <w:sz w:val="18"/>
          <w:szCs w:val="18"/>
          <w:i w:val="1"/>
          <w:iCs w:val="1"/>
          <w:color w:val="auto"/>
        </w:rPr>
        <w:t>Intangible Assets - 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Proceeds from sales designated as dispositions of non-financial assets are classified as cash flows from investing activities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Basic and diluted net (loss) income per share is computed using the weighted-average number of shares of common stock outstanding during the period, less any shares subject to repurchase or forfeiture. There were no shares of common stock subject to repurchase or forfeiture for the three and six months ended December 31, 2024 and 2023. Diluted net (loss) income per share is computed based on the sum of the weighted-average number of common shares and potentially dilutive common shares outstanding during the period determined using the treasury-stock and if-converted methods.</w:t>
      </w:r>
    </w:p>
    <w:p>
      <w:pPr>
        <w:spacing w:after="0" w:line="72" w:lineRule="exact"/>
        <w:rPr>
          <w:sz w:val="20"/>
          <w:szCs w:val="20"/>
          <w:color w:val="auto"/>
        </w:rPr>
      </w:pPr>
    </w:p>
    <w:p>
      <w:pPr>
        <w:ind w:right="200" w:firstLine="554"/>
        <w:spacing w:after="0" w:line="261" w:lineRule="auto"/>
        <w:rPr>
          <w:sz w:val="20"/>
          <w:szCs w:val="20"/>
          <w:color w:val="auto"/>
        </w:rPr>
      </w:pPr>
      <w:r>
        <w:rPr>
          <w:rFonts w:ascii="Times New Roman" w:cs="Times New Roman" w:eastAsia="Times New Roman" w:hAnsi="Times New Roman"/>
          <w:sz w:val="18"/>
          <w:szCs w:val="18"/>
          <w:color w:val="auto"/>
        </w:rPr>
        <w:t>For purposes of the diluted net (loss) income per share calculation for the three and six months ended December 31, 2024 and 2023, potentially dilutive securities are excluded from the calculation of diluted net (loss) income per share because their weighted-average exercise prices were above our weighted-average share price as of December 31, 2024 and 2023, respectively, therefore, basic and diluted net (loss) income per share were the same for the three and six months ended December 31, 2024 and 2023.</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potentially dilutive shares that have been excluded from the calculation of net (loss) income per share because of their anti-dilutive effect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18"/>
                <w:szCs w:val="18"/>
                <w:color w:val="auto"/>
              </w:rPr>
            </w:pPr>
          </w:p>
        </w:tc>
        <w:tc>
          <w:tcPr>
            <w:tcW w:w="24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86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anti-dilutive shares</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-933450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-1079500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-916305</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-1079500</wp:posOffset>
            </wp:positionV>
            <wp:extent cx="603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-1079500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are adopted as of the specified effective date. The Company believes the impact of recently issued standards and any issued but not yet effective standards will not have a material impact on its condensed consolidated financial statements upon adoption.</w:t>
      </w:r>
    </w:p>
    <w:p>
      <w:pPr>
        <w:spacing w:after="0" w:line="68" w:lineRule="exact"/>
        <w:rPr>
          <w:sz w:val="20"/>
          <w:szCs w:val="20"/>
          <w:color w:val="auto"/>
        </w:rPr>
      </w:pPr>
    </w:p>
    <w:p>
      <w:pPr>
        <w:ind w:right="60" w:firstLine="554"/>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This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We expect this ASU to only impact our disclosures with no impact to our results of operations, cash flows, and financial condition.</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 to our results of operations, cash flows, and financial condition.</w:t>
      </w:r>
    </w:p>
    <w:p>
      <w:pPr>
        <w:spacing w:after="0" w:line="7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The amendments in this update require disclosure, in the notes to the financial statements, of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present within expense captions presented on the face of the statement of operations within continuing operations of PBEs. The amendments in this update are effective for annual periods beginning after December 15, 2026 and interim periods beginning after December 15, 2027. Early adoption is permitted. The amendments should be applied either prospectively to financial statements issued for reporting periods after the effective date of this ASU or retrospectively to any and all prior periods presented in the financial statements. The impact of adoption of this ASU on the Company’s disclosures is currently being evaluated.</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The amendment in this update clarifies the effective date of ASU 2024-03, which is that PBEs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adopt the guidance in annual reporting periods beginning after December 15, 2026 and in interim periods within annual reporting periods beginning after December 15, 2027. The impact of adoption of this ASU on the Company’s disclosures is currently being evaluated.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and Other Current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4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27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costs</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7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34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00" w:type="dxa"/>
            <w:vAlign w:val="bottom"/>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-1113790</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-1113790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had no property and equipment. Property and equipment consisted of the following as of June 30, 2024, in thousands:</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r>
      <w:tr>
        <w:trPr>
          <w:trHeight w:val="216"/>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00" w:type="dxa"/>
            <w:vAlign w:val="bottom"/>
          </w:tcPr>
          <w:p>
            <w:pPr>
              <w:spacing w:after="0"/>
              <w:rPr>
                <w:sz w:val="18"/>
                <w:szCs w:val="18"/>
                <w:color w:val="auto"/>
              </w:rPr>
            </w:pPr>
          </w:p>
        </w:tc>
      </w:tr>
      <w:tr>
        <w:trPr>
          <w:trHeight w:val="216"/>
        </w:trPr>
        <w:tc>
          <w:tcPr>
            <w:tcW w:w="83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(1,764 )</w:t>
            </w:r>
          </w:p>
        </w:tc>
      </w:tr>
      <w:tr>
        <w:trPr>
          <w:trHeight w:val="209"/>
        </w:trPr>
        <w:tc>
          <w:tcPr>
            <w:tcW w:w="830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FF0FC"/>
            </w:tcBorders>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-454025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680" w:hanging="163"/>
        <w:spacing w:after="0"/>
        <w:tabs>
          <w:tab w:leader="none" w:pos="68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Includes impairment charge of $0.5 million, see below discussion on </w:t>
      </w:r>
      <w:r>
        <w:rPr>
          <w:rFonts w:ascii="Times New Roman" w:cs="Times New Roman" w:eastAsia="Times New Roman" w:hAnsi="Times New Roman"/>
          <w:sz w:val="14"/>
          <w:szCs w:val="14"/>
          <w:i w:val="1"/>
          <w:iCs w:val="1"/>
          <w:color w:val="auto"/>
        </w:rPr>
        <w:t>Impact of the Agreement</w:t>
      </w:r>
      <w:r>
        <w:rPr>
          <w:rFonts w:ascii="Times New Roman" w:cs="Times New Roman" w:eastAsia="Times New Roman" w:hAnsi="Times New Roman"/>
          <w:sz w:val="14"/>
          <w:szCs w:val="14"/>
          <w:color w:val="auto"/>
        </w:rPr>
        <w:t xml:space="preserve"> (as discussed in </w:t>
      </w:r>
      <w:r>
        <w:rPr>
          <w:rFonts w:ascii="Times New Roman" w:cs="Times New Roman" w:eastAsia="Times New Roman" w:hAnsi="Times New Roman"/>
          <w:sz w:val="14"/>
          <w:szCs w:val="14"/>
          <w:i w:val="1"/>
          <w:iCs w:val="1"/>
          <w:u w:val="single" w:color="auto"/>
          <w:color w:val="0000FF"/>
        </w:rPr>
        <w:t>Note 9. Leases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-21590</wp:posOffset>
            </wp:positionV>
            <wp:extent cx="602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2615" cy="8255"/>
                    </a:xfrm>
                    <a:prstGeom prst="rect">
                      <a:avLst/>
                    </a:prstGeom>
                    <a:noFill/>
                  </pic:spPr>
                </pic:pic>
              </a:graphicData>
            </a:graphic>
          </wp:anchor>
        </w:drawing>
      </w:r>
    </w:p>
    <w:p>
      <w:pPr>
        <w:spacing w:after="0" w:line="1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of property and equipment for the six months ended December 31, 2024 and 2023 are presented in the condensed consolidated statements of cash flows. During the three months ended December 31, 2024, we did not record depreciation expense. During the three months ended December 31, 2023, depreciation expense was approximately $0.1 million.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Impact of the Agreement (as discussed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-6350</wp:posOffset>
            </wp:positionV>
            <wp:extent cx="6692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9290" cy="8890"/>
                    </a:xfrm>
                    <a:prstGeom prst="rect">
                      <a:avLst/>
                    </a:prstGeom>
                    <a:noFill/>
                  </pic:spPr>
                </pic:pic>
              </a:graphicData>
            </a:graphic>
          </wp:anchor>
        </w:drawing>
      </w:r>
    </w:p>
    <w:p>
      <w:pPr>
        <w:spacing w:after="0" w:line="9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xml:space="preserve">, we agreed to sell our furniture and fixtures to the landlord for $1.00 on our lease termination date of September 30, 2024. We completed an evaluation of the impact of the Agreement, as defined in </w:t>
      </w:r>
      <w:r>
        <w:rPr>
          <w:rFonts w:ascii="Times New Roman" w:cs="Times New Roman" w:eastAsia="Times New Roman" w:hAnsi="Times New Roman"/>
          <w:sz w:val="18"/>
          <w:szCs w:val="18"/>
          <w:i w:val="1"/>
          <w:iCs w:val="1"/>
          <w:u w:val="single" w:color="auto"/>
          <w:color w:val="0000FF"/>
        </w:rPr>
        <w:t>Note 9. Leases</w:t>
      </w:r>
      <w:r>
        <w:rPr>
          <w:rFonts w:ascii="Times New Roman" w:cs="Times New Roman" w:eastAsia="Times New Roman" w:hAnsi="Times New Roman"/>
          <w:sz w:val="18"/>
          <w:szCs w:val="18"/>
          <w:color w:val="auto"/>
        </w:rPr>
        <w:t>, on the carrying value of our property and equipment (Other Long-Lived Assets). This process included evaluating the remaining estimated useful lives, significant changes in the use and potential impairment charges related to the Other Long-Lived Assets. Based upon our evaluation, we recorded an impairment charge during our fiscal year ended June 30, 2024 of approximately $0.5 million for the furniture and fixtures sold to the landlord on September 30, 2024, which was included in the impairment of long-lived assets in the condensed consolidated statements of operations for the fiscal year ended June 30, 2024. We also changed our estimate of the remaining useful lives of our leasehold improvements resulting in an acceleration of depreciation of approximately $0.1 million during our fiscal year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-856615</wp:posOffset>
            </wp:positionV>
            <wp:extent cx="6692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9290" cy="8255"/>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-719455</wp:posOffset>
            </wp:positionV>
            <wp:extent cx="669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929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3"/>
        </w:trPr>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r>
      <w:tr>
        <w:trPr>
          <w:trHeight w:val="209"/>
        </w:trPr>
        <w:tc>
          <w:tcPr>
            <w:tcW w:w="60" w:type="dxa"/>
            <w:vAlign w:val="bottom"/>
          </w:tcPr>
          <w:p>
            <w:pPr>
              <w:spacing w:after="0"/>
              <w:rPr>
                <w:sz w:val="18"/>
                <w:szCs w:val="18"/>
                <w:color w:val="auto"/>
              </w:rPr>
            </w:pPr>
          </w:p>
        </w:tc>
        <w:tc>
          <w:tcPr>
            <w:tcW w:w="66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Accrued compensation and benefits </w:t>
            </w:r>
            <w:r>
              <w:rPr>
                <w:rFonts w:ascii="Times New Roman" w:cs="Times New Roman" w:eastAsia="Times New Roman" w:hAnsi="Times New Roman"/>
                <w:sz w:val="24"/>
                <w:szCs w:val="24"/>
                <w:color w:val="auto"/>
                <w:vertAlign w:val="superscript"/>
              </w:rPr>
              <w:t>(1)</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pre-clinical and clinical trial expenses</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Accrued reimbursement to KKC</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left="740" w:right="480" w:hanging="223"/>
        <w:spacing w:after="0" w:line="239" w:lineRule="auto"/>
        <w:tabs>
          <w:tab w:leader="none" w:pos="682" w:val="left"/>
        </w:tabs>
        <w:numPr>
          <w:ilvl w:val="1"/>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Includes employee termination benefits of approximately $1.3 million and $21,000 as of December 31, 2024 and June 30, 2024, respectively, as more fully described in </w:t>
      </w:r>
      <w:r>
        <w:rPr>
          <w:rFonts w:ascii="Times New Roman" w:cs="Times New Roman" w:eastAsia="Times New Roman" w:hAnsi="Times New Roman"/>
          <w:sz w:val="15"/>
          <w:szCs w:val="15"/>
          <w:i w:val="1"/>
          <w:iCs w:val="1"/>
          <w:u w:val="single" w:color="auto"/>
          <w:color w:val="0000FF"/>
        </w:rPr>
        <w:t>Note 5. Employee Termination Benefits</w:t>
      </w:r>
      <w:r>
        <w:rPr>
          <w:rFonts w:ascii="Times New Roman" w:cs="Times New Roman" w:eastAsia="Times New Roman" w:hAnsi="Times New Roman"/>
          <w:sz w:val="15"/>
          <w:szCs w:val="15"/>
          <w:color w:val="auto"/>
        </w:rPr>
        <w:t>.</w:t>
      </w:r>
    </w:p>
    <w:p>
      <w:pPr>
        <w:spacing w:after="0" w:line="200"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-279400</wp:posOffset>
            </wp:positionV>
            <wp:extent cx="16198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0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 As of December 31, 2024 and June 30, 2024, we had no assets or liabilities measured on a recurring or non-recurring basis.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Termination Benefits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our joint decision to discontinue development of zandelisib outside of Japan in December 2022, we announced a realignment of our clinical development efforts that streamlined our organization towards the continued clinical development of our two earlier clinical-stage assets, voruciclib and ME-344. As a result, our Board approved a staggered workforce reduction (the 2023 RIF), which was completed during fiscal year 2024.</w:t>
      </w:r>
    </w:p>
    <w:p>
      <w:pPr>
        <w:spacing w:after="0" w:line="66"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August 2024, we commenced the Strategic Alternatives RIF, as discussed in our strategic alternatives announcement described in </w:t>
      </w:r>
      <w:r>
        <w:rPr>
          <w:rFonts w:ascii="Times New Roman" w:cs="Times New Roman" w:eastAsia="Times New Roman" w:hAnsi="Times New Roman"/>
          <w:sz w:val="18"/>
          <w:szCs w:val="18"/>
          <w:i w:val="1"/>
          <w:iCs w:val="1"/>
          <w:u w:val="single" w:color="auto"/>
          <w:color w:val="0000FF"/>
        </w:rPr>
        <w:t>Note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Description of Business and Basis of Presentation</w:t>
      </w:r>
      <w:r>
        <w:rPr>
          <w:rFonts w:ascii="Times New Roman" w:cs="Times New Roman" w:eastAsia="Times New Roman" w:hAnsi="Times New Roman"/>
          <w:sz w:val="18"/>
          <w:szCs w:val="18"/>
          <w:color w:val="000000"/>
        </w:rPr>
        <w:t>. Including contractual pro-rata fiscal year 2025 bonuses, we expect to incur charges not to exceed a total</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of $6.5 million in retention, severance and COBRA costs related to the termination of our employees due to our related wind down activities. The charges that we expect to incur in connection with the Strategic Alternatives RIF are subject to a number of assumptions, and actual results may differ materially. We may also incur additional costs not currently contemplated due to events that may occur as a result of, or that are associated with, the Strategic Alternatives RIF.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-719455</wp:posOffset>
            </wp:positionV>
            <wp:extent cx="3587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8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22910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5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2024, we recorded employee termination benefits of $0.3 million and $0.9 million within research and development and general and administrative expense, respectively. For the three months ended December 31, 2023, we recorded employee termination benefits of $0.1 million and $0.2 million within research and development expense and general and administrative expense, respectively.</w:t>
      </w:r>
    </w:p>
    <w:p>
      <w:pPr>
        <w:spacing w:after="0" w:line="68" w:lineRule="exact"/>
        <w:rPr>
          <w:sz w:val="20"/>
          <w:szCs w:val="20"/>
          <w:color w:val="auto"/>
        </w:rPr>
      </w:pPr>
    </w:p>
    <w:p>
      <w:pPr>
        <w:jc w:val="both"/>
        <w:ind w:right="400" w:firstLine="509"/>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2024, we recorded employee termination benefits of $1.6 million and $2.7 million within research and development and general and administrative expense, respectively. For the six months ended December 31, 2023, we recorded employee termination benefits of $0.2 million in both research and development expense and general and administrative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activity related to employee benefits included in accrued liabilities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20" w:type="dxa"/>
            <w:vAlign w:val="bottom"/>
          </w:tcPr>
          <w:p>
            <w:pPr>
              <w:spacing w:after="0"/>
              <w:rPr>
                <w:sz w:val="20"/>
                <w:szCs w:val="20"/>
                <w:color w:val="auto"/>
              </w:rPr>
            </w:pPr>
          </w:p>
        </w:tc>
        <w:tc>
          <w:tcPr>
            <w:tcW w:w="266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20"/>
                <w:szCs w:val="20"/>
                <w:color w:val="auto"/>
              </w:rPr>
            </w:pPr>
          </w:p>
        </w:tc>
        <w:tc>
          <w:tcPr>
            <w:tcW w:w="2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tcPr>
          <w:p>
            <w:pPr>
              <w:spacing w:after="0"/>
              <w:rPr>
                <w:sz w:val="18"/>
                <w:szCs w:val="18"/>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in accrued restructuring</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Pr>
          <w:p>
            <w:pPr>
              <w:spacing w:after="0"/>
              <w:rPr>
                <w:sz w:val="18"/>
                <w:szCs w:val="18"/>
                <w:color w:val="auto"/>
              </w:rPr>
            </w:pPr>
          </w:p>
        </w:tc>
        <w:tc>
          <w:tcPr>
            <w:tcW w:w="26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(3,069 )</w:t>
            </w:r>
          </w:p>
        </w:tc>
        <w:tc>
          <w:tcPr>
            <w:tcW w:w="40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(1,528 )</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have contracted with various consultants and third parties to assist us in pre-clinical research and development and clinical trials work for our leading drug compounds and general and administrative activities. The contracts are terminable at any time but obligate us to reimburse the providers for any time or costs incurred through the date of termination. See the discussion of the sale of ME-344 within </w:t>
      </w:r>
      <w:r>
        <w:rPr>
          <w:rFonts w:ascii="Times New Roman" w:cs="Times New Roman" w:eastAsia="Times New Roman" w:hAnsi="Times New Roman"/>
          <w:sz w:val="18"/>
          <w:szCs w:val="18"/>
          <w:i w:val="1"/>
          <w:iCs w:val="1"/>
          <w:u w:val="single" w:color="auto"/>
          <w:color w:val="0000FF"/>
        </w:rPr>
        <w:t>Note 12. Disposition of a Non-financial Asset</w:t>
      </w:r>
      <w:r>
        <w:rPr>
          <w:rFonts w:ascii="Times New Roman" w:cs="Times New Roman" w:eastAsia="Times New Roman" w:hAnsi="Times New Roman"/>
          <w:sz w:val="18"/>
          <w:szCs w:val="18"/>
          <w:color w:val="auto"/>
        </w:rPr>
        <w:t xml:space="preserve"> for additional information regarding contracts associated with ME-344 assumed by the Purchaser (as defined in </w:t>
      </w:r>
      <w:r>
        <w:rPr>
          <w:rFonts w:ascii="Times New Roman" w:cs="Times New Roman" w:eastAsia="Times New Roman" w:hAnsi="Times New Roman"/>
          <w:sz w:val="18"/>
          <w:szCs w:val="18"/>
          <w:i w:val="1"/>
          <w:iCs w:val="1"/>
          <w:u w:val="single" w:color="auto"/>
          <w:color w:val="0000FF"/>
        </w:rPr>
        <w:t>Note 12. Disposition of a Non-financial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Asset</w:t>
      </w:r>
      <w:r>
        <w:rPr>
          <w:rFonts w:ascii="Times New Roman" w:cs="Times New Roman" w:eastAsia="Times New Roman" w:hAnsi="Times New Roman"/>
          <w:sz w:val="18"/>
          <w:szCs w:val="18"/>
          <w:color w:val="000000"/>
        </w:rPr>
        <w:t>). We also have an employment agreement with our acting chief executive officer and chief financial officer that provides for severance payments 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accelerated vesting for share-based awards if their employment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-443230</wp:posOffset>
            </wp:positionV>
            <wp:extent cx="20789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78990" cy="889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-306070</wp:posOffset>
            </wp:positionV>
            <wp:extent cx="1837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376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2413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1300" cy="8255"/>
                    </a:xfrm>
                    <a:prstGeom prst="rect">
                      <a:avLst/>
                    </a:prstGeom>
                    <a:noFill/>
                  </pic:spPr>
                </pic:pic>
              </a:graphicData>
            </a:graphic>
          </wp:anchor>
        </w:drawing>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lawsuits, legal proceedings, or claims that arise in the ordinary course of business. Management believes there are no claims or actions pending against us as of December 31, 2024,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our business.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sixth amended and restated bylaws, we have indemnification obligations to our officers and directors for certain events or occurrences, subject to certain limits, while they are serving in such capacity. There have been no claims to date, and we have a directors and officers liability insurance policy that may enable it to recover a portion of any amounts paid for future claims.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7"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u w:val="single" w:color="auto"/>
          <w:color w:val="0000FF"/>
        </w:rPr>
        <w:t>Note 8. Other License Agreements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are party to a license agreement with Presage Biosciences, Inc. (Presage) under which we may be required to make future payments upon the achievement of certain development, regulatory and commercial milestones, as well as potential future royalties based upon net sales. As of December 31, 2024, we had no accruals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-447040</wp:posOffset>
            </wp:positionV>
            <wp:extent cx="15703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Kyowa Kirin Co., Ltd. License, Development and Commercialization Agreement</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nonrefundable payment of $100.0 million.</w:t>
      </w:r>
    </w:p>
    <w:p>
      <w:pPr>
        <w:spacing w:after="0" w:line="84"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231F20"/>
        </w:rPr>
        <w:t xml:space="preserve">In July 2023, we entered into a termination agreement with KKC to mutually terminate the KKC Commercialization Agreement and all other related agreements between the parties (Termination Agreement) and jointly decided to discontinue zandelisib development in the U.S. </w:t>
      </w:r>
      <w:r>
        <w:rPr>
          <w:rFonts w:ascii="Times New Roman" w:cs="Times New Roman" w:eastAsia="Times New Roman" w:hAnsi="Times New Roman"/>
          <w:sz w:val="17"/>
          <w:szCs w:val="17"/>
          <w:color w:val="000000"/>
        </w:rPr>
        <w:t>Prior to the execution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fiscal year 2023, we updated our assessment of the total transaction price from the KKC Commercialization Agreement to reflect the upfront payment, milestone payments, estimated development cost-sharing, and deferred revenue. After announcing our plan to discontinue the global development of zandelisib outside of Japan, in December 2022, we decreased our estimate for variable consideration related to development cost sharing.</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With the execution of the Termination Agreement, we regained full, global rights (subject to KKC's limited rights for compassionate use) and KKC has no further rights to develop, use or commercialize zandelisib in the U.S., nor do we have any remaining performance obligations with all consideration received from KKC being nonrefundable. Therefore, the remaining long-term deferred revenue as of June 30, 2023, of $64.5 million that was allocated to the U.S. License obligation accounted for under Topic 808 at inception of the KKC Commercialization Agreement was recognized as revenue from collaboration agreements in the three months ended September 30, 2023, utilizing contract termination analogous to guidance provided in Topic 606.</w:t>
      </w:r>
    </w:p>
    <w:p>
      <w:pPr>
        <w:spacing w:after="0" w:line="7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$64.5 million transaction price allocated to the U.S. License obligation accounted for under Topic 808 was included as noncurrent deferred revenue as of June 30, 2023. As of June 30, 2023, we also had deferred revenue of approximately $0.3 million related to the transaction price allocated to the Development Services performance obligations and recognized the remaining revenue based on the proportional performance of these development activities. The KKC Agreement was terminated on July 14, 2023 and all remaining amounts of deferred revenue were recognized during the fiscal year ended June 30,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License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Presage License Agreement</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September 2017, we, as licensee, entered into a license agreement with Presage. Under the terms of the license agreement, Presage granted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$179.0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three and six months ended December 31, 2024 and 2023, we made no payments under the Presage license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BeiGene Collaboration</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zandelisib and BeiGene retained full commercial rights for zanubrutinib. With the discontinuation of the zandelisib program outside of Japan, this clinical collaboration was terminated on September 28, 2023. The Company did not recognize any cost reimbursement reductions within research and development during the three and six months ended December 31, 2024 and three months ended December 31, 2023. Cost reimbursements recorded as a reduction of research and development costs, in the condensed consolidated statements of operations, during the six months ended December 31, 2023 were approximately $0.1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a lease agreement for approximately 32,800 square feet of office space in San Diego, California. The lease agreement was scheduled to expire in March 2028. We accounted for the lease agreement as an operating lease. The lease agreement contained an option to renew and extend the lease term, which was not included in the determination of the right-of-use (ROU) asset and operating lease liability, as it was not reasonably certain to be exercised. In July 2022, we amended the lease to extend the lease termination date from March 2028 to November 30, 2029 and to add an additional 12,300 square feet of office space adjacent to our current office in San Diego (the Amended Lease). Upon commencement of the Amended Lease, we recognized an additional ROU asset and a corresponding operating lease liability of $4.3 million. The Amended Lease includes variable non-lease components (e.g., common area maintenance, maintenance, etc.) that are not included in the ROU asset and operating lease liability and are reflected as an expense in the period incurred as a component of the lease cost.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June 18, 2024 (the Agreement Date), we entered into a lease termination agreement (Agreement) with our landlord pursuant to which the parties agreed to terminate the lease for our existing office space as of September 30, 2024. The original (as amended) scheduled expiration date was November 30, 2029. As consideration for the Agreement, we agreed to pay the landlord a termination fee of approximately $11.1 million (the Termination Fee) and to prepay the remaining rent due under the Agreement in the amount of approximately $0.2 million (the Remaining Rent) and sell all the furniture and fixtures to the landlord for $1.00 (see </w:t>
      </w:r>
      <w:r>
        <w:rPr>
          <w:rFonts w:ascii="Times New Roman" w:cs="Times New Roman" w:eastAsia="Times New Roman" w:hAnsi="Times New Roman"/>
          <w:sz w:val="18"/>
          <w:szCs w:val="18"/>
          <w:i w:val="1"/>
          <w:iCs w:val="1"/>
          <w:u w:val="single" w:color="auto"/>
          <w:color w:val="0000FF"/>
        </w:rPr>
        <w:t>Property and Equipment</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i w:val="1"/>
          <w:iCs w:val="1"/>
          <w:u w:val="single" w:color="auto"/>
          <w:color w:val="0000FF"/>
        </w:rPr>
        <w:t>Note 3. Balance Sheet Details</w:t>
      </w:r>
      <w:r>
        <w:rPr>
          <w:rFonts w:ascii="Times New Roman" w:cs="Times New Roman" w:eastAsia="Times New Roman" w:hAnsi="Times New Roman"/>
          <w:sz w:val="18"/>
          <w:szCs w:val="18"/>
          <w:color w:val="auto"/>
        </w:rPr>
        <w:t xml:space="preserve"> for further discussion on the impact of the Agreement on our property and equipment). We received our security deposit, which is classified as a component of prepaid and other current assets, from the landlord in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-305435</wp:posOffset>
            </wp:positionV>
            <wp:extent cx="28460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Agreement was accounted for as a lease modification of the original contract. As a result of the Agreement, we reduced both the remaining ROU asset and lease liability by approximately $22,000, resulting in no impact to our consolidated statements of operations for the fiscal year ended June 30, 2024. We reassessed the lease classification, as of the Agreement Date, noting the current classification as an operating lease remained appropriate. Both the Termination Fee and the Remaining Rent were paid prior to June 30, 2024. Subsequent to the payment of both the Termination Fee and the Remaining Rent, our lease liability was relieved and the balance was reduced to zero.</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incurred direct costs of approximately $0.2 million in connection with the Agreement which accordingly was recorded to the ROU assets as a direct cost of modifying the Agreement. As of the Agreement Date, we determined a triggering event, in accordance with ASC 360, had occurred and therefore completed an impairment analysis on its ROU asset resulting in an impairment charge of approximately $10.4 million being recorded in our consolidated statements of operations for the fiscal year ended June 30, 2024.</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we did not recognize lease costs. The total operating lease costs for the Amended Lease were as follows for the periods presented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260" w:type="dxa"/>
            <w:vAlign w:val="bottom"/>
          </w:tcPr>
          <w:p>
            <w:pPr>
              <w:spacing w:after="0"/>
              <w:rPr>
                <w:sz w:val="18"/>
                <w:szCs w:val="18"/>
                <w:color w:val="auto"/>
              </w:rPr>
            </w:pPr>
          </w:p>
        </w:tc>
        <w:tc>
          <w:tcPr>
            <w:tcW w:w="27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60" w:type="dxa"/>
            <w:vAlign w:val="bottom"/>
          </w:tcPr>
          <w:p>
            <w:pPr>
              <w:spacing w:after="0"/>
              <w:rPr>
                <w:sz w:val="17"/>
                <w:szCs w:val="17"/>
                <w:color w:val="auto"/>
              </w:rPr>
            </w:pPr>
          </w:p>
        </w:tc>
        <w:tc>
          <w:tcPr>
            <w:tcW w:w="2740" w:type="dxa"/>
            <w:vAlign w:val="bottom"/>
            <w:gridSpan w:val="5"/>
            <w:vMerge w:val="continu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7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costs included in operating expenses</w:t>
            </w:r>
          </w:p>
        </w:tc>
        <w:tc>
          <w:tcPr>
            <w:tcW w:w="17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22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-933450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-916305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-933450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-916305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December 31, 2024, we had no supplemental cash flow activity. Supplemental cash flow information related to our operating leases was as follows for the periods presented (in thousands):</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40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400" w:type="dxa"/>
            <w:vAlign w:val="bottom"/>
          </w:tcPr>
          <w:p>
            <w:pPr>
              <w:spacing w:after="0"/>
              <w:rPr>
                <w:sz w:val="18"/>
                <w:szCs w:val="18"/>
                <w:color w:val="auto"/>
              </w:rPr>
            </w:pP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Ended December</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 included in the measurement</w:t>
            </w: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lease liabilities: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7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we had no remaining future minimum rental payments for our operating leases and the remaining ROU asset balance was $0.2 million. As of September 30, 2024, we had vacated the facility and the leased property reverted to the landlord. In addition, the ROU asset has been fully amortized. During fiscal year 2024, the ROU asset balance was increased by approximately $0.2 million related to direct costs associated with the Agreement. Additionally, the ROU asset balance was decreased by: (1) approximately $22,000 associated with our reassessment of the lease liability as of the Agreement Date and (2) $10.4 million associated with the impairment of the ROU asset, as discussed above.</w:t>
      </w:r>
    </w:p>
    <w:p>
      <w:pPr>
        <w:spacing w:after="0" w:line="71" w:lineRule="exact"/>
        <w:rPr>
          <w:sz w:val="20"/>
          <w:szCs w:val="20"/>
          <w:color w:val="auto"/>
        </w:rPr>
      </w:pPr>
    </w:p>
    <w:p>
      <w:pPr>
        <w:ind w:right="9340" w:firstLine="8"/>
        <w:spacing w:after="0" w:line="412"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Equity Transactions</w:t>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a shelf registration statement (February 2024 Shelf Registration Statement) that permits us to sell, from time to time, up to $100.0 million of common stock, preferred stock, warrants, rights and units, subject to the "Baby Shelf Limitation" described below. The February 2024 Shelf Registration Statement was filed February 20, 2024 and declared effective February 28,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At-The-Market Equity Offering</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February 20, 2024, we entered into a capital on demand sales agreement with JonesTrading Institution Services LLC, pursuant to which we can offer and sell shares having an aggregate offering price of up to $25.0 million (the ATM Program). In no event will we sell securities registered on this registration statement in a public primary offering with a value exceeding more than one-third of our public float in any 12-month period so long as our public float remains below $75.0 million (Baby Shelf Limitation) As of January 2, 2024, the date used under applicable rules of the SEC to determine our public float at the commencement of the offering, one-third of our public float was equal to approximately $9.9 million. As of December 31, 2024, no shares have been issued and sold under our ATM Program.</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Cooperation Agreement and Cash Dividend</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October 31, 2023, we announced our entry into a cooperation agreement with Anson Funds Management LP and Cable Car Capital LLC, which, among other non-financial related items provided for a capital return to stockholders in the form of a dividend in the amount of $1.75 per share of common stock that was declared on November 6, 2023 to stockholders of record at the close of business on November 17, 2023 (Cooperation Agreement). The total dividend of $11.7 million was paid on December 6, 2023 and was recorded as a reduction of additional paid-in capital in the condensed consolidated statements of stockholders' equity, as we have an accumulated deficit, rather than retained earnings.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Rights Agreement</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October 1, 2023, our Board approved and adopted a rights agreement (Rights Agreement) by and between us and Computershare, Inc., as Rights Agent (as defined in the Rights Agreement). Pursuant to the Rights Agreement, the Board declared a dividend of one preferred share purchase right (each, a Right) for each outstanding share of our common stock, par value $0.00000002 (each a Common Share and collectively, the Common Shares). The Rights are distributable to stockholders of record as of the close of business on October 12, 2023. One Right also will be issued together with each Common Share issued by us after October 12, 2023, but before the Distribution Date, as defined in the Rights Agreement (or the earlier of the redemption or expiration of the Rights) and, in certain circumstances, after the Distribution Date. The Rights and the Rights Agreement expired at the close of business on September 30, 2024. No rights were redeemed or exchanged under the Rights Agreement.</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have outstanding warrants to purchase 102,513 shares of our common stock issued to Torreya Partners LLC. The warrants are fully vested, exercisable at a price of $6.80 per share and expire in October 2027. No warrants were exercised as of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total authorized share capital is 226,100,000 shares consisting of 226,000,000 shares of common stock, $0.00000002 par value per share, and 100,000 shares of preferred stock, $0.01 par value per share.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Board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without the approval of the stockholders, could authorize the issuance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December 31, 2024 and June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1,850,739 shares of common stock are currently authorized for issuance. The Omnibus Plan provides for the grant of options and/or other stock-based or stock-denominated awards to our non-employee directors, officers, and employees. As of December 31, 2024, there were 841,714 shares available for future grant under the Omnibus Plan.</w:t>
      </w:r>
    </w:p>
    <w:p>
      <w:pPr>
        <w:spacing w:after="0" w:line="75" w:lineRule="exact"/>
        <w:rPr>
          <w:sz w:val="20"/>
          <w:szCs w:val="20"/>
          <w:color w:val="auto"/>
        </w:rPr>
      </w:pPr>
    </w:p>
    <w:p>
      <w:pPr>
        <w:jc w:val="both"/>
        <w:ind w:right="20" w:firstLine="509"/>
        <w:spacing w:after="0" w:line="277" w:lineRule="auto"/>
        <w:rPr>
          <w:sz w:val="20"/>
          <w:szCs w:val="20"/>
          <w:color w:val="auto"/>
        </w:rPr>
      </w:pPr>
      <w:r>
        <w:rPr>
          <w:rFonts w:ascii="Times New Roman" w:cs="Times New Roman" w:eastAsia="Times New Roman" w:hAnsi="Times New Roman"/>
          <w:sz w:val="17"/>
          <w:szCs w:val="17"/>
          <w:color w:val="auto"/>
        </w:rPr>
        <w:t>In May 2021, we adopted the 2021 Inducement Plan (Inducement Plan), under which 125,000 shares of common stock are authorized for issuance. On June 9, 2023, our Board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December 31, 2024, there were 157,146 shares available for future grant under the Inducement Plan.</w:t>
      </w:r>
    </w:p>
    <w:p>
      <w:pPr>
        <w:spacing w:after="0" w:line="58" w:lineRule="exact"/>
        <w:rPr>
          <w:sz w:val="20"/>
          <w:szCs w:val="20"/>
          <w:color w:val="auto"/>
        </w:rPr>
      </w:pPr>
    </w:p>
    <w:p>
      <w:pPr>
        <w:ind w:right="80" w:firstLine="509"/>
        <w:spacing w:after="0" w:line="267" w:lineRule="auto"/>
        <w:rPr>
          <w:sz w:val="20"/>
          <w:szCs w:val="20"/>
          <w:color w:val="auto"/>
        </w:rPr>
      </w:pPr>
      <w:r>
        <w:rPr>
          <w:rFonts w:ascii="Times New Roman" w:cs="Times New Roman" w:eastAsia="Times New Roman" w:hAnsi="Times New Roman"/>
          <w:sz w:val="18"/>
          <w:szCs w:val="18"/>
          <w:color w:val="auto"/>
        </w:rPr>
        <w:t xml:space="preserve">During the three and six months ended December 31, 2024 due to the Strategic Alternatives RIF, as discussed in </w:t>
      </w:r>
      <w:r>
        <w:rPr>
          <w:rFonts w:ascii="Times New Roman" w:cs="Times New Roman" w:eastAsia="Times New Roman" w:hAnsi="Times New Roman"/>
          <w:sz w:val="18"/>
          <w:szCs w:val="18"/>
          <w:i w:val="1"/>
          <w:iCs w:val="1"/>
          <w:u w:val="single" w:color="auto"/>
          <w:color w:val="0000FF"/>
        </w:rPr>
        <w:t>Note 5. Employee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Benefits,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we reversed share-based compensation in excess of that recorded. Total share-based compensation for all stock awards consisted of the following</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5497195</wp:posOffset>
            </wp:positionH>
            <wp:positionV relativeFrom="paragraph">
              <wp:posOffset>-313690</wp:posOffset>
            </wp:positionV>
            <wp:extent cx="14312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31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396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48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r>
      <w:tr>
        <w:trPr>
          <w:trHeight w:val="238"/>
        </w:trPr>
        <w:tc>
          <w:tcPr>
            <w:tcW w:w="4820" w:type="dxa"/>
            <w:vAlign w:val="bottom"/>
          </w:tcPr>
          <w:p>
            <w:pPr>
              <w:spacing w:after="0"/>
              <w:rPr>
                <w:sz w:val="20"/>
                <w:szCs w:val="20"/>
                <w:color w:val="auto"/>
              </w:rPr>
            </w:pPr>
          </w:p>
        </w:tc>
        <w:tc>
          <w:tcPr>
            <w:tcW w:w="2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48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4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(103 )</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shd w:val="clear" w:color="auto" w:fill="CFF0FC"/>
          </w:tcPr>
          <w:p>
            <w:pPr>
              <w:spacing w:after="0"/>
              <w:rPr>
                <w:sz w:val="19"/>
                <w:szCs w:val="19"/>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Stock options granted to employees vest 25% one year from the date of grant and ratably each month thereafter on the first day of the month following the one-year anniversary of the grant date for a period of 36 months and generally expire ten years from the date of grant. Stock options granted to directors vest ratably each month for a period of 12 months from the date of grant and generally expire ten years from the date of grant. Upon separation from the Company, without cause, our Board members have three years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exercise their vested stock options. As of December 31, 2024, there were 954,723 total options outstanding of which 894,869 were granted under the Omnibus Plan and 59,854 were granted under the Inducement Plan.</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data follows:</w:t>
            </w: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02"/>
        </w:trPr>
        <w:tc>
          <w:tcPr>
            <w:tcW w:w="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0" w:type="dxa"/>
            <w:vAlign w:val="bottom"/>
          </w:tcPr>
          <w:p>
            <w:pPr>
              <w:spacing w:after="0"/>
              <w:rPr>
                <w:sz w:val="24"/>
                <w:szCs w:val="24"/>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Aggrega</w:t>
            </w:r>
          </w:p>
        </w:tc>
      </w:tr>
      <w:tr>
        <w:trPr>
          <w:trHeight w:val="216"/>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te</w:t>
            </w:r>
          </w:p>
        </w:tc>
      </w:tr>
      <w:tr>
        <w:trPr>
          <w:trHeight w:val="216"/>
        </w:trPr>
        <w:tc>
          <w:tcPr>
            <w:tcW w:w="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38"/>
        </w:trPr>
        <w:tc>
          <w:tcPr>
            <w:tcW w:w="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4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1,357,213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(402,490 )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60" w:type="dxa"/>
            <w:vAlign w:val="bottom"/>
          </w:tcPr>
          <w:p>
            <w:pPr>
              <w:spacing w:after="0"/>
              <w:rPr>
                <w:sz w:val="21"/>
                <w:szCs w:val="21"/>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954,723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60" w:type="dxa"/>
            <w:vAlign w:val="bottom"/>
          </w:tcPr>
          <w:p>
            <w:pPr>
              <w:spacing w:after="0"/>
              <w:rPr>
                <w:sz w:val="17"/>
                <w:szCs w:val="17"/>
                <w:color w:val="auto"/>
              </w:rPr>
            </w:pPr>
          </w:p>
        </w:tc>
        <w:tc>
          <w:tcPr>
            <w:tcW w:w="46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954,723</w:t>
            </w:r>
          </w:p>
        </w:tc>
        <w:tc>
          <w:tcPr>
            <w:tcW w:w="20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34.32</w:t>
            </w:r>
          </w:p>
        </w:tc>
        <w:tc>
          <w:tcPr>
            <w:tcW w:w="1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3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ind w:left="4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-187960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-170815</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aggregate intrinsic value of outstanding options was calculated as the difference between the exercise price of the underlying options and the closing price of our common stock of $2.46 on that date.</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related to non-vested stock options totaled $0.1 million as of December 31, 2024. Such compensation expense is expected to be recognized over a weighted-average period of 1.43 years.</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use the Black-Scholes valuation model to estimate the grant date fair value of stock options. During the six months ended December 31, 2024, we did not grant any stock options. To calculate these fair values, the following weighted-average assumptions were used for the period presented:</w:t>
      </w:r>
    </w:p>
    <w:p>
      <w:pPr>
        <w:spacing w:after="0" w:line="50"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r>
      <w:tr>
        <w:trPr>
          <w:trHeight w:val="209"/>
        </w:trPr>
        <w:tc>
          <w:tcPr>
            <w:tcW w:w="6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r>
      <w:tr>
        <w:trPr>
          <w:trHeight w:val="210"/>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60" w:type="dxa"/>
            <w:vAlign w:val="bottom"/>
          </w:tcPr>
          <w:p>
            <w:pPr>
              <w:spacing w:after="0"/>
              <w:rPr>
                <w:sz w:val="18"/>
                <w:szCs w:val="18"/>
                <w:color w:val="auto"/>
              </w:rPr>
            </w:pPr>
          </w:p>
        </w:tc>
        <w:tc>
          <w:tcPr>
            <w:tcW w:w="3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FF0FC"/>
          </w:tcPr>
          <w:p>
            <w:pPr>
              <w:spacing w:after="0"/>
              <w:rPr>
                <w:sz w:val="18"/>
                <w:szCs w:val="18"/>
                <w:color w:val="auto"/>
              </w:rPr>
            </w:pPr>
          </w:p>
        </w:tc>
        <w:tc>
          <w:tcPr>
            <w:tcW w:w="3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90.0 %</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18"/>
                <w:szCs w:val="18"/>
                <w:color w:val="auto"/>
              </w:rPr>
            </w:pPr>
          </w:p>
        </w:tc>
        <w:tc>
          <w:tcPr>
            <w:tcW w:w="3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Disposition of a Non-financial Asset</w:t>
      </w:r>
    </w:p>
    <w:p>
      <w:pPr>
        <w:spacing w:after="0" w:line="121"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On October 22, 2024 (the Closing Date), MEI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65"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The ME-344 sale did not trigger a discontinued operation as the intellectual property sold did not represent a component of our business. Additionally, we concluded the ME-344 Sale met all the criteria to be derecognized on the Closing Date. Variable consideration, such as future potential regulatory and revenue milestones have been fully constrained. As such, as of the Closing Date and December 31, 2024, we determined the transaction price to be the initial payment of $0.5 million. Accordingly, we recognized a gain, upon satisfaction of our obligations under the Asset Purchase Agreement, of $0.5 million as a separate component of other income (expense), net in the consolidated statements of operations. The $55,000 reimbursement by the Purchaser represented work performed at the Purchaser's request prior to the Closing Date, which they agreed to reimburse. The reimbursement did not represent a liability assumed or relieved by the Purchaser and was, therefore, not included in the calculation of the gain on the disposition of the ME-344 asset. The $55,000 reimbursement was recognized as contra research and development expense in accordance with our reimbursement policy for pass through services.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“may,” “will,” “intend,” “plan,” “believe,” “anticipate,” “expect,” “estimate,” "predict," "potential," “continue,” "likely," or “opportunity,” the negative of these words or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2024 Annual Report on Form 10-K (2024 Annual Report), as filed with the Securities and Exchange Commission (SEC) on September 19, 2024.</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the context requires otherwise, references in this Annual Report to “MEI Pharma,” “MEI,” “we,” “us” and “our” refer to MEI Pharma,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MEI Pharma, Inc. (Nasdaq: MEIP) is a </w:t>
      </w:r>
      <w:r>
        <w:rPr>
          <w:rFonts w:ascii="Times New Roman" w:cs="Times New Roman" w:eastAsia="Times New Roman" w:hAnsi="Times New Roman"/>
          <w:sz w:val="18"/>
          <w:szCs w:val="18"/>
          <w:color w:val="000000"/>
        </w:rPr>
        <w:t>pharmaceutical company that has been developing novel and differentiated cancer therapies. We</w:t>
      </w:r>
      <w:r>
        <w:rPr>
          <w:rFonts w:ascii="Times New Roman" w:cs="Times New Roman" w:eastAsia="Times New Roman" w:hAnsi="Times New Roman"/>
          <w:sz w:val="18"/>
          <w:szCs w:val="18"/>
          <w:color w:val="231F20"/>
        </w:rPr>
        <w:t xml:space="preserve"> built our pipeline by acquiring promising cancer agents and creating value in programs through clinical development, strategic partnerships, and out-licensing or commercialization, as appropriate. </w:t>
      </w:r>
      <w:r>
        <w:rPr>
          <w:rFonts w:ascii="Times New Roman" w:cs="Times New Roman" w:eastAsia="Times New Roman" w:hAnsi="Times New Roman"/>
          <w:sz w:val="18"/>
          <w:szCs w:val="18"/>
          <w:color w:val="000000"/>
        </w:rPr>
        <w:t>Our approach to oncology drug development has been to evaluate our drug candidates in combinations with standard-of-care therapies to overcome known resistance mechanisms and address clear medical needs to provide improved patient benefit. Our drug candidate pipeline includes voruciclib, an oral cyclin-dependent kinase 9 (CDK9) inhibitor, and prior to its sale (as discussed below), ME-344, an intravenous small molecule mitochondrial inhibitor targeting the oxidative phosphorylation pathway.</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Strategic Alternatives</w:t>
      </w:r>
    </w:p>
    <w:p>
      <w:pPr>
        <w:spacing w:after="0" w:line="227" w:lineRule="exact"/>
        <w:rPr>
          <w:sz w:val="20"/>
          <w:szCs w:val="20"/>
          <w:color w:val="auto"/>
        </w:rPr>
      </w:pPr>
    </w:p>
    <w:p>
      <w:pPr>
        <w:ind w:right="420" w:firstLine="509"/>
        <w:spacing w:after="0" w:line="256" w:lineRule="auto"/>
        <w:rPr>
          <w:sz w:val="20"/>
          <w:szCs w:val="20"/>
          <w:color w:val="auto"/>
        </w:rPr>
      </w:pPr>
      <w:r>
        <w:rPr>
          <w:rFonts w:ascii="Times New Roman" w:cs="Times New Roman" w:eastAsia="Times New Roman" w:hAnsi="Times New Roman"/>
          <w:sz w:val="18"/>
          <w:szCs w:val="18"/>
          <w:color w:val="auto"/>
        </w:rPr>
        <w:t>On July 22, 2024, we announced that our Board of Directors (Board) had determined unanimously to begin the evaluation of our strategic alternatives, including potential transactions as well as an orderly wind down of operations, if appropriate, to maximize the value of our assets for our stockholders. We commenced a reduction-in-force (the Strategic Alternatives RIF) beginning August 1, 2024, which will continue in stages as our operational and strategic direction evolves. We have discontinued the clinical development of voruciclib, while certain nonclinical activities related to MEI’s drug candidate assets will continue to be conducted by us. As part of the review of strategic alternatives, we may consider options such as out-licensing opportunities for existing programs and merger and acquisition opportunities.</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Consistent with our intention to preserve cash, David M. Urso, our former President and Chief Executive Officer, and Richard Ghalie, M.D., our former Chief Medical Officer, stepped down effective August 1, 2024. Mr. Urso also left the Board at that date. We have entered into consulting agreements with both Mr. Urso and Dr. Ghalie under which they will remain available to assist us in our strategic efforts. Charles V. Baltic III, the former Chairperson of the Board, also stepped down from the Board contemporaneously with the announcement on July 22, 2024. Our Board appointed Justin J. File, our Chief Financial Officer, to assume the position of Acting Chief Executive Officer and appointed Frederick W. Driscoll as our Chairperson of the Board.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 of ME-344</w:t>
      </w:r>
    </w:p>
    <w:p>
      <w:pPr>
        <w:spacing w:after="0" w:line="227"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On October 22, 2024 (the Closing Date), MEI and Aardvark Therapeutics, Inc. (the Purchaser), entered into an Asset Purchase Agreement (the Asset Purchase Agreement), whereby we sold to the Purchaser our rights, title and interest in and to certain assets related to ME-344, including relevant intellectual property rights, technology and contracts (the ME-344 Sale). Pursuant to the Asset Purchase Agreement, the Purchaser paid us an initial payment of $0.5 million in cash plus a reimbursement amount of $55,000 at the closing of the transaction. The Purchaser may also make future milestone payments up to $62.0 million after the Closing Date, payable upon the achievement of certain regulatory and revenue milestones. The Purchaser also assumed certain of our liabilities after the Closing Date, including liabilities arising under the contracts transferred under the Asset Purchase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clinical-stage drug candidate pipeline includes voruciclib, an oral CDK9 inhibitor, and prior to its sale, ME-344, an intravenous small molecule mitochondrial inhibitor targeting the oxidative phosphorylation pathway in the mitochondria.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248920</wp:posOffset>
            </wp:positionV>
            <wp:extent cx="6172200" cy="14401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144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Potent Orally Administered CDK9 Inhibitor in Phase 1 Studies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exploration of strategic alternatives on July 22, 2024, all ongoing clinical trial efforts for voruciclib have ceased, while certain nonclinical activities have continued. Voruciclib is a selective orally administered CDK9 inhibitor. Voruciclib recently completed a Phase 1 trial evaluating dose and schedule in patients with acute myeloid leukemia (AML) in combination with the B-cell lymphoma 2 (BCL-2) inhibitor venetoclax (marketed as Venclexta®). Voruciclib is also being evaluated in pre-clinical studies to explore potential activity in various solid tumor cancers including in combination with therapies that target the RAS signaling pathway, such as KRAS inhibitors.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Scientific Overview: Cell Cycle Signaling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CDK9 has important functions in cell cycle regulation, including the modulation of two therapeutic targets in cancer:</w:t>
      </w:r>
    </w:p>
    <w:p>
      <w:pPr>
        <w:spacing w:after="0" w:line="117" w:lineRule="exact"/>
        <w:rPr>
          <w:sz w:val="20"/>
          <w:szCs w:val="20"/>
          <w:color w:val="auto"/>
        </w:rPr>
      </w:pPr>
    </w:p>
    <w:p>
      <w:pPr>
        <w:ind w:left="1020" w:right="220" w:hanging="503"/>
        <w:spacing w:after="0" w:line="266"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67" w:lineRule="exact"/>
        <w:rPr>
          <w:rFonts w:ascii="Times New Roman" w:cs="Times New Roman" w:eastAsia="Times New Roman" w:hAnsi="Times New Roman"/>
          <w:sz w:val="18"/>
          <w:szCs w:val="18"/>
          <w:color w:val="231F20"/>
        </w:rPr>
      </w:pPr>
    </w:p>
    <w:p>
      <w:pPr>
        <w:ind w:left="1020" w:right="140" w:hanging="503"/>
        <w:spacing w:after="0" w:line="261" w:lineRule="auto"/>
        <w:tabs>
          <w:tab w:leader="none" w:pos="102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CDK9 is a transcriptional regulator of the MYC proto-oncogene protein (MYC) which regulates cell proliferation and growth. Upregulation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Directly inhibiting MCL1 and MYC has historically been difficult, but CDK9 is a promising approach to indirectly target these oncogenes.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MCL1</w:t>
      </w:r>
    </w:p>
    <w:p>
      <w:pPr>
        <w:spacing w:after="0" w:line="119"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CDK9 is a known transcriptional regulator of MCL1. Over expression of MCL1 is frequently observed in many tumor types and is closely associated with tumorigenesis, poor prognosis and drug resistance. In AML, MCL1 is upregulated in about half of patients with relapsed and refractory (R/R) disease and is associated with poor prognosis in these patients. Also important, high levels of MCL1 expression are associated with resistance to venetoclax.</w:t>
      </w:r>
    </w:p>
    <w:p>
      <w:pPr>
        <w:spacing w:after="0" w:line="7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68"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Subsequently, and consistent with the reported pre-clinical studies, data from an ongoing Phase 1 study evaluating voruciclib as a single agent and in combination with venetoclax in patients with relapsed or refractory (R/R) AML have also demonstrated the anticipated decreases in Mcl-1 protein.</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AML.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Voruciclib: Inhibition of MYC</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68"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a rapid decrease in the phosphorylation of proteins that promote MYC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decreases phosphorylation of MYC protein on Ser62, a site implicated in stabilizing MYC in KRAS mutant cancers;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single agent activity against multiple KRAS mutant cancer cell lines both in vitro and in vivo;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Synergistically inhibits KRAS G12C mutant cancer cell lines in combination with KRAS G12C inhibitors, both in vitro and in vivo.</w:t>
      </w:r>
    </w:p>
    <w:p>
      <w:pPr>
        <w:spacing w:after="0" w:line="11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research presented suggests that voruciclib could be an attractive therapeutic agent for both hematological cancers, as well as solid tumors, dependent on the activity of MYC.</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Programs</w:t>
      </w:r>
    </w:p>
    <w:p>
      <w:pPr>
        <w:spacing w:after="0" w:line="119"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In a recent Phase 1 clinical trial, we evaluated the dose and schedule of voruciclib in combination with venetoclax, a BCL-2 inhibitor, in patients with R/R AML. The trial started with the evaluation of dose and schedule of voruciclib as a monotherapy in patients with relapsed and refractory B-cell malignancies and AML after failure of prior standard therapies to determine the safety, preliminary efficacy and maximum tolerated dose. The primary objectives of the study were to determine the safety and biologic effective dose of voruciclib monotherapy or voruciclib in combination with venetoclax. Secondary objectives of the study included assessing the preliminary efficacy, pharmacokinetics, pharmacodynamics, and biomarkers of voruciclib monotherapy or voruciclib in combination with venetoclax.</w:t>
      </w:r>
    </w:p>
    <w:p>
      <w:pPr>
        <w:spacing w:after="0" w:line="7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As we reported in a poster presented at the American Society of Hematology (ASH) Annual Meeting in December 2023, the voruciclib monotherapy dose escalation/expansion stage of the study enrolled a total of 40 patients and is complete. The majority of patients (n=21) had AML and the remaining patients (n=19) had B-cell malignancies. Of the 40 patients enrolled, the first 16 were dosed daily continuously at 50 and 100 mg and the following 24 patients were dosed on an intermittent schedule (14 consecutive days on therapy in a 28-day cycle) at 100, 150 and 200 mg. All patients were heavily pre-treated with a median of three prior therapies (range 1-9), and five patients had prior hematopoietic stem cell transplant. Voruciclib at doses up to 200 mg administered on 14 consecutive days in a 28-day cycle (Cohort 2) was well tolerated with no dose limiting toxicities (DLT) reported. The most common adverse events (≥20% of patients) were diarrhea, nausea, anemia and fatigue. The large majority of adverse events were Grade 1-2; of note, the only Grade 3-4 adverse events in Cohort 2 were diarrhea (n=1) and anemia (n=5). Pharmacokinetics were dose proportional and a mean half-life of approximately 24 hours supports once daily dosing.</w:t>
      </w:r>
    </w:p>
    <w:p>
      <w:pPr>
        <w:spacing w:after="0" w:line="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the intermittent dosing schedule selected for further development, no DLTs were observed, there were no Grade 3 or higher drug related toxicities, and dose escalation was stopped at 200 mg before reaching the maximum tolerated dose because plasma concentrations reached levels considered sufficient for target inhibition. In the 21 patients enrolled with AML, one patient at 100 mg achieved a morphologic leukemia-free state and nine patients had disease stabilization, which lasted at least three months in two patients. In the 19 patients enrolled with B-cell malignancies, four patients had stable disease with a decrease in tumor size. Initial results from correlative studies assessing myeloid leukemia cell differentiation protein (Mcl-1) and RNA Pol II phosphorylation on Ser2 (RNA Pol II p-S2) demonstrated reduction in expression consistent with the anticipated on-target pharmacodynamic effect of voruciclib on Mcl-1 and RNA Pol II p-S2.</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next stage of the study evaluated seven voruciclib dose levels from 50 mg every other day to 300 mg daily for 14 consecutive days in a 28-day cycle in combination with standard dose venetoclax in patients with R/R AML. A total of 41 patients with R/R AML, median age 67 years (range 34-89), enrolled in this dose escalation stage of the study evaluating voruciclib in combination with venetoclax. These patients were generally heavily pretreated; the median number of prior therapies was 2 (range 1-7), and 18 (44%) patients had ≥3 prior lines. Almost all patients (39/41) were treated with venetoclax in an earlier line of therapy. Additionally, 30 (73%) patients were noted as being in an adverse 2017 ELN Risk Category due to adverse cytogenetics and molecular mutations.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Of the 32 patients administered voruciclib at doses ≥ 100 mg in combination with venetoclax 10 (31%) achieved disease control. Three patients achieved a response, including two patients that achieved a complete response with incomplete hematologic recovery (CRi) and one patient that achieved a morphologic leukemia-free state (MLFS), in each case having received venetoclax in an earlier line of treatment. Responses lasted 6 months in one patient, 9 months and ongoing in the second patient, and the third patient was referred to stem cell transplant. Further, an additional 7 patients had stable disease which lasted more than 90 days and 13 had stable disease &lt; 3 months.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360" w:firstLine="554"/>
        <w:spacing w:after="0" w:line="258" w:lineRule="auto"/>
        <w:rPr>
          <w:sz w:val="20"/>
          <w:szCs w:val="20"/>
          <w:color w:val="auto"/>
        </w:rPr>
      </w:pPr>
      <w:r>
        <w:rPr>
          <w:rFonts w:ascii="Times New Roman" w:cs="Times New Roman" w:eastAsia="Times New Roman" w:hAnsi="Times New Roman"/>
          <w:sz w:val="18"/>
          <w:szCs w:val="18"/>
          <w:color w:val="auto"/>
        </w:rPr>
        <w:t>In the 28 patients administered voruciclib in combination with venetoclax and with blood samples available for analysis, initial results from correlative biomarker assay studies demonstrated anticipated decreases of Mcl-1, including a greater decrease in Mcl-1 in responding patients. This supports our hypothesis that voruciclib, as an inhibitor or CDK9, regulates Mcl-1 and therefore may address the upregulation of MCL1 associated with venetoclax. Additional evidence of anti-leukemic activity was also demonstrated including decreases in bone marrow blast counts post voruciclib/venetoclax administration versus pre drug administration in ~50% (11/21) of evaluable patients.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Voruciclib at doses up to 300 mg administered on 14 consecutive days in a 28-day cycle in combination with standard dose venetoclax was well tolerated with no dose limiting toxicities observed. The maximum tolerated dose of voruciclib administered on this schedule with venetoclax has not been established. There were no discontinuations due to drug-related adverse events and no evidence of overlapping toxicity has been observed to date. The most common (≥5% of patients) grade 3 adverse events were myelosuppression associated with AML. Only 1 patient was observed as having a non-hematologic grade 3 drug-related adverse event (di</w:t>
      </w:r>
      <w:r>
        <w:rPr>
          <w:rFonts w:ascii="Times New Roman" w:cs="Times New Roman" w:eastAsia="Times New Roman" w:hAnsi="Times New Roman"/>
          <w:sz w:val="18"/>
          <w:szCs w:val="18"/>
          <w:color w:val="231F20"/>
        </w:rPr>
        <w:t>arrhea).</w:t>
      </w:r>
    </w:p>
    <w:p>
      <w:pPr>
        <w:spacing w:after="0" w:line="75" w:lineRule="exact"/>
        <w:rPr>
          <w:sz w:val="20"/>
          <w:szCs w:val="20"/>
          <w:color w:val="auto"/>
        </w:rPr>
      </w:pPr>
    </w:p>
    <w:p>
      <w:pPr>
        <w:jc w:val="both"/>
        <w:ind w:right="460" w:firstLine="554"/>
        <w:spacing w:after="0" w:line="266" w:lineRule="auto"/>
        <w:rPr>
          <w:sz w:val="20"/>
          <w:szCs w:val="20"/>
          <w:color w:val="auto"/>
        </w:rPr>
      </w:pPr>
      <w:r>
        <w:rPr>
          <w:rFonts w:ascii="Times New Roman" w:cs="Times New Roman" w:eastAsia="Times New Roman" w:hAnsi="Times New Roman"/>
          <w:sz w:val="18"/>
          <w:szCs w:val="18"/>
          <w:color w:val="231F20"/>
        </w:rPr>
        <w:t xml:space="preserve">Before ending the study, three patients were administered 150 mg voruciclib over 21 </w:t>
      </w:r>
      <w:r>
        <w:rPr>
          <w:rFonts w:ascii="Times New Roman" w:cs="Times New Roman" w:eastAsia="Times New Roman" w:hAnsi="Times New Roman"/>
          <w:sz w:val="18"/>
          <w:szCs w:val="18"/>
          <w:color w:val="000000"/>
        </w:rPr>
        <w:t>consecutive days in a 28-day cycle</w:t>
      </w:r>
      <w:r>
        <w:rPr>
          <w:rFonts w:ascii="Times New Roman" w:cs="Times New Roman" w:eastAsia="Times New Roman" w:hAnsi="Times New Roman"/>
          <w:sz w:val="18"/>
          <w:szCs w:val="18"/>
          <w:color w:val="231F20"/>
        </w:rPr>
        <w:t xml:space="preserve"> in combination with venetoclax to increase dose intensity and potentially optimize patient response based upon the rebound of peripheral blast counts in 44% (8/18) of the patients between Day 14 and Day 28 when voruciclib was stopped while continuing venetoclax.</w:t>
      </w:r>
    </w:p>
    <w:p>
      <w:pPr>
        <w:spacing w:after="0" w:line="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Mitochondrial Inhibitor with Combinatorial Potential</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231F20"/>
        </w:rPr>
        <w:t xml:space="preserve">Nonclinical activities related to ME-344 continued following the announcement of the exploration of strategic alternatives on July 22, 2024 and ended with the closing of its sale, as discussed under </w:t>
      </w:r>
      <w:r>
        <w:rPr>
          <w:rFonts w:ascii="Times New Roman" w:cs="Times New Roman" w:eastAsia="Times New Roman" w:hAnsi="Times New Roman"/>
          <w:sz w:val="18"/>
          <w:szCs w:val="18"/>
          <w:i w:val="1"/>
          <w:iCs w:val="1"/>
          <w:u w:val="single" w:color="auto"/>
          <w:color w:val="0000FF"/>
        </w:rPr>
        <w:t>Sale of ME-344</w:t>
      </w:r>
      <w:r>
        <w:rPr>
          <w:rFonts w:ascii="Times New Roman" w:cs="Times New Roman" w:eastAsia="Times New Roman" w:hAnsi="Times New Roman"/>
          <w:sz w:val="18"/>
          <w:szCs w:val="18"/>
          <w:color w:val="231F20"/>
        </w:rPr>
        <w:t xml:space="preserve">, elsewhere in this Quarterly Report on Form 10-Q. MEI-344 is a novel drug candidate that inhibits mitochondrial OXPHOS, a fundamental metabolic pathway involved in the production of adenosine triphosphate (ATP) in the mitochondria. ATP provides energy to drive many metabolic cell processes, including division, proliferation, and growth. By disrupting the production of ATP, ME-344 has been shown to induce cancer cell death in nonclinical models and was associated with antitumor activity in clinical studies. </w:t>
      </w:r>
      <w:r>
        <w:rPr>
          <w:rFonts w:ascii="Times New Roman" w:cs="Times New Roman" w:eastAsia="Times New Roman" w:hAnsi="Times New Roman"/>
          <w:sz w:val="18"/>
          <w:szCs w:val="18"/>
          <w:color w:val="000000"/>
        </w:rPr>
        <w:t>ME-344 has also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demonstrated clinical activity in multiple clinical studies in combinations, including with bevacizumab (Avastin®).</w:t>
      </w:r>
    </w:p>
    <w:p>
      <w:pPr>
        <w:spacing w:after="0" w:line="7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231F20"/>
        </w:rPr>
        <w:t xml:space="preserve">Recently, </w:t>
      </w:r>
      <w:r>
        <w:rPr>
          <w:rFonts w:ascii="Times New Roman" w:cs="Times New Roman" w:eastAsia="Times New Roman" w:hAnsi="Times New Roman"/>
          <w:sz w:val="18"/>
          <w:szCs w:val="18"/>
          <w:color w:val="000000"/>
        </w:rPr>
        <w:t>we were advancing ME-344 via development of a new formulation with the goal of increasing biological activity, improving patient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convenience of administration and increasing commercial opportunity. We believe a new formulation represents the optimal approach to pursue the potential of the program after observing encouraging data in two clinical studies evaluating the prior ME-344 formulation in combination with bevacizumab (Avastin®).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ME-344 Scientific Overview: Cancer Metabolism</w:t>
      </w:r>
    </w:p>
    <w:p>
      <w:pPr>
        <w:spacing w:after="0" w:line="119" w:lineRule="exact"/>
        <w:rPr>
          <w:sz w:val="20"/>
          <w:szCs w:val="20"/>
          <w:color w:val="auto"/>
        </w:rPr>
      </w:pPr>
    </w:p>
    <w:p>
      <w:pPr>
        <w:jc w:val="both"/>
        <w:ind w:right="420" w:firstLine="509"/>
        <w:spacing w:after="0" w:line="312" w:lineRule="auto"/>
        <w:rPr>
          <w:sz w:val="20"/>
          <w:szCs w:val="20"/>
          <w:color w:val="auto"/>
        </w:rPr>
      </w:pPr>
      <w:r>
        <w:rPr>
          <w:rFonts w:ascii="Times New Roman" w:cs="Times New Roman" w:eastAsia="Times New Roman" w:hAnsi="Times New Roman"/>
          <w:sz w:val="17"/>
          <w:szCs w:val="17"/>
          <w:color w:val="auto"/>
        </w:rPr>
        <w:t xml:space="preserve">Energy supplied in the form of ATP fuels tumor metabolism supporting cell division and growth. Accordingly, </w:t>
      </w:r>
      <w:r>
        <w:rPr>
          <w:rFonts w:ascii="Times New Roman" w:cs="Times New Roman" w:eastAsia="Times New Roman" w:hAnsi="Times New Roman"/>
          <w:sz w:val="17"/>
          <w:szCs w:val="17"/>
          <w:color w:val="231F20"/>
        </w:rPr>
        <w:t>tumor cells often display a high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metabolic rate to support tumor cell survival and proliferation. This heightened metabolism requires a continual supply of energy in the form of ATP.</w:t>
      </w:r>
    </w:p>
    <w:p>
      <w:pPr>
        <w:spacing w:after="0" w:line="3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Anti-angiogenics, such as the vascular endothelial growth factor (VEGF) inhibitor bevacizumab, have the potential to normalize vasculature and decrease reliance on glycolysis for ATP. The resulting reduction in glycolysis may trigger an increased dependence on mitochondrial ATP production for energy to support continued tumor proliferation. In such cases of tumor plasticity, the combination of ME-344 and bevacizumab may induce metabolic synthetic lethality, providing a novel therapeutic strategy. Specifically, leveraging the ability of antiangiogenics like bevacizumab to reduce glycolysis and force tumor cells to switch to mitochondrial respiration via OXPHOS, which is inhibited by ME-344, may reduce access to ATP needed for cell division and growth in tumors.</w:t>
      </w:r>
    </w:p>
    <w:p>
      <w:pPr>
        <w:spacing w:after="0" w:line="79" w:lineRule="exact"/>
        <w:rPr>
          <w:sz w:val="20"/>
          <w:szCs w:val="20"/>
          <w:color w:val="auto"/>
        </w:rPr>
      </w:pPr>
    </w:p>
    <w:p>
      <w:pPr>
        <w:ind w:right="2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obtained initial clinical data on this approach in </w:t>
      </w:r>
      <w:r>
        <w:rPr>
          <w:rFonts w:ascii="Times New Roman" w:cs="Times New Roman" w:eastAsia="Times New Roman" w:hAnsi="Times New Roman"/>
          <w:sz w:val="18"/>
          <w:szCs w:val="18"/>
          <w:color w:val="231F20"/>
        </w:rPr>
        <w:t>a completed investigator-initiated, multi-center, randomized, controlled, window of opportunity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clinical trial evaluating ME-344 in combination with bevacizumab that enrolled a total of 42 patients with human epidermal growth factor receptor 2 (HER2) negative breast cancer. Further clinical support for the combination of ME-344 in combination with bevacizumab was reported in April 2024 from a Phase 1b study of patients with </w:t>
      </w:r>
      <w:r>
        <w:rPr>
          <w:rFonts w:ascii="Times New Roman" w:cs="Times New Roman" w:eastAsia="Times New Roman" w:hAnsi="Times New Roman"/>
          <w:sz w:val="18"/>
          <w:szCs w:val="18"/>
          <w:color w:val="000000"/>
        </w:rPr>
        <w:t>relapsed metastatic colorectal cancer (mCRC) after failure of standard therapies. This study demonstrated clinical activity,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an effect on progression free survival in a cohort of 23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An earlier Phase 1 clinical study evaluating ME-344 as a single-agent in patients with refractory solid tumors also demonstrated anti-tumor activity, further validating the potential of mitochondrial inhibition as a promising therapeutic modality.</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231F20"/>
        </w:rPr>
        <w:t>Clinical Program</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72" w:lineRule="exact"/>
        <w:rPr>
          <w:sz w:val="20"/>
          <w:szCs w:val="20"/>
          <w:color w:val="auto"/>
        </w:rPr>
      </w:pPr>
    </w:p>
    <w:p>
      <w:pPr>
        <w:ind w:right="160" w:firstLine="554"/>
        <w:spacing w:after="0" w:line="261" w:lineRule="auto"/>
        <w:rPr>
          <w:sz w:val="20"/>
          <w:szCs w:val="20"/>
          <w:color w:val="auto"/>
        </w:rPr>
      </w:pPr>
      <w:r>
        <w:rPr>
          <w:rFonts w:ascii="Times New Roman" w:cs="Times New Roman" w:eastAsia="Times New Roman" w:hAnsi="Times New Roman"/>
          <w:sz w:val="18"/>
          <w:szCs w:val="18"/>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development opportunity.</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75"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231F20"/>
        </w:rPr>
        <w:t>Results published in the November 2019 issue of Clinical Cancer Research from a multi-center, investigator-initiated, randomized, controlled, clinical trial that evaluated the combination of ME-344 and bevacizumab in 42 women with early HER2-negative breast cancer provided evidence for the combinatorial use of ME-344 with anti-angiogenic therapeutics.</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2" w:lineRule="exact"/>
        <w:rPr>
          <w:sz w:val="20"/>
          <w:szCs w:val="20"/>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absolute Ki67 decreases were 13.3 compared to an increase of 1.1 in the bevacizumab monotherapy group (P=0.01).</w:t>
      </w:r>
    </w:p>
    <w:p>
      <w:pPr>
        <w:spacing w:after="0" w:line="53" w:lineRule="exact"/>
        <w:rPr>
          <w:rFonts w:ascii="Times New Roman" w:cs="Times New Roman" w:eastAsia="Times New Roman" w:hAnsi="Times New Roman"/>
          <w:sz w:val="18"/>
          <w:szCs w:val="18"/>
          <w:color w:val="231F20"/>
        </w:rPr>
      </w:pPr>
    </w:p>
    <w:p>
      <w:pPr>
        <w:ind w:left="1020" w:right="400" w:hanging="503"/>
        <w:spacing w:after="0" w:line="282"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ME-344 treated patients, mean relative Ki67 decreases were 23% compared to an increase of 186% in the bevacizumab monotherapy group (P &lt; 0.01).</w:t>
      </w:r>
    </w:p>
    <w:p>
      <w:pPr>
        <w:spacing w:after="0" w:line="53" w:lineRule="exact"/>
        <w:rPr>
          <w:rFonts w:ascii="Times New Roman" w:cs="Times New Roman" w:eastAsia="Times New Roman" w:hAnsi="Times New Roman"/>
          <w:sz w:val="18"/>
          <w:szCs w:val="18"/>
          <w:color w:val="231F20"/>
        </w:rPr>
      </w:pPr>
    </w:p>
    <w:p>
      <w:pPr>
        <w:jc w:val="both"/>
        <w:ind w:left="1020" w:right="180" w:hanging="503"/>
        <w:spacing w:after="0" w:line="266" w:lineRule="auto"/>
        <w:tabs>
          <w:tab w:leader="none" w:pos="10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231F20"/>
        </w:rPr>
        <w:t>Treatment was generally well tolerated; three grade 3 adverse events of high blood pressure were reported, two in the ME-344 arm and one in the bevacizumab monotherapy arm.</w:t>
      </w:r>
    </w:p>
    <w:p>
      <w:pPr>
        <w:spacing w:after="0" w:line="5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231F20"/>
        </w:rPr>
        <w:t>Building on the clinical study evaluating patients with breast cancer, a Phase 1b study evaluating ME-344 in combination with bevacizumab in patients with relapsed metastatic colorectal cancer (mCRC) after failure of standard therapies was initiated. The study was designed to evaluate ME-344 plus bevacizumab in up to two cohorts of approximately 20 patients each. The option to enroll the second cohort was conditioned upon Cohort 1 reaching a predetermined non-progression threshold of at least 20% at four months. Patients in the study were treated until disease progression or intolerability. The primary endpoint of the study was 16-week progression free survival (PFS), and secondary endpoints included overall PFS, duration of response, overall survival and safety.</w:t>
      </w:r>
    </w:p>
    <w:p>
      <w:pPr>
        <w:spacing w:after="0" w:line="79"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231F20"/>
        </w:rPr>
        <w:t>ME-344 was administered once weekly on Days 1, 8 and 15 combined with bevacizumab on Days 1 and 15 of each 28-day cycle. Cohort 1 enrolled a total of 23 patients with relapsed mCRC. Patients were generally heavily pretreated; the median number of prior lines of therapy was 4 (range 1-8), 18 (78%) patients had ≥3 prior lines, and all patients had previously received bevacizumab and standard chemotherapy. As reported in April 2024, the combination was generally well tolerated with no overlapping toxicities observed. Two patients (9%) discontinued therapy due to an adverse event: fatigue considered related to study drugs and sepsis considered unrelated. The most common (≥10% of patients) drug-related adverse events (all grades/grade ≥3) were fatigue in 8 (35%) / 3 (13%) patients and abdominal pain in 3 (13%) / 2 (9%) patients.</w:t>
      </w:r>
    </w:p>
    <w:p>
      <w:pPr>
        <w:spacing w:after="0" w:line="79" w:lineRule="exact"/>
        <w:rPr>
          <w:sz w:val="20"/>
          <w:szCs w:val="20"/>
          <w:color w:val="auto"/>
        </w:rPr>
      </w:pPr>
    </w:p>
    <w:p>
      <w:pPr>
        <w:ind w:right="540" w:firstLine="554"/>
        <w:spacing w:after="0" w:line="266" w:lineRule="auto"/>
        <w:rPr>
          <w:sz w:val="20"/>
          <w:szCs w:val="20"/>
          <w:color w:val="auto"/>
        </w:rPr>
      </w:pPr>
      <w:r>
        <w:rPr>
          <w:rFonts w:ascii="Times New Roman" w:cs="Times New Roman" w:eastAsia="Times New Roman" w:hAnsi="Times New Roman"/>
          <w:sz w:val="18"/>
          <w:szCs w:val="18"/>
          <w:color w:val="231F20"/>
        </w:rPr>
        <w:t>It was further reported that in the first cohort, 5 of 20 (25%) evaluable patients completed 16 weeks of therapy without evidence of disease progression, exceeding the 20% predetermined threshold as set forth in the Clinical Study Protocol to proceed to Cohort 2. The median PFS was 1.9 months, the 4-month PFS rate was 31.2%, and the median overall survival was 6.7 months with 15 patients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censored at the time of analysis. Nine (45%) of the 20 evaluable patients had stable disease. Although Cohort 1 exceeded the predetermined PFS threshold, we decided not to initiate enrollment in a second cohort.</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231F20"/>
        </w:rPr>
        <w:t>Results from an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231F20"/>
        </w:rPr>
        <w:t>Through October 22, 2024, we were pursuing ME-344 via development of a new formulation to advance our novel approach to inducing synthetic lethality in tumors in combination with VEGF inhibitors such as bevacizumab (Avastin®). We had already initiated research and development activity of the new formulation, with the goal of increasing biological activity, improving patient convenience of administration and increasing commercial opportunity.</w:t>
      </w:r>
    </w:p>
    <w:p>
      <w:pPr>
        <w:spacing w:after="0" w:line="7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231F20"/>
        </w:rPr>
        <w:t>Also, through October 22, 2024, we were advancing ME-344 in combination with the anti-angiogenic antibody bevacizumab in a Phase 1b study evaluating patients with relapsed colorectal cancer. The study enrolled patients with progressive disease after failure of standard therapies with patients treated until disease progression or intolerance. The primary objective was progression free survival. Secondary endpoints included overall response rate, duration of response, overall survival and safety. 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Zandelisib: PI3Kδ Inhibitor Overview</w:t>
      </w:r>
    </w:p>
    <w:p>
      <w:pPr>
        <w:spacing w:after="0" w:line="119"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231F20"/>
        </w:rPr>
        <w:t>Zandelisib is an oral, once-daily, selective PI3Kδ inhibitor that we were jointly developing with Kyowa Kirin Co., Ltd. (KKC) under a global license, development and commercialization agreement entered into in April 2020.</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231F20"/>
        </w:rPr>
        <w:t>In March 2022,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was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75"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231F20"/>
        </w:rPr>
        <w:t>Subsequently, in May 2023, KKC decided to discontinue development of zandelisib in Japan. The discontinuation of zandelisib in Japan was a business decision by KKC based on the most recent regulatory guidance from the Pharmaceuticals and Medical Devices Agency in Japan and was not related to the zandelisib clinical data generated to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KKC License, Development and Commercialization Agreement</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In April 2020, we entered into the April 2020, License, Development and Commercialization Agreement with KKC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Also, under the KKC Commercialization Agreement, we were granted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and were paid an initial non-refundable payment of $100.0 million. Additionally, in Japan, the KKC Commercialization Agreement included potential regulatory and commercialization milestone payments plus royalties on net sales of zandelisib in Japan, which are tiered beginning in the teens. Prior to the execution of the Termination Agreement as discussed below, KKC was responsible for the development and commercialization of zandelisib in the Ex-U.S. and, subject to certain exceptions, solely responsible for all costs related thereto. We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also provided to KKC certain drug supplies necessary for the development and commercialization of zandelisib in the Ex-U.S., with the understanding that KKC would have assumed responsibility for manufacturing for the Ex-U.S. as soon as practicable.</w:t>
      </w:r>
    </w:p>
    <w:p>
      <w:pPr>
        <w:spacing w:after="0" w:line="54" w:lineRule="exact"/>
        <w:rPr>
          <w:sz w:val="20"/>
          <w:szCs w:val="20"/>
          <w:color w:val="auto"/>
        </w:rPr>
      </w:pPr>
    </w:p>
    <w:p>
      <w:pPr>
        <w:ind w:right="1100" w:firstLine="509"/>
        <w:spacing w:after="0" w:line="282" w:lineRule="auto"/>
        <w:rPr>
          <w:sz w:val="20"/>
          <w:szCs w:val="20"/>
          <w:color w:val="auto"/>
        </w:rPr>
      </w:pPr>
      <w:r>
        <w:rPr>
          <w:rFonts w:ascii="Times New Roman" w:cs="Times New Roman" w:eastAsia="Times New Roman" w:hAnsi="Times New Roman"/>
          <w:sz w:val="18"/>
          <w:szCs w:val="18"/>
          <w:color w:val="231F20"/>
        </w:rPr>
        <w:t>On July 14, 2023, we entered into a Termination Agreement with KKC (the Termination Agreement) to mutually terminate the KKC Commercialization Agreement and all other related agreements between the parties. Pursuant to the Termi</w:t>
      </w:r>
      <w:r>
        <w:rPr>
          <w:rFonts w:ascii="Times New Roman" w:cs="Times New Roman" w:eastAsia="Times New Roman" w:hAnsi="Times New Roman"/>
          <w:sz w:val="18"/>
          <w:szCs w:val="18"/>
          <w:color w:val="000000"/>
        </w:rPr>
        <w:t>nation Agreement:</w:t>
      </w:r>
    </w:p>
    <w:p>
      <w:pPr>
        <w:spacing w:after="0" w:line="54" w:lineRule="exact"/>
        <w:rPr>
          <w:sz w:val="20"/>
          <w:szCs w:val="20"/>
          <w:color w:val="auto"/>
        </w:rPr>
      </w:pPr>
    </w:p>
    <w:p>
      <w:pPr>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regained full, global rights to develop, manufacture and commercialize zandelisib, subject to KKC's limited rights to use zandelisib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6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released the other party from any and all claims, demands, etc. arising from the </w:t>
      </w:r>
      <w:r>
        <w:rPr>
          <w:rFonts w:ascii="Times New Roman" w:cs="Times New Roman" w:eastAsia="Times New Roman" w:hAnsi="Times New Roman"/>
          <w:sz w:val="18"/>
          <w:szCs w:val="18"/>
          <w:color w:val="231F20"/>
        </w:rPr>
        <w:t>KKC Commercialization Agreement</w:t>
      </w:r>
      <w:r>
        <w:rPr>
          <w:rFonts w:ascii="Times New Roman" w:cs="Times New Roman" w:eastAsia="Times New Roman" w:hAnsi="Times New Roman"/>
          <w:sz w:val="18"/>
          <w:szCs w:val="18"/>
          <w:color w:val="auto"/>
        </w:rPr>
        <w:t>, excluding certain surviving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obligated to deliver a discrete quantity of materials to facilitate KKC's compassionate use activities.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231F20"/>
        </w:rPr>
        <w:t xml:space="preserve">As of June 30, 2023, we had $64.9 million of aggregate deferred revenue associated with the KKC Commercialization Agreement, of which $64.5 million was allocated to the U.S. License and $0.3 million was allocated to the Development Services performance obligations which were recognized based on the proportional performance of these development activities through wind-down of the associated trials. As further discussed in </w:t>
      </w:r>
      <w:r>
        <w:rPr>
          <w:rFonts w:ascii="Times New Roman" w:cs="Times New Roman" w:eastAsia="Times New Roman" w:hAnsi="Times New Roman"/>
          <w:sz w:val="18"/>
          <w:szCs w:val="18"/>
          <w:i w:val="1"/>
          <w:iCs w:val="1"/>
          <w:u w:val="single" w:color="auto"/>
          <w:color w:val="0000FF"/>
        </w:rPr>
        <w:t>Note 7. License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color w:val="231F20"/>
        </w:rPr>
        <w:t>, in connection with the execution of the Termination Agreement during the three months ended September 30, 2023, we recognized the $64.5</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231F20"/>
        </w:rPr>
        <w:t>million of noncash long-term deferred revenue associated with the U.S. License as well as the remaining $0.3 million noncash deferred revenue associated with the completion of the underlying proportional performance activities. As of September 30, 2023, all deferred revenue associated with the KKC Commercialization Agreement had been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6337935</wp:posOffset>
            </wp:positionH>
            <wp:positionV relativeFrom="paragraph">
              <wp:posOffset>-579755</wp:posOffset>
            </wp:positionV>
            <wp:extent cx="7359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5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539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91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4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(4,875 )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 below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5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r>
      <w:tr>
        <w:trPr>
          <w:trHeight w:val="210"/>
        </w:trPr>
        <w:tc>
          <w:tcPr>
            <w:tcW w:w="65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ME-344</w:t>
            </w:r>
          </w:p>
        </w:tc>
        <w:tc>
          <w:tcPr>
            <w:tcW w:w="1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(104 )</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8"/>
                <w:szCs w:val="18"/>
                <w:color w:val="auto"/>
              </w:rPr>
            </w:pPr>
          </w:p>
        </w:tc>
      </w:tr>
      <w:tr>
        <w:trPr>
          <w:trHeight w:val="250"/>
        </w:trPr>
        <w:tc>
          <w:tcPr>
            <w:tcW w:w="6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$3.6 million to $0.3 million for the three months ended December 31, 2024 compared to $3.9 million for the three months ended December 31, 2023. Research and development costs decreased compared to the same period in 2023 as a result of our announcement in July 2024 to explore strategic alternatives, at which time all clinical studies were ceased resulting in a reduction of close out costs and we initiated reductions in our workforce.</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$4.9 million to $3.1 million for the three months ended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compared to $8.0 million for the three months ended December 31, 2023. General and administrative costs decreased compared to the same period in 2023 primarily as a result of our announcement in July 2024 to explore strategic alternatives, at which time all administrative support activities related to clinical studies were ceased, including reduced payroll and related costs from further reductions in our workforce totaling approximately $1.2 million, and the reduction in legal and professional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of approximately $2.6 million associated with various stockholder related items from the prior fiscal year with no current period recurrence.</w:t>
      </w:r>
    </w:p>
    <w:p>
      <w:pPr>
        <w:spacing w:after="0" w:line="22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$0.1 million to $0.8 million for the three months ended December 31, 2024 compared to $0.9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December 31, 2023. The decrease in other income, net was due to lower average investment balances partially offset by a gain recognized on the sale of our ME-344 asset.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December 31, 2024 and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components of our results of operations (in thousands):</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9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December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restart"/>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4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(3,926 )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(6,217 )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(841 )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During the six months ended December 31, 2024, we recognized no revenue due to all deferred revenue associated with the KKC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Agreement having been recognized in fiscal year 2024, upon entry into the Termination Agreement. During the six months ended December 31, 2023, we recognized revenue of $65.3 million from the KKC Commercialization Agreement.</w:t>
      </w:r>
    </w:p>
    <w:p>
      <w:pPr>
        <w:spacing w:after="0" w:line="6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is a summary of our research and development expenses to supplement the more detailed discussion below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4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35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Six Months Ended December 31,</w:t>
            </w:r>
          </w:p>
        </w:tc>
        <w:tc>
          <w:tcPr>
            <w:tcW w:w="0" w:type="dxa"/>
            <w:vAlign w:val="bottom"/>
          </w:tcPr>
          <w:p>
            <w:pPr>
              <w:spacing w:after="0"/>
              <w:rPr>
                <w:sz w:val="1"/>
                <w:szCs w:val="1"/>
                <w:color w:val="auto"/>
              </w:rPr>
            </w:pPr>
          </w:p>
        </w:tc>
      </w:tr>
      <w:tr>
        <w:trPr>
          <w:trHeight w:val="21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zandelisib</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vMerge w:val="continue"/>
          </w:tcPr>
          <w:p>
            <w:pPr>
              <w:spacing w:after="0"/>
              <w:rPr>
                <w:sz w:val="18"/>
                <w:szCs w:val="18"/>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vMerge w:val="continue"/>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voruciclib</w:t>
            </w:r>
          </w:p>
        </w:tc>
        <w:tc>
          <w:tcPr>
            <w:tcW w:w="11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ME-344</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59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72" w:lineRule="auto"/>
        <w:rPr>
          <w:sz w:val="20"/>
          <w:szCs w:val="20"/>
          <w:color w:val="auto"/>
        </w:rPr>
      </w:pPr>
      <w:r>
        <w:rPr>
          <w:rFonts w:ascii="Times New Roman" w:cs="Times New Roman" w:eastAsia="Times New Roman" w:hAnsi="Times New Roman"/>
          <w:sz w:val="17"/>
          <w:szCs w:val="17"/>
          <w:color w:val="auto"/>
        </w:rPr>
        <w:t>Research and development costs decreased by $3.9 million to $3.5 million for the six months ended December 31, 2024 compared to $7.4 million for the six months ended December 31, 2023. Research and development costs primarily decreased compared to the same period in 2023 as a result of our announcement in July 2024 to explore strategic alternatives, at which time all clinical studies were ceased and we initiated reductions in our workforce.</w:t>
      </w:r>
    </w:p>
    <w:p>
      <w:pPr>
        <w:spacing w:after="0" w:line="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These decreases were partially offset by increased costs associated with voruciclib mainly due to greater recognized manufacturing and clinical costs in the Phase 1 study prior to the July 2024 announcement to explore strategic alternatives and increased costs associated with nonclinical studies costs.</w:t>
      </w:r>
    </w:p>
    <w:p>
      <w:pPr>
        <w:spacing w:after="0" w:line="1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and administrative expenses decreased by $6.2 million to $8.3 million for the six months ended December 31,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$14.5 million for the six months ended December 31, 2023. General and administrative costs decreased compared to the same period in 2023 primarily as a result of our announcement in July 2024 to explore strategic alternatives, at which time all administrative support activities related to clinical studies were ceased, including reduced payroll and related costs from further reductions in our workforce totaling approximately $0.7 million, and the reduction in legal and professional fees of approximately $4.2 million associated with various stockholder related items from the prior fiscal year with no current period recurrence.</w:t>
      </w:r>
    </w:p>
    <w:p>
      <w:pPr>
        <w:spacing w:after="0" w:line="18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by approximately $0.8 million to $1.1 million for the six months ended December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 million for the six months ended December 31, 2023. The decrease in other income, net was due to lower average investment balances partially offset by a gain recognized on the sale of our ME-344 asset.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To date, we have obtained cash and funded our operations primarily through equity financings and license agreements. There can be no assurance that we will be able to continue to raise additional capital in the future. We have accumulated losses of $398.9 million since inception and expect to incur operating losses and generate negative cash flows from operations for the foreseeable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future. As of December 31, 2024, we had $23.7 million in cash and cash equivalents. On July 22, 2024, we announced that our Board had determined unanimously to begin the evaluation of our strategic alternatives, including potential transactions as well as an orderly wind down of operations, if appropriate, to maximize the value of our assets for our stockholders. In connection with the exploration of strategic alternatives, we initiated the Strategic Alternatives RIF to reduce headcount on August 1, 2024 and discontinued the clinical development of voruciclib. As a result of this announcement, we expect our research and development expenses to decrease significantly as we discontinued our clinical research and development activities along with decreased general and administrative costs as we reduce headcount and other operational expenses that supported research and development activities. We will continue to incur research and development expenses in connection with clinical trial closing costs and the completion of certain ongoing nonclinical activities. We believe our cash balance is sufficient to fund operations for at least the next 12 months.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Sources and Uses of Our Cash</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December 31, 2024 of $15.1 million consisted of our net loss of $10.7 million, $4.3 million in changes in our operating assets and $0.1 million for noncash items. Net cash used in operating activities for the six months ended December 31, 2023 of $29.5 million consisted of our net income of $45.3 million and $2.1 million in noncash items offset by changes in our operating assets and liabilities of $77.0 million primarily due to recognition of $64.9 million in deferred revenue.</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December 31, 2024 was $35.2 million as compared to $29.5 million net cash provided by investing activities for the six months ended December 31, 2023. The change in net cash provided by investing activities was primarily due to more net short-term investment activity during the six months ended December 31, 2024 and the proceeds recognized on the disposition of a non-financial asset with no similar transaction in the prior period.</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December 31, 2024, we had no financing activities. Net cash used in financing activities for the six months ended December 31, 2023 was $11.7 million due to the payment of dividends agreed to under the Cooperation Agreement.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 Resource Requirements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June 18, 2024, we entered into a lease termination agreement (Agreement) with our landlord for our offices at 11455 El Camino Real, Suite 200 and Suite 250, San Diego, California. Under the Agreement, the lease terminated on September 30, 2024, rather than its scheduled expiration date of November 30, 2029. During the fiscal year ended June 30, 2024, we paid the landlord a termination fee totaling approximately $11.1 million in addition to prepaying the remaining rent under the Agreement in the amount of approximately $0.2 million. We have no further financial obligations under the Agreement.</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54" w:lineRule="exact"/>
        <w:rPr>
          <w:sz w:val="20"/>
          <w:szCs w:val="20"/>
          <w:color w:val="auto"/>
        </w:rPr>
      </w:pPr>
    </w:p>
    <w:p>
      <w:pPr>
        <w:ind w:left="1020" w:right="10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Times New Roman" w:cs="Times New Roman" w:eastAsia="Times New Roman" w:hAnsi="Times New Roman"/>
          <w:sz w:val="18"/>
          <w:szCs w:val="18"/>
          <w:i w:val="1"/>
          <w:iCs w:val="1"/>
          <w:u w:val="single" w:color="auto"/>
          <w:color w:val="0000FF"/>
        </w:rPr>
        <w:t>Note 8. Other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Agreements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Note 6. Commitments and Contingencies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to our condensed consolidated financial statements and related notes included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elsewhere in this Quarterly Report;</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contracts which are cancelable without significant penalty;</w:t>
      </w:r>
    </w:p>
    <w:p>
      <w:pPr>
        <w:spacing w:after="0" w:line="117"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issued in the ordinary course of business as they represent authorizations to purchase the items rather than binding agreements;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 the normal course of business with clinical supply manufacturers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-1214120</wp:posOffset>
            </wp:positionV>
            <wp:extent cx="10312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3124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-1076960</wp:posOffset>
            </wp:positionV>
            <wp:extent cx="26301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30170" cy="8890"/>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Board's decision regarding strategic alternatives;</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marketing and distribution capabilities if we obtain regulatory approvals to market our product candidates;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4" w:lineRule="exact"/>
        <w:rPr>
          <w:sz w:val="20"/>
          <w:szCs w:val="20"/>
          <w:color w:val="auto"/>
        </w:rPr>
      </w:pPr>
    </w:p>
    <w:p>
      <w:pPr>
        <w:ind w:left="1020" w:right="5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and producing drug substance and drug product material for use in preclinical studies, clinical trials and for use as commercial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development activities and commercial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 and</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Estimate Considerations Related to Macroeconomic Conditions and other Geopolitical Conditions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Due to recent disruptions in access to bank deposits and lending commitments associated with macroeconomic and geopolitical conditions, there has been uncertainty and disruption in the global economy and financial markets. We are not aware of any specific event or circumstance that would require an update to our estimates or judgments or a revision of the carrying value of our assets or liabilities as of December 31, 2024. While there was no material impact to our condensed consolidated financial statements as of and for the three months ended December 31, 2024, these estimates may change, as new events occur and additional information is obtained, which could materially impact our condensed consolidated financial statements in future reporting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the notes to the financial statements included in our 2024 Annual Report. We discuss our critical accounting estimates in </w:t>
      </w:r>
      <w:r>
        <w:rPr>
          <w:rFonts w:ascii="Times New Roman" w:cs="Times New Roman" w:eastAsia="Times New Roman" w:hAnsi="Times New Roman"/>
          <w:sz w:val="18"/>
          <w:szCs w:val="18"/>
          <w:i w:val="1"/>
          <w:iCs w:val="1"/>
          <w:color w:val="auto"/>
        </w:rPr>
        <w:t>Item 7. Management’s Discussion and Analysis of Financial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Results of Operations</w:t>
      </w:r>
      <w:r>
        <w:rPr>
          <w:rFonts w:ascii="Times New Roman" w:cs="Times New Roman" w:eastAsia="Times New Roman" w:hAnsi="Times New Roman"/>
          <w:sz w:val="18"/>
          <w:szCs w:val="18"/>
          <w:color w:val="auto"/>
        </w:rPr>
        <w:t>, in our 2024 Annual Report. There have been no changes in our significant accounting policies or critical accounting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u w:val="single" w:color="auto"/>
          <w:color w:val="0000FF"/>
        </w:rPr>
        <w:t>Note 2. 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Quarterly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wp:posOffset>
            </wp:positionV>
            <wp:extent cx="237680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7680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1D2228"/>
        </w:rPr>
        <w:t>As a smaller reporting company, the Company is not required to provide the information otherwise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As of the end of the period covered by this Quarterly Report, or December 31, 2024, our management, with the participation of our principal executive officer and principal financial officer, has evaluated the effectiveness of our disclosure controls and procedures as defined in Rules 13a-15(e) and 15d-15(e) under the Exchange Act. Based on such evaluation, our principal executive officer and principal financial officer have concluded that, as of such date, our disclosure controls and procedures were effective.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509"/>
        <w:spacing w:after="0" w:line="220" w:lineRule="exact"/>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and principal financial officer, we carried out an evaluation of any potential changes in our internal control over financial reporting during the fiscal quarter ended December 31, 2024. There were no changes in our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that occurred during the fiscal quarter ended December 31, 2024 that has materially affected, or is reasonably likely to materially affect, our internal control over financial reporting.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21" w:lineRule="exact"/>
        <w:rPr>
          <w:sz w:val="20"/>
          <w:szCs w:val="20"/>
          <w:color w:val="auto"/>
        </w:rPr>
      </w:pPr>
    </w:p>
    <w:p>
      <w:pPr>
        <w:ind w:firstLine="554"/>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in our risk factors from those included in our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None of our executive officers or directors have adopted, modified or terminated any contract, instruction, or written plan for the purchase or sale of the Company's securities that was intended to satisfy the affirmative defense conditions of Rule 10b5-1 (c) or any "non-Rule 10b5-1 trading arrangement" (as defined in Item 408(c) of Regulation S-K) during the six months ended December 31, 2024.</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 Herein</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gridSpan w:val="18"/>
            <w:vMerge w:val="continue"/>
          </w:tcPr>
          <w:p>
            <w:pPr>
              <w:spacing w:after="0"/>
              <w:rPr>
                <w:sz w:val="16"/>
                <w:szCs w:val="16"/>
                <w:color w:val="auto"/>
              </w:rPr>
            </w:pPr>
          </w:p>
        </w:tc>
        <w:tc>
          <w:tcPr>
            <w:tcW w:w="12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Schedule/</w:t>
            </w:r>
          </w:p>
        </w:tc>
        <w:tc>
          <w:tcPr>
            <w:tcW w:w="100" w:type="dxa"/>
            <w:vAlign w:val="bottom"/>
          </w:tcPr>
          <w:p>
            <w:pPr>
              <w:spacing w:after="0"/>
              <w:rPr>
                <w:sz w:val="16"/>
                <w:szCs w:val="16"/>
                <w:color w:val="auto"/>
              </w:rPr>
            </w:pPr>
          </w:p>
        </w:tc>
        <w:tc>
          <w:tcPr>
            <w:tcW w:w="138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16"/>
                <w:szCs w:val="16"/>
                <w:color w:val="auto"/>
              </w:rPr>
            </w:pPr>
          </w:p>
        </w:tc>
        <w:tc>
          <w:tcPr>
            <w:tcW w:w="1280" w:type="dxa"/>
            <w:vAlign w:val="bottom"/>
            <w:gridSpan w:val="3"/>
          </w:tcPr>
          <w:p>
            <w:pPr>
              <w:ind w:left="280"/>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42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Asset Purchase Agreement, by and between MEI Pharma,</w:t>
              </w:r>
            </w:hyperlink>
          </w:p>
        </w:tc>
        <w:tc>
          <w:tcPr>
            <w:tcW w:w="14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001-41827</w:t>
            </w:r>
          </w:p>
        </w:tc>
        <w:tc>
          <w:tcPr>
            <w:tcW w:w="120" w:type="dxa"/>
            <w:vAlign w:val="bottom"/>
          </w:tcPr>
          <w:p>
            <w:pPr>
              <w:spacing w:after="0"/>
              <w:rPr>
                <w:sz w:val="14"/>
                <w:szCs w:val="14"/>
                <w:color w:val="auto"/>
              </w:rPr>
            </w:pPr>
          </w:p>
        </w:tc>
        <w:tc>
          <w:tcPr>
            <w:tcW w:w="11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October 25,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Inc. and Aardvark Therapeutics, Inc., dated as of October</w:t>
              </w:r>
            </w:hyperlink>
          </w:p>
        </w:tc>
        <w:tc>
          <w:tcPr>
            <w:tcW w:w="26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line="196" w:lineRule="exact"/>
              <w:rPr>
                <w:rFonts w:ascii="Times New Roman" w:cs="Times New Roman" w:eastAsia="Times New Roman" w:hAnsi="Times New Roman"/>
                <w:sz w:val="18"/>
                <w:szCs w:val="18"/>
                <w:color w:val="0000FF"/>
                <w:w w:val="97"/>
              </w:rPr>
            </w:pPr>
            <w:hyperlink r:id="rId221">
              <w:r>
                <w:rPr>
                  <w:rFonts w:ascii="Times New Roman" w:cs="Times New Roman" w:eastAsia="Times New Roman" w:hAnsi="Times New Roman"/>
                  <w:sz w:val="18"/>
                  <w:szCs w:val="18"/>
                  <w:color w:val="0000FF"/>
                  <w:w w:val="97"/>
                </w:rPr>
                <w:t>22, 2024.</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43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Certificate of Incorporation of MEI</w:t>
              </w:r>
            </w:hyperlink>
          </w:p>
        </w:tc>
        <w:tc>
          <w:tcPr>
            <w:tcW w:w="160" w:type="dxa"/>
            <w:vAlign w:val="bottom"/>
            <w:gridSpan w:val="3"/>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February 13, 2024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Pharma, Inc.</w:t>
              </w:r>
            </w:hyperlink>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42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Sixth Amended and Restated Bylaws of MEI Pharma, Inc.</w:t>
              </w:r>
            </w:hyperlink>
          </w:p>
        </w:tc>
        <w:tc>
          <w:tcPr>
            <w:tcW w:w="220" w:type="dxa"/>
            <w:vAlign w:val="bottom"/>
            <w:gridSpan w:val="4"/>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001-41827</w:t>
            </w:r>
          </w:p>
        </w:tc>
        <w:tc>
          <w:tcPr>
            <w:tcW w:w="12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December 22,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adopted as of December 18, 2023</w:t>
              </w:r>
            </w:hyperlink>
          </w:p>
        </w:tc>
        <w:tc>
          <w:tcPr>
            <w:tcW w:w="20" w:type="dxa"/>
            <w:vAlign w:val="bottom"/>
            <w:tcBorders>
              <w:bottom w:val="single" w:sz="8" w:color="0000EE"/>
            </w:tcBorders>
          </w:tcPr>
          <w:p>
            <w:pPr>
              <w:spacing w:after="0"/>
              <w:rPr>
                <w:sz w:val="17"/>
                <w:szCs w:val="17"/>
                <w:color w:val="auto"/>
              </w:rPr>
            </w:pPr>
          </w:p>
        </w:tc>
        <w:tc>
          <w:tcPr>
            <w:tcW w:w="2020" w:type="dxa"/>
            <w:vAlign w:val="bottom"/>
            <w:gridSpan w:val="14"/>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Certificate of Designation of Series A Convertible Preferred</w:t>
              </w:r>
            </w:hyperlink>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11, 2011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Stock of Marshall Edwards, Inc.</w:t>
              </w:r>
            </w:hyperlink>
          </w:p>
        </w:tc>
        <w:tc>
          <w:tcPr>
            <w:tcW w:w="1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41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Certificate of Designation of Series B Preferred Stock of</w:t>
              </w:r>
            </w:hyperlink>
          </w:p>
        </w:tc>
        <w:tc>
          <w:tcPr>
            <w:tcW w:w="340" w:type="dxa"/>
            <w:vAlign w:val="bottom"/>
            <w:gridSpan w:val="9"/>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18, 2011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225">
              <w:r>
                <w:rPr>
                  <w:rFonts w:ascii="Times New Roman" w:cs="Times New Roman" w:eastAsia="Times New Roman" w:hAnsi="Times New Roman"/>
                  <w:sz w:val="18"/>
                  <w:szCs w:val="18"/>
                  <w:color w:val="0000FF"/>
                  <w:w w:val="98"/>
                </w:rPr>
                <w:t>Marshall Edwards, Inc.</w:t>
              </w:r>
            </w:hyperlink>
          </w:p>
        </w:tc>
        <w:tc>
          <w:tcPr>
            <w:tcW w:w="20" w:type="dxa"/>
            <w:vAlign w:val="bottom"/>
            <w:tcBorders>
              <w:bottom w:val="single" w:sz="8" w:color="0000EE"/>
            </w:tcBorders>
          </w:tcPr>
          <w:p>
            <w:pPr>
              <w:spacing w:after="0"/>
              <w:rPr>
                <w:sz w:val="17"/>
                <w:szCs w:val="17"/>
                <w:color w:val="auto"/>
              </w:rPr>
            </w:pPr>
          </w:p>
        </w:tc>
        <w:tc>
          <w:tcPr>
            <w:tcW w:w="2760" w:type="dxa"/>
            <w:vAlign w:val="bottom"/>
            <w:gridSpan w:val="1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Certification of Designation of Series A Junior Participating</w:t>
              </w:r>
            </w:hyperlink>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October 3, 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226">
              <w:r>
                <w:rPr>
                  <w:rFonts w:ascii="Times New Roman" w:cs="Times New Roman" w:eastAsia="Times New Roman" w:hAnsi="Times New Roman"/>
                  <w:sz w:val="18"/>
                  <w:szCs w:val="18"/>
                  <w:color w:val="0000FF"/>
                  <w:w w:val="97"/>
                </w:rPr>
                <w:t>Preferred Stock</w:t>
              </w:r>
            </w:hyperlink>
          </w:p>
        </w:tc>
        <w:tc>
          <w:tcPr>
            <w:tcW w:w="20" w:type="dxa"/>
            <w:vAlign w:val="bottom"/>
            <w:tcBorders>
              <w:top w:val="single" w:sz="8" w:color="0000FF"/>
              <w:bottom w:val="single" w:sz="8" w:color="0000EE"/>
            </w:tcBorders>
          </w:tcPr>
          <w:p>
            <w:pPr>
              <w:spacing w:after="0"/>
              <w:rPr>
                <w:sz w:val="17"/>
                <w:szCs w:val="17"/>
                <w:color w:val="auto"/>
              </w:rPr>
            </w:pPr>
          </w:p>
        </w:tc>
        <w:tc>
          <w:tcPr>
            <w:tcW w:w="3180" w:type="dxa"/>
            <w:vAlign w:val="bottom"/>
            <w:tcBorders>
              <w:top w:val="single" w:sz="8" w:color="0000FF"/>
            </w:tcBorders>
            <w:gridSpan w:val="20"/>
          </w:tcPr>
          <w:p>
            <w:pPr>
              <w:spacing w:after="0"/>
              <w:rPr>
                <w:sz w:val="17"/>
                <w:szCs w:val="17"/>
                <w:color w:val="auto"/>
              </w:rPr>
            </w:pPr>
          </w:p>
        </w:tc>
        <w:tc>
          <w:tcPr>
            <w:tcW w:w="14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4460" w:type="dxa"/>
            <w:vAlign w:val="bottom"/>
            <w:gridSpan w:val="26"/>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Specimen Stock Certificate</w:t>
              </w:r>
            </w:hyperlink>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48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333-109129</w:t>
            </w:r>
          </w:p>
        </w:tc>
        <w:tc>
          <w:tcPr>
            <w:tcW w:w="126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October 31, 2023</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2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228">
              <w:r>
                <w:rPr>
                  <w:rFonts w:ascii="Times New Roman" w:cs="Times New Roman" w:eastAsia="Times New Roman" w:hAnsi="Times New Roman"/>
                  <w:sz w:val="18"/>
                  <w:szCs w:val="18"/>
                  <w:color w:val="0000FF"/>
                  <w:w w:val="98"/>
                </w:rPr>
                <w:t>Form of Warrant</w:t>
              </w:r>
            </w:hyperlink>
          </w:p>
        </w:tc>
        <w:tc>
          <w:tcPr>
            <w:tcW w:w="20" w:type="dxa"/>
            <w:vAlign w:val="bottom"/>
            <w:tcBorders>
              <w:top w:val="single" w:sz="8" w:color="0000FF"/>
              <w:bottom w:val="single" w:sz="8" w:color="0000EE"/>
            </w:tcBorders>
          </w:tcPr>
          <w:p>
            <w:pPr>
              <w:spacing w:after="0"/>
              <w:rPr>
                <w:sz w:val="17"/>
                <w:szCs w:val="17"/>
                <w:color w:val="auto"/>
              </w:rPr>
            </w:pPr>
          </w:p>
        </w:tc>
        <w:tc>
          <w:tcPr>
            <w:tcW w:w="720" w:type="dxa"/>
            <w:vAlign w:val="bottom"/>
            <w:tcBorders>
              <w:top w:val="single" w:sz="8" w:color="0000FF"/>
            </w:tcBorders>
            <w:gridSpan w:val="3"/>
          </w:tcPr>
          <w:p>
            <w:pPr>
              <w:spacing w:after="0"/>
              <w:rPr>
                <w:sz w:val="17"/>
                <w:szCs w:val="17"/>
                <w:color w:val="auto"/>
              </w:rPr>
            </w:pPr>
          </w:p>
        </w:tc>
        <w:tc>
          <w:tcPr>
            <w:tcW w:w="2500" w:type="dxa"/>
            <w:vAlign w:val="bottom"/>
            <w:gridSpan w:val="17"/>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8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000-50484</w:t>
            </w:r>
          </w:p>
        </w:tc>
        <w:tc>
          <w:tcPr>
            <w:tcW w:w="126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May 16, 2018</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and Financial Officer</w:t>
            </w:r>
          </w:p>
        </w:tc>
        <w:tc>
          <w:tcPr>
            <w:tcW w:w="26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 under the</w:t>
            </w:r>
          </w:p>
        </w:tc>
        <w:tc>
          <w:tcPr>
            <w:tcW w:w="620" w:type="dxa"/>
            <w:vAlign w:val="bottom"/>
            <w:gridSpan w:val="11"/>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w:t>
            </w:r>
          </w:p>
        </w:tc>
        <w:tc>
          <w:tcPr>
            <w:tcW w:w="280" w:type="dxa"/>
            <w:vAlign w:val="bottom"/>
            <w:gridSpan w:val="7"/>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1000" w:type="dxa"/>
            <w:vAlign w:val="bottom"/>
            <w:gridSpan w:val="12"/>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416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300" w:type="dxa"/>
            <w:vAlign w:val="bottom"/>
            <w:gridSpan w:val="8"/>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Officer required by Rule 13a-14(b) or Rule 15d-</w:t>
            </w:r>
          </w:p>
        </w:tc>
        <w:tc>
          <w:tcPr>
            <w:tcW w:w="260" w:type="dxa"/>
            <w:vAlign w:val="bottom"/>
            <w:gridSpan w:val="6"/>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14(b) and Section 1350 of Chapter 63 of Title 18 of the</w:t>
            </w:r>
          </w:p>
        </w:tc>
        <w:tc>
          <w:tcPr>
            <w:tcW w:w="440" w:type="dxa"/>
            <w:vAlign w:val="bottom"/>
            <w:gridSpan w:val="10"/>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United States Code (18 U.S.C 1350).</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80" w:type="dxa"/>
            <w:vAlign w:val="bottom"/>
            <w:tcBorders>
              <w:right w:val="single" w:sz="8" w:color="0000EE"/>
            </w:tcBorders>
            <w:gridSpan w:val="13"/>
            <w:shd w:val="clear" w:color="auto" w:fill="0000FF"/>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4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 XBRL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160" w:right="5780" w:hanging="1139"/>
        <w:spacing w:after="0" w:line="265" w:lineRule="auto"/>
        <w:tabs>
          <w:tab w:leader="none" w:pos="11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 the cover page interactive data file does not appear in the Interactive Data File because its XBRL tags are embedded within the XBRL</w:t>
      </w:r>
    </w:p>
    <w:p>
      <w:pPr>
        <w:ind w:left="1160"/>
        <w:spacing w:after="0"/>
        <w:rPr>
          <w:sz w:val="20"/>
          <w:szCs w:val="20"/>
          <w:color w:val="auto"/>
        </w:rPr>
      </w:pPr>
      <w:r>
        <w:rPr>
          <w:rFonts w:ascii="Times New Roman" w:cs="Times New Roman" w:eastAsia="Times New Roman" w:hAnsi="Times New Roman"/>
          <w:sz w:val="18"/>
          <w:szCs w:val="18"/>
          <w:color w:val="auto"/>
        </w:rPr>
        <w:t>document.</w:t>
      </w:r>
    </w:p>
    <w:p>
      <w:pPr>
        <w:spacing w:after="0" w:line="9" w:lineRule="exact"/>
        <w:rPr>
          <w:sz w:val="20"/>
          <w:szCs w:val="20"/>
          <w:color w:val="auto"/>
        </w:rPr>
      </w:pPr>
    </w:p>
    <w:p>
      <w:pPr>
        <w:ind w:left="1160" w:hanging="1139"/>
        <w:spacing w:after="0"/>
        <w:tabs>
          <w:tab w:leader="none" w:pos="1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160" w:hanging="1139"/>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MEI Pharma, Inc.</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 February 12, 2025</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MEI Pharma, Inc.;</w:t>
      </w:r>
    </w:p>
    <w:p>
      <w:pPr>
        <w:spacing w:after="0" w:line="117" w:lineRule="exact"/>
        <w:rPr>
          <w:rFonts w:ascii="Times New Roman" w:cs="Times New Roman" w:eastAsia="Times New Roman" w:hAnsi="Times New Roman"/>
          <w:sz w:val="18"/>
          <w:szCs w:val="18"/>
          <w:color w:val="auto"/>
        </w:rPr>
      </w:pPr>
    </w:p>
    <w:p>
      <w:pPr>
        <w:jc w:val="both"/>
        <w:ind w:left="520" w:right="10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right="4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Justin J. File</w:t>
            </w:r>
          </w:p>
        </w:tc>
        <w:tc>
          <w:tcPr>
            <w:tcW w:w="20" w:type="dxa"/>
            <w:vAlign w:val="bottom"/>
          </w:tcPr>
          <w:p>
            <w:pPr>
              <w:spacing w:after="0"/>
              <w:rPr>
                <w:sz w:val="20"/>
                <w:szCs w:val="20"/>
                <w:color w:val="auto"/>
              </w:rPr>
            </w:pPr>
          </w:p>
        </w:tc>
      </w:tr>
      <w:tr>
        <w:trPr>
          <w:trHeight w:val="191"/>
        </w:trPr>
        <w:tc>
          <w:tcPr>
            <w:tcW w:w="6020" w:type="dxa"/>
            <w:vAlign w:val="bottom"/>
          </w:tcPr>
          <w:p>
            <w:pPr>
              <w:spacing w:after="0"/>
              <w:rPr>
                <w:sz w:val="16"/>
                <w:szCs w:val="16"/>
                <w:color w:val="auto"/>
              </w:rPr>
            </w:pPr>
          </w:p>
        </w:tc>
        <w:tc>
          <w:tcPr>
            <w:tcW w:w="5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Justin J. File</w:t>
            </w:r>
          </w:p>
        </w:tc>
        <w:tc>
          <w:tcPr>
            <w:tcW w:w="20" w:type="dxa"/>
            <w:vAlign w:val="bottom"/>
          </w:tcPr>
          <w:p>
            <w:pPr>
              <w:spacing w:after="0"/>
              <w:rPr>
                <w:sz w:val="16"/>
                <w:szCs w:val="16"/>
                <w:color w:val="auto"/>
              </w:rPr>
            </w:pPr>
          </w:p>
        </w:tc>
      </w:tr>
      <w:tr>
        <w:trPr>
          <w:trHeight w:val="216"/>
        </w:trPr>
        <w:tc>
          <w:tcPr>
            <w:tcW w:w="6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Acting Chief Executive Officer,</w:t>
            </w:r>
          </w:p>
        </w:tc>
        <w:tc>
          <w:tcPr>
            <w:tcW w:w="2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20" w:type="dxa"/>
            <w:vAlign w:val="bottom"/>
          </w:tcPr>
          <w:p>
            <w:pPr>
              <w:spacing w:after="0"/>
              <w:rPr>
                <w:sz w:val="18"/>
                <w:szCs w:val="18"/>
                <w:color w:val="auto"/>
              </w:rPr>
            </w:pPr>
          </w:p>
        </w:tc>
      </w:tr>
      <w:tr>
        <w:trPr>
          <w:trHeight w:val="234"/>
        </w:trPr>
        <w:tc>
          <w:tcPr>
            <w:tcW w:w="60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c>
          <w:tcPr>
            <w:tcW w:w="20" w:type="dxa"/>
            <w:vAlign w:val="bottom"/>
          </w:tcPr>
          <w:p>
            <w:pPr>
              <w:spacing w:after="0"/>
              <w:rPr>
                <w:sz w:val="20"/>
                <w:szCs w:val="20"/>
                <w:color w:val="auto"/>
              </w:rPr>
            </w:pPr>
          </w:p>
        </w:tc>
      </w:tr>
      <w:tr>
        <w:trPr>
          <w:trHeight w:val="1222"/>
        </w:trPr>
        <w:tc>
          <w:tcPr>
            <w:tcW w:w="60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for the purposes of Section 1350 of Chapter 63 of Title 18 of the U.S. Code, as adopted pursuant to Section 906 of the Sarbanes-Oxley Act of 2002, in his capacity as Acting Chief Executive Officer and Chief Financial Officer of MEI Pharma, Inc. (“MEI Pharma”) that, to his knowledge, this Quarterly Report on Form 10-Q of MEI Pharma, for the quarter ended December 31, 2024,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12, 2025</w:t>
      </w:r>
    </w:p>
    <w:p>
      <w:pPr>
        <w:spacing w:after="0" w:line="2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17145</wp:posOffset>
            </wp:positionV>
            <wp:extent cx="334327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Justin J. File</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Acting Chief Executive Officer, Chief Financial Officer and Secretary</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(Principal Executive and Principal Financial Officer)</w:t>
      </w:r>
    </w:p>
    <w:p>
      <w:pPr>
        <w:spacing w:after="0" w:line="23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606"/>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lvl w:ilvl="1">
      <w:lvlJc w:val="left"/>
      <w:lvlText w:val="(%2)"/>
      <w:numFmt w:val="decimal"/>
      <w:start w:val="1"/>
    </w:lvl>
  </w:abstractNum>
  <w:abstractNum w:abstractNumId="6">
    <w:nsid w:val="3352255A"/>
    <w:multiLevelType w:val="hybridMultilevel"/>
    <w:lvl w:ilvl="0">
      <w:lvlJc w:val="left"/>
      <w:lvlText w:val="%1."/>
      <w:numFmt w:val="decimal"/>
      <w:start w:val="4"/>
    </w:lvl>
    <w:lvl w:ilvl="1">
      <w:lvlJc w:val="left"/>
      <w:lvlText w:val="%2"/>
      <w:numFmt w:val="decimal"/>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21" Type="http://schemas.openxmlformats.org/officeDocument/2006/relationships/hyperlink" Target="https://www.sec.gov/Archives/edgar/data/1262104/000095017024117406/meip-ex2_1.htm" TargetMode="External"/><Relationship Id="rId222" Type="http://schemas.openxmlformats.org/officeDocument/2006/relationships/hyperlink" Target="https://www.sec.gov/Archives/edgar/data/1262104/000095017024014640/meip-ex3_2.htm" TargetMode="External"/><Relationship Id="rId223" Type="http://schemas.openxmlformats.org/officeDocument/2006/relationships/hyperlink" Target="https://www.sec.gov/Archives/edgar/data/1262104/000095017023072612/meip-ex3_1.htm" TargetMode="External"/><Relationship Id="rId224" Type="http://schemas.openxmlformats.org/officeDocument/2006/relationships/hyperlink" Target="https://www.sec.gov/Archives/edgar/data/1262104/000119312511134658/dex31.htm" TargetMode="External"/><Relationship Id="rId225" Type="http://schemas.openxmlformats.org/officeDocument/2006/relationships/hyperlink" Target="https://www.sec.gov/Archives/edgar/data/1262104/000119312511070320/dex101.htm" TargetMode="External"/><Relationship Id="rId226" Type="http://schemas.openxmlformats.org/officeDocument/2006/relationships/hyperlink" Target="https://www.sec.gov/Archives/edgar/data/1262104/000119312523249423/d559817dex31.htm" TargetMode="External"/><Relationship Id="rId227" Type="http://schemas.openxmlformats.org/officeDocument/2006/relationships/hyperlink" Target="https://www.sec.gov/Archives/edgar/data/1262104/000095012303012005/y90124a1exv4w1.txt" TargetMode="External"/><Relationship Id="rId228" Type="http://schemas.openxmlformats.org/officeDocument/2006/relationships/hyperlink" Target="https://www.sec.gov/Archives/edgar/data/1262104/000119312518165462/d58678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2025-02-12T15:11:57Z</dcterms:created>
  <dcterms:modified xsi:type="dcterms:W3CDTF">2025-02-12T15:11:57Z</dcterms:modified>
</cp:coreProperties>
</file>