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80" w:right="1620" w:hanging="3659"/>
        <w:spacing w:after="0" w:line="407" w:lineRule="auto"/>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2023</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06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28575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MEI Pharma,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jc w:val="center"/>
              <w:ind w:left="2047"/>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tcPr>
          <w:p>
            <w:pPr>
              <w:jc w:val="center"/>
              <w:ind w:right="1348"/>
              <w:spacing w:after="0"/>
              <w:rPr>
                <w:sz w:val="20"/>
                <w:szCs w:val="20"/>
                <w:color w:val="auto"/>
              </w:rPr>
            </w:pPr>
            <w:r>
              <w:rPr>
                <w:rFonts w:ascii="Times New Roman" w:cs="Times New Roman" w:eastAsia="Times New Roman" w:hAnsi="Times New Roman"/>
                <w:sz w:val="16"/>
                <w:szCs w:val="16"/>
                <w:b w:val="1"/>
                <w:bCs w:val="1"/>
                <w:color w:val="auto"/>
                <w:w w:val="98"/>
              </w:rPr>
              <w:t>51-0407811</w:t>
            </w:r>
          </w:p>
        </w:tc>
        <w:tc>
          <w:tcPr>
            <w:tcW w:w="0" w:type="dxa"/>
            <w:vAlign w:val="bottom"/>
          </w:tcPr>
          <w:p>
            <w:pPr>
              <w:spacing w:after="0"/>
              <w:rPr>
                <w:sz w:val="1"/>
                <w:szCs w:val="1"/>
                <w:color w:val="auto"/>
              </w:rPr>
            </w:pPr>
          </w:p>
        </w:tc>
      </w:tr>
      <w:tr>
        <w:trPr>
          <w:trHeight w:val="148"/>
        </w:trPr>
        <w:tc>
          <w:tcPr>
            <w:tcW w:w="3880" w:type="dxa"/>
            <w:vAlign w:val="bottom"/>
          </w:tcPr>
          <w:p>
            <w:pPr>
              <w:jc w:val="center"/>
              <w:ind w:left="2067"/>
              <w:spacing w:after="0" w:line="14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Pr>
          <w:p>
            <w:pPr>
              <w:jc w:val="center"/>
              <w:ind w:right="1348"/>
              <w:spacing w:after="0" w:line="148"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4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4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8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11455 El Camino Real Suite 250, San Diego, CA 92130</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4"/>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MEIP</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1"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360"/>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February 9, 2024, the number of shares outstanding of the issuer’s common stock, $0.00000002 par value, was 6,662,857.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682"/>
        </w:trPr>
        <w:tc>
          <w:tcPr>
            <w:tcW w:w="2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0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MEI PHARMA, INC.</w:t>
            </w:r>
          </w:p>
        </w:tc>
        <w:tc>
          <w:tcPr>
            <w:tcW w:w="208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0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80" w:type="dxa"/>
            <w:vAlign w:val="bottom"/>
          </w:tcPr>
          <w:p>
            <w:pPr>
              <w:spacing w:after="0"/>
              <w:rPr>
                <w:sz w:val="24"/>
                <w:szCs w:val="24"/>
                <w:color w:val="auto"/>
              </w:rPr>
            </w:pPr>
          </w:p>
        </w:tc>
      </w:tr>
      <w:tr>
        <w:trPr>
          <w:trHeight w:val="68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80" w:type="dxa"/>
            <w:vAlign w:val="bottom"/>
            <w:gridSpan w:val="1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520" w:type="dxa"/>
            <w:vAlign w:val="bottom"/>
            <w:gridSpan w:val="1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7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40" w:type="dxa"/>
            <w:vAlign w:val="bottom"/>
            <w:gridSpan w:val="1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7720" w:type="dxa"/>
            <w:vAlign w:val="bottom"/>
            <w:gridSpan w:val="17"/>
          </w:tcPr>
          <w:p>
            <w:pPr>
              <w:spacing w:after="0"/>
              <w:rPr>
                <w:sz w:val="24"/>
                <w:szCs w:val="24"/>
                <w:color w:val="auto"/>
              </w:rPr>
            </w:pP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89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80" w:type="dxa"/>
            <w:vAlign w:val="bottom"/>
            <w:gridSpan w:val="13"/>
          </w:tcPr>
          <w:p>
            <w:pPr>
              <w:jc w:val="center"/>
              <w:ind w:left="389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50"/>
        </w:trPr>
        <w:tc>
          <w:tcPr>
            <w:tcW w:w="7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1"/>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80" w:type="dxa"/>
            <w:vAlign w:val="bottom"/>
            <w:shd w:val="clear" w:color="auto" w:fill="CFF0FC"/>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107,528</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78,538</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120,809</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18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shd w:val="clear" w:color="auto" w:fill="CFF0FC"/>
          </w:tcPr>
          <w:p>
            <w:pPr>
              <w:spacing w:after="0"/>
              <w:rPr>
                <w:sz w:val="21"/>
                <w:szCs w:val="21"/>
                <w:color w:val="auto"/>
              </w:rPr>
            </w:pPr>
          </w:p>
        </w:tc>
      </w:tr>
      <w:tr>
        <w:trPr>
          <w:trHeight w:val="232"/>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96,185</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$0.00000002 par value; 226,000 shares authorized; 6,663</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December 31, 2023 and June 30, 2023.</w:t>
            </w: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420,174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(360,686 )</w:t>
            </w:r>
          </w:p>
        </w:tc>
        <w:tc>
          <w:tcPr>
            <w:tcW w:w="2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(405,997 )</w:t>
            </w:r>
          </w:p>
        </w:tc>
      </w:tr>
      <w:tr>
        <w:trPr>
          <w:trHeight w:val="236"/>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78,538</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120,809</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-3325495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-3325495</wp:posOffset>
            </wp:positionV>
            <wp:extent cx="59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-1597660</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6781800</wp:posOffset>
            </wp:positionH>
            <wp:positionV relativeFrom="paragraph">
              <wp:posOffset>-1597660</wp:posOffset>
            </wp:positionV>
            <wp:extent cx="8509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9"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3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5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50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customers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w:t>
            </w:r>
          </w:p>
        </w:tc>
        <w:tc>
          <w:tcPr>
            <w:tcW w:w="10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w:t>
            </w:r>
          </w:p>
        </w:tc>
        <w:tc>
          <w:tcPr>
            <w:tcW w:w="100" w:type="dxa"/>
            <w:vAlign w:val="bottom"/>
          </w:tcPr>
          <w:p>
            <w:pPr>
              <w:spacing w:after="0"/>
              <w:rPr>
                <w:sz w:val="20"/>
                <w:szCs w:val="20"/>
                <w:color w:val="auto"/>
              </w:rPr>
            </w:pPr>
          </w:p>
        </w:tc>
      </w:tr>
      <w:tr>
        <w:trPr>
          <w:trHeight w:val="241"/>
        </w:trPr>
        <w:tc>
          <w:tcPr>
            <w:tcW w:w="50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34,776</w:t>
            </w:r>
          </w:p>
        </w:tc>
        <w:tc>
          <w:tcPr>
            <w:tcW w:w="10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50,758</w:t>
            </w:r>
          </w:p>
        </w:tc>
        <w:tc>
          <w:tcPr>
            <w:tcW w:w="100" w:type="dxa"/>
            <w:vAlign w:val="bottom"/>
          </w:tcPr>
          <w:p>
            <w:pPr>
              <w:spacing w:after="0"/>
              <w:rPr>
                <w:sz w:val="20"/>
                <w:szCs w:val="20"/>
                <w:color w:val="auto"/>
              </w:rPr>
            </w:pPr>
          </w:p>
        </w:tc>
      </w:tr>
      <w:tr>
        <w:trPr>
          <w:trHeight w:val="23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(11,930 )</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(9,293 )</w:t>
            </w:r>
          </w:p>
        </w:tc>
      </w:tr>
      <w:tr>
        <w:trPr>
          <w:trHeight w:val="236"/>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0"/>
                <w:szCs w:val="20"/>
                <w:color w:val="auto"/>
              </w:rPr>
            </w:pPr>
          </w:p>
        </w:tc>
      </w:tr>
      <w:tr>
        <w:trPr>
          <w:trHeight w:val="243"/>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50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top w:val="single" w:sz="8" w:color="CFF0FC"/>
            </w:tcBorders>
          </w:tcPr>
          <w:p>
            <w:pPr>
              <w:spacing w:after="0"/>
              <w:rPr>
                <w:sz w:val="20"/>
                <w:szCs w:val="20"/>
                <w:color w:val="auto"/>
              </w:rPr>
            </w:pPr>
          </w:p>
        </w:tc>
      </w:tr>
      <w:tr>
        <w:trPr>
          <w:trHeight w:val="25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(11,063 )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(6,371 )</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(0.96 )</w:t>
            </w:r>
          </w:p>
        </w:tc>
      </w:tr>
      <w:tr>
        <w:trPr>
          <w:trHeight w:val="256"/>
        </w:trPr>
        <w:tc>
          <w:tcPr>
            <w:tcW w:w="5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1"/>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per share - basic and diluted</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-2845435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-2845435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-2845435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-2056765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-2056765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-2056765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-1731010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-1731010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-1731010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-1731010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-1104900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-1104900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-1104900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-1104900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-779145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-762635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-779145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-762635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-762635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-762635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3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w:t>
            </w:r>
          </w:p>
        </w:tc>
      </w:tr>
      <w:tr>
        <w:trPr>
          <w:trHeight w:val="216"/>
        </w:trPr>
        <w:tc>
          <w:tcPr>
            <w:tcW w:w="52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w:t>
            </w:r>
          </w:p>
        </w:tc>
      </w:tr>
      <w:tr>
        <w:trPr>
          <w:trHeight w:val="245"/>
        </w:trPr>
        <w:tc>
          <w:tcPr>
            <w:tcW w:w="52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(405,997 )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0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430,984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(349,623 )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100" w:type="dxa"/>
            <w:vAlign w:val="bottom"/>
          </w:tcPr>
          <w:p>
            <w:pPr>
              <w:spacing w:after="0"/>
              <w:rPr>
                <w:sz w:val="20"/>
                <w:szCs w:val="20"/>
                <w:color w:val="auto"/>
              </w:rPr>
            </w:pPr>
          </w:p>
        </w:tc>
      </w:tr>
      <w:tr>
        <w:trPr>
          <w:trHeight w:val="245"/>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(11,063 )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(11,063 )</w:t>
            </w: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($1.75 per share)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(11,660 )</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(11,660 )</w:t>
            </w: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420,174</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(360,686 )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w:t>
            </w:r>
          </w:p>
        </w:tc>
      </w:tr>
      <w:tr>
        <w:trPr>
          <w:trHeight w:val="216"/>
        </w:trPr>
        <w:tc>
          <w:tcPr>
            <w:tcW w:w="52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w:t>
            </w:r>
          </w:p>
        </w:tc>
      </w:tr>
      <w:tr>
        <w:trPr>
          <w:trHeight w:val="245"/>
        </w:trPr>
        <w:tc>
          <w:tcPr>
            <w:tcW w:w="52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(374,159 )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52,413</w:t>
            </w: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(16,624 )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(16,624 )</w:t>
            </w:r>
          </w:p>
        </w:tc>
      </w:tr>
      <w:tr>
        <w:trPr>
          <w:trHeight w:val="247"/>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vested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r>
      <w:tr>
        <w:trPr>
          <w:trHeight w:val="241"/>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428,091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(390,783 )</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37,308</w:t>
            </w:r>
          </w:p>
        </w:tc>
        <w:tc>
          <w:tcPr>
            <w:tcW w:w="100" w:type="dxa"/>
            <w:vAlign w:val="bottom"/>
            <w:shd w:val="clear" w:color="auto" w:fill="CFF0FC"/>
          </w:tcPr>
          <w:p>
            <w:pPr>
              <w:spacing w:after="0"/>
              <w:rPr>
                <w:sz w:val="20"/>
                <w:szCs w:val="20"/>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0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428,904</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(380,530 )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48,374</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-2819400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-2819400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-2819400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-2193925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-2193925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-2193925</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-2193925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r>
      <w:tr>
        <w:trPr>
          <w:trHeight w:val="241"/>
        </w:trPr>
        <w:tc>
          <w:tcPr>
            <w:tcW w:w="73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(6,371 )</w:t>
            </w: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(1,603 )</w:t>
            </w: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receivables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(4,756 )</w:t>
            </w:r>
          </w:p>
        </w:tc>
        <w:tc>
          <w:tcPr>
            <w:tcW w:w="4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(3,851 )</w:t>
            </w:r>
          </w:p>
        </w:tc>
      </w:tr>
      <w:tr>
        <w:trPr>
          <w:trHeight w:val="23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(6,816 )</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(64,862 )</w:t>
            </w:r>
          </w:p>
        </w:tc>
        <w:tc>
          <w:tcPr>
            <w:tcW w:w="4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(28,002 )</w:t>
            </w:r>
          </w:p>
        </w:tc>
      </w:tr>
      <w:tr>
        <w:trPr>
          <w:trHeight w:val="23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(701 )</w:t>
            </w:r>
          </w:p>
        </w:tc>
        <w:tc>
          <w:tcPr>
            <w:tcW w:w="4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r>
      <w:tr>
        <w:trPr>
          <w:trHeight w:val="20"/>
        </w:trPr>
        <w:tc>
          <w:tcPr>
            <w:tcW w:w="7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(29,546 )</w:t>
            </w:r>
          </w:p>
        </w:tc>
        <w:tc>
          <w:tcPr>
            <w:tcW w:w="4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(29,052 )</w:t>
            </w:r>
          </w:p>
        </w:tc>
      </w:tr>
      <w:tr>
        <w:trPr>
          <w:trHeight w:val="477"/>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(33,938 )</w:t>
            </w:r>
          </w:p>
        </w:tc>
        <w:tc>
          <w:tcPr>
            <w:tcW w:w="4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(67,862 )</w:t>
            </w: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92,118</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6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tax withholdings related to vesting of restricted stock units</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cash dividend</w:t>
            </w:r>
          </w:p>
        </w:tc>
        <w:tc>
          <w:tcPr>
            <w:tcW w:w="1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(11,660 )</w:t>
            </w:r>
          </w:p>
        </w:tc>
        <w:tc>
          <w:tcPr>
            <w:tcW w:w="4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(11,660 )</w:t>
            </w:r>
          </w:p>
        </w:tc>
        <w:tc>
          <w:tcPr>
            <w:tcW w:w="4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73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(11,732 )</w:t>
            </w:r>
          </w:p>
        </w:tc>
        <w:tc>
          <w:tcPr>
            <w:tcW w:w="4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(4,823 )</w:t>
            </w: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26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-2982595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-1885315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-1096645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-779145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MEI Pharma, Inc. (Nasdaq: MEIP) is a clinical-stage pharmaceutical company committed to developing novel and differentiated cancer therapies. We build our pipeline by acquiring promising cancer agents and creating value in programs through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Our pipeline includes voruciclib, an oral cyclin-dependent kinase 9 (CDK9) inhibitor, and ME-344, an intravenous small molecule inhibitor of mitochondrial oxidative phosphorylation (OXPHOS).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April 14, 2023, we amended our Certificate of Incorporation to affect a combination of our issued and outstanding common stock at a ratio of one-for-twenty (Reverse Stock Split). The par value and authorized shares of our common stock were not adjusted as a result of the Reverse Stock Split. The Reverse Stock Split was effective on April 14, 2023, with a market effective date of April 17, 2023. All historical share, stock option, restricted stock unit, warrant and per share amounts have been adjusted to reflect the Reverse Stock Split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October 31, 2023, we announced our entry into a Cooperation Agreement (Cooperation Agreement) with Anson Funds and Cable Car Capital which, among other non-financial related items as described within the overview section of </w:t>
      </w:r>
      <w:r>
        <w:rPr>
          <w:rFonts w:ascii="Times New Roman" w:cs="Times New Roman" w:eastAsia="Times New Roman" w:hAnsi="Times New Roman"/>
          <w:sz w:val="18"/>
          <w:szCs w:val="18"/>
          <w:i w:val="1"/>
          <w:iCs w:val="1"/>
          <w:u w:val="single" w:color="auto"/>
          <w:color w:val="0000FF"/>
        </w:rPr>
        <w:t>Item 2.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Condition and Results of Operations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provided for a capital return to stockholders in the form of a dividend in the amount of $1.75 per share of common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stock, as further discussed below. Additionally, the Cooperation Agreement contemplates a potential second return of capital of not to exceed $9.33 million (Potential Second Return of Capital) if authorized by the board of directors (Board) should our ongoing ME-344 Phase 1b trial fail to meet certain defined endpoints or our Board determines not to proceed with a second cohort. The Potential Second Return of Capital may take the form of a dividend or tender offer and is subject to Board approval as well as modification associated with applicable requirements under Delaware law, as detailed in the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-852170</wp:posOffset>
            </wp:positionV>
            <wp:extent cx="27743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74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-715010</wp:posOffset>
            </wp:positionV>
            <wp:extent cx="16757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75765" cy="8255"/>
                    </a:xfrm>
                    <a:prstGeom prst="rect">
                      <a:avLst/>
                    </a:prstGeom>
                    <a:noFill/>
                  </pic:spPr>
                </pic:pic>
              </a:graphicData>
            </a:graphic>
          </wp:anchor>
        </w:drawing>
      </w:r>
    </w:p>
    <w:p>
      <w:pPr>
        <w:spacing w:after="0" w:line="6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As part of the Cooperation Agreement, Anson and Cable Car withdrew their consent solicitation and agreed to abide by customary standstill provisions. Additionally, we reimbursed Anson and Cable Car’s fees and expenses related to their engagement with us as of the date of the Cooperation Agreement, in an amount of $1.1 million, which is recorded within general and administrative expenses in the condensed consolidated statements of operations as of December 31, 2023.</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6, 2023, pursuant to the Cooperation Agreement, the Board declared a special cash dividend of $1.75 per share of common stock, to stockholders of record at the close of business on November 17, 2023. The total dividend of $11.7 million was paid on December 6, 2023 and was recorded as a reduction of additional paid-in capital in the condensed consolidated statements of stockholders' equity, as we have an accumulated deficit, rather than retained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accumulated losses of $360.7 million since inception and expect to incur operating losses and generate negative cash flows from operations for the foreseeable future. As of December 31, 2023, we had $59.5 million in cash and cash equivalents and short-term investments. We believe that these resources will be sufficient to meet our obligations and fund our liquidity and capital expenditure requirements for at least the next 12 months from the issuance of these condensed consolidated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condensed consolidated financial statements reflect all adjustments (consisting of normal recurring adjustments) that are necessary for a fair statement of the financial position, results of operations and cash flows for the periods presented.</w:t>
      </w:r>
    </w:p>
    <w:p>
      <w:pPr>
        <w:spacing w:after="0" w:line="7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MEI Pharma, Inc. and our wholly owned subsidiary, Meadow Merger Sub, Inc. We have eliminated all significant intercompany accounts and transactions in consolidation.</w:t>
      </w:r>
    </w:p>
    <w:p>
      <w:pPr>
        <w:spacing w:after="0" w:line="5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for the quarterly period ended December 31, 2023 should be read in conjunction with the audited financial statements and notes thereto as of and for the fiscal year ended June 30, 2023, included in our Annual Report on Form 10-K filed with the Securities and Exchange Commission on September 26, 2023 (2023 Annual Report). Interim results are not necessarily indicative of results for a full year. The Company has evaluated subsequent events through the date the condensed consolidated financial statements were issued.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described in the notes to our audited condensed consolidated financial statements contained in the 2023 Annual Report.</w:t>
      </w:r>
    </w:p>
    <w:p>
      <w:pPr>
        <w:spacing w:after="0" w:line="50" w:lineRule="exact"/>
        <w:rPr>
          <w:sz w:val="20"/>
          <w:szCs w:val="20"/>
          <w:color w:val="auto"/>
        </w:rPr>
      </w:pPr>
    </w:p>
    <w:p>
      <w:pPr>
        <w:jc w:val="right"/>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share-based awards, the discount rate used in estimating the present value of the right-of-use assets and lease liabilities, clinical trial accruals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our chief operating decision-maker (CODM), our Chief Executive Officer, in making decisions regarding resource allocation and assessing performance. The CODM views its operations and manages its business in one operating segment.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primarily of cash, cash equivalents and short-term investments. Deposits in our checking and money market accounts are maintained in federally insured financial institutions and are subject to federally insured limits or limits set by the Securities Investor Protection Corporation.</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attempt to minimize credit risk associated with our cash, cash equivalents and short-term investments by periodically evaluating the credit quality of our primary financial institutions. Our investment portfolio is maintained in accordance with our investment policy, which is designed to preserve capital, safeguard funds and limit exposure to risk. While we maintain cash deposits in Federal Deposit Insurance Corporation insured financial institutions in excess of federally insured limits, we do not believe that we are exposed to significant credit risk due to the financial position of the depository institutions in which those deposits are held. We have not experienced any losses on such accounts.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Short-term investments are marketable securities with original maturities greater than three months but less than one year from date of purchase. As of December 31, 2023 and June 30, 2023, our short-term investments consisted of $54.3 million and $83.8 million, respectively, in United States government securities. The short-term investments held as of December 31, 2023 and June 30, 2023 are considered to be held to maturity and are carried at amortized cost. As of December 31, 2023 and June 30, 2023, the gross unrealized gains and losses were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Due to our history of net losses, we have elected to first reduce our additional paid-in capital (APIC) to zero by the amount of dividends/return of capital approved by our Board. Any dividends/return of capital approved by our Board, in excess of our APIC, if any, will be recorded as an adjustment to our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Revenues from Customers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or accounting units, within the contract. Performance obligations are commitments in a contract to transfer a distinct good or service to the customer.</w:t>
      </w:r>
    </w:p>
    <w:p>
      <w:pPr>
        <w:spacing w:after="0" w:line="7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if any,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within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68" w:lineRule="exact"/>
        <w:rPr>
          <w:sz w:val="20"/>
          <w:szCs w:val="20"/>
          <w:color w:val="auto"/>
        </w:rPr>
      </w:pPr>
    </w:p>
    <w:p>
      <w:pPr>
        <w:ind w:right="260" w:firstLine="554"/>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our April 2020 Kyowa Kirin Co., Ltd. (KKC) License, Development and Commercialization Agreement (the KKC Commercialization Agreement) described in </w:t>
      </w:r>
      <w:r>
        <w:rPr>
          <w:rFonts w:ascii="Times New Roman" w:cs="Times New Roman" w:eastAsia="Times New Roman" w:hAnsi="Times New Roman"/>
          <w:sz w:val="18"/>
          <w:szCs w:val="18"/>
          <w:i w:val="1"/>
          <w:iCs w:val="1"/>
          <w:u w:val="single" w:color="auto"/>
          <w:color w:val="0000FF"/>
        </w:rPr>
        <w:t>Note 7. License Agreements,</w:t>
      </w:r>
      <w:r>
        <w:rPr>
          <w:rFonts w:ascii="Times New Roman" w:cs="Times New Roman" w:eastAsia="Times New Roman" w:hAnsi="Times New Roman"/>
          <w:sz w:val="18"/>
          <w:szCs w:val="18"/>
          <w:color w:val="auto"/>
        </w:rPr>
        <w:t xml:space="preserve"> we performed development services related to our 50-50 cost sharing arrangement for which revenue was recognized over time. Additionally, from time to time, we performed services for KKC at their request, the costs of which were fully reimbursed to us. We recorded the reimbursement for such pass-through services as revenue at 100% of reimbursed costs, as control of the additional services for KKC was transferred at the time we incurred such costs. The costs of these services are recognized in the condensed consolidated statements of operations as research and development expense. The cost of these services was recognized in the condensed consolidated statements of operations as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-716915</wp:posOffset>
            </wp:positionV>
            <wp:extent cx="12998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recognized revenue associated with the KKC Commercialization Agreement for the periods presented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72"/>
        </w:trPr>
        <w:tc>
          <w:tcPr>
            <w:tcW w:w="48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4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8"/>
        </w:trPr>
        <w:tc>
          <w:tcPr>
            <w:tcW w:w="4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3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0D0D0D"/>
              </w:rPr>
              <w:t>Services performed over time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40,832</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0D0D0D"/>
              </w:rPr>
              <w:t>Pass through services at a point in time</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w:t>
            </w:r>
          </w:p>
        </w:tc>
        <w:tc>
          <w:tcPr>
            <w:tcW w:w="1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-835025</wp:posOffset>
            </wp:positionV>
            <wp:extent cx="8509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-835025</wp:posOffset>
            </wp:positionV>
            <wp:extent cx="85725"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receivables are included in prepaid expenses and other current assets, and contract liabilities are included in deferred revenue and deferred revenue, long-term, in our condensed consolidated balance sheets. Our contract liabilities accounted for under Topic 606 relate to the amount of initial upfront consideration allocated to the development services performance obligations. Contract liabilities are recognized over the duration of the performance obligations based on the costs incurred relative to total expected costs.</w:t>
      </w:r>
    </w:p>
    <w:p>
      <w:pPr>
        <w:spacing w:after="0" w:line="7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June 30, 2023 and June 30, 2022, we had no balances in accounts receivable. Contract balances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included in deferred revenue and deferred</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net of current portion</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 of contract liabilities, which are primarily related to the combined performance obligation for the transfer of development services under the KKC Commercialization Agreement, which are a separate performance obligation in the Company’s contracts pursuant to research plans under the agreements, was as follows for the periods presented,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860" w:type="dxa"/>
            <w:vAlign w:val="bottom"/>
          </w:tcPr>
          <w:p>
            <w:pPr>
              <w:spacing w:after="0"/>
              <w:rPr>
                <w:sz w:val="21"/>
                <w:szCs w:val="21"/>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Recognized as revenue:</w:t>
            </w:r>
          </w:p>
        </w:tc>
        <w:tc>
          <w:tcPr>
            <w:tcW w:w="6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upon satisfaction of performance obligations</w:t>
            </w:r>
          </w:p>
        </w:tc>
        <w:tc>
          <w:tcPr>
            <w:tcW w:w="6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(317 )</w:t>
            </w: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(5,411 )</w:t>
            </w: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recognized from change in estimate for performance obligations</w:t>
            </w:r>
          </w:p>
        </w:tc>
        <w:tc>
          <w:tcPr>
            <w:tcW w:w="6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that are being closed</w:t>
            </w:r>
          </w:p>
        </w:tc>
        <w:tc>
          <w:tcPr>
            <w:tcW w:w="6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(16,565 )</w:t>
            </w:r>
          </w:p>
        </w:tc>
        <w:tc>
          <w:tcPr>
            <w:tcW w:w="0" w:type="dxa"/>
            <w:vAlign w:val="bottom"/>
          </w:tcPr>
          <w:p>
            <w:pPr>
              <w:spacing w:after="0"/>
              <w:rPr>
                <w:sz w:val="1"/>
                <w:szCs w:val="1"/>
                <w:color w:val="auto"/>
              </w:rPr>
            </w:pPr>
          </w:p>
        </w:tc>
      </w:tr>
      <w:tr>
        <w:trPr>
          <w:trHeight w:val="211"/>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for performance obligations that will no longer</w:t>
            </w:r>
          </w:p>
        </w:tc>
        <w:tc>
          <w:tcPr>
            <w:tcW w:w="6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(8,607 )</w:t>
            </w:r>
          </w:p>
        </w:tc>
        <w:tc>
          <w:tcPr>
            <w:tcW w:w="0" w:type="dxa"/>
            <w:vAlign w:val="bottom"/>
          </w:tcPr>
          <w:p>
            <w:pPr>
              <w:spacing w:after="0"/>
              <w:rPr>
                <w:sz w:val="1"/>
                <w:szCs w:val="1"/>
                <w:color w:val="auto"/>
              </w:rPr>
            </w:pP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commence</w:t>
            </w:r>
          </w:p>
        </w:tc>
        <w:tc>
          <w:tcPr>
            <w:tcW w:w="6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6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condensed consolidated balance sheets related to the KKC Commercialization Agreement.</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 from Collaborators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At contract inception, we assess whether the collaboration arrangements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condensed consolidated balance sheets, classified as either current or long-term deferred revenue based on our best estimate of when such amounts will be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income (loss) per share is computed using the weighted-average number of shares of common stock outstanding during the period, less any shares subject to repurchase or forfeiture. There were no shares of common stock subject to repurchase or forfeiture for the three and six months ended December 31, 2023 and 2022. Diluted net income (loss) per share is computed based on the sum of the weighted-average number of common shares and potentially dilutive common shares outstanding during the period determined using the treasury-stock and if-converted methods.</w:t>
      </w:r>
    </w:p>
    <w:p>
      <w:pPr>
        <w:spacing w:after="0" w:line="72"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For purposes of the diluted net income (loss) per share calculation for the three and six months ended December 31, 2023, potentially dilutive securities are excluded from the calculation of diluted net income (loss) per share because their weighted-average exercise prices were above our weighted-average share price as of December 31, 2023; therefore, basic and diluted net income (loss) per share were the same for the three and six months ended December 31, 2023. For purposes of the diluted net income (loss) per share calculation for the three and six months ended December 31, 2022, potentially dilutive securities are excluded from the calculation of diluted net income (loss) per share because their effect would be anti-dilutive and, therefore, basic and diluted net income (loss) per share were the same for the three and six months ended December 31, 2022.</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potentially dilutive shares excluded from the calculation of diluted net income (loss) per share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8"/>
                <w:szCs w:val="18"/>
                <w:color w:val="auto"/>
              </w:rPr>
            </w:pPr>
          </w:p>
        </w:tc>
        <w:tc>
          <w:tcPr>
            <w:tcW w:w="24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4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48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1,398</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FF0FC"/>
          </w:tcPr>
          <w:p>
            <w:pPr>
              <w:spacing w:after="0"/>
              <w:rPr>
                <w:sz w:val="20"/>
                <w:szCs w:val="20"/>
                <w:color w:val="auto"/>
              </w:rPr>
            </w:pPr>
          </w:p>
        </w:tc>
      </w:tr>
      <w:tr>
        <w:trPr>
          <w:trHeight w:val="23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43"/>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0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1,501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No.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Measurement of Credit Losses on Financial Instruments </w:t>
      </w:r>
      <w:r>
        <w:rPr>
          <w:rFonts w:ascii="Times New Roman" w:cs="Times New Roman" w:eastAsia="Times New Roman" w:hAnsi="Times New Roman"/>
          <w:sz w:val="18"/>
          <w:szCs w:val="18"/>
          <w:color w:val="auto"/>
        </w:rPr>
        <w:t>(ASU 2016-13), as amended. The amendments in ASU 2016-13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 periods within those fiscal years, with early adoption permitted. The adoption of ASU 2016-13 did not have a material impact on our financial statements and related disclosures.</w:t>
      </w:r>
    </w:p>
    <w:p>
      <w:pPr>
        <w:spacing w:after="0" w:line="76"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other recently issued but not yet effective accounting standards, if currently adopted, would have a material effect on our condensed consolidated financial position, results of operations and cash flows.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other than those noted below, and any issued but not yet effective standards will not have a material impact on its condensed consolidated financial statements upon adoption.</w:t>
      </w:r>
    </w:p>
    <w:p>
      <w:pPr>
        <w:spacing w:after="0" w:line="1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This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spacing w:after="0" w:line="18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43"/>
        </w:trPr>
        <w:tc>
          <w:tcPr>
            <w:tcW w:w="580" w:type="dxa"/>
            <w:vAlign w:val="bottom"/>
          </w:tcPr>
          <w:p>
            <w:pPr>
              <w:spacing w:after="0"/>
              <w:rPr>
                <w:sz w:val="21"/>
                <w:szCs w:val="21"/>
                <w:color w:val="auto"/>
              </w:rPr>
            </w:pPr>
          </w:p>
        </w:tc>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(1,206 )</w:t>
            </w: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(1,034 )</w:t>
            </w:r>
          </w:p>
        </w:tc>
      </w:tr>
      <w:tr>
        <w:trPr>
          <w:trHeight w:val="277"/>
        </w:trPr>
        <w:tc>
          <w:tcPr>
            <w:tcW w:w="580" w:type="dxa"/>
            <w:vAlign w:val="bottom"/>
          </w:tcPr>
          <w:p>
            <w:pPr>
              <w:spacing w:after="0"/>
              <w:rPr>
                <w:sz w:val="24"/>
                <w:szCs w:val="24"/>
                <w:color w:val="auto"/>
              </w:rPr>
            </w:pPr>
          </w:p>
        </w:tc>
        <w:tc>
          <w:tcPr>
            <w:tcW w:w="686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of property and equipment for the three months ended December 31, 2023 and 2022 were $85,000 and $92,000, respectively. Depreciation expense of property and equipment for the six months ended December 31, 2023 and 2022 are presented in the condensed consolidated statements of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shd w:val="clear" w:color="auto" w:fill="CFF0FC"/>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6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reimbursement to KKC</w:t>
            </w: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tcPr>
          <w:p>
            <w:pPr>
              <w:spacing w:after="0"/>
              <w:rPr>
                <w:sz w:val="21"/>
                <w:szCs w:val="21"/>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-187960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140" w:firstLine="517"/>
        <w:spacing w:after="0" w:line="282" w:lineRule="auto"/>
        <w:tabs>
          <w:tab w:leader="none" w:pos="7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$0.2 million and $1.0 million of one-time termination employee benefits as of December 31, 2023 and June 30, 2023, respectively, as more fully described in </w:t>
      </w:r>
      <w:r>
        <w:rPr>
          <w:rFonts w:ascii="Times New Roman" w:cs="Times New Roman" w:eastAsia="Times New Roman" w:hAnsi="Times New Roman"/>
          <w:sz w:val="18"/>
          <w:szCs w:val="18"/>
          <w:i w:val="1"/>
          <w:iCs w:val="1"/>
          <w:u w:val="single" w:color="auto"/>
          <w:color w:val="0000FF"/>
        </w:rPr>
        <w:t>Note 5. One-time Employee Termination Benefits</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-416560</wp:posOffset>
            </wp:positionV>
            <wp:extent cx="22421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42185" cy="8255"/>
                    </a:xfrm>
                    <a:prstGeom prst="rect">
                      <a:avLst/>
                    </a:prstGeom>
                    <a:noFill/>
                  </pic:spPr>
                </pic:pic>
              </a:graphicData>
            </a:graphic>
          </wp:anchor>
        </w:drawing>
      </w:r>
    </w:p>
    <w:p>
      <w:pPr>
        <w:spacing w:after="0" w:line="10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 As of December 31, 2023 and June 30, 2023, we had no assets or liabilities measured on a recurring or non-recurring basis.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May 2018, we issued warrants in connection with a private placement of our shares of common stock. Pursuant to the terms of the warrants, we could have been required to settle the warrants in cash in the event of an acquisition of us and, as a result, the warrants were required to be measured at fair value and reported as a liability in the condensed consolidated balance sheets. We recorded the fair value of the warrants upon issuance using the Black-Scholes valuation model and were required to revalue the warrants at each reporting date with any changes in fair value recorded in our condensed consolidated statement of operations through their expiration in May 2023. The valuation of the warrants were considered under Level 3 of the fair value hierarchy due to the need to use assumptions in the valuation that were both significant to the fair value measurement and unobservable. Inputs used to determine estimated fair value of the warrant liabilities included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consolidated statements of operations for the three and six months ended December 31, 2022. During the three months ended December 31, 2023 and the year ended June 30, 2023, there were no transfers into or out of Level 3 of the fair value hierarchy.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6" w:right="3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1"/>
        </w:trPr>
        <w:tc>
          <w:tcPr>
            <w:tcW w:w="85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To calculate the fair value of the warrant liability as of June 30, 2023, the following assumptions were used:</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580" w:type="dxa"/>
            <w:vAlign w:val="bottom"/>
          </w:tcPr>
          <w:p>
            <w:pPr>
              <w:spacing w:after="0"/>
              <w:rPr>
                <w:sz w:val="21"/>
                <w:szCs w:val="21"/>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128.7 %</w:t>
            </w:r>
          </w:p>
        </w:tc>
      </w:tr>
      <w:tr>
        <w:trPr>
          <w:trHeight w:val="250"/>
        </w:trPr>
        <w:tc>
          <w:tcPr>
            <w:tcW w:w="580" w:type="dxa"/>
            <w:vAlign w:val="bottom"/>
          </w:tcPr>
          <w:p>
            <w:pPr>
              <w:spacing w:after="0"/>
              <w:rPr>
                <w:sz w:val="21"/>
                <w:szCs w:val="21"/>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580" w:type="dxa"/>
            <w:vAlign w:val="bottom"/>
          </w:tcPr>
          <w:p>
            <w:pPr>
              <w:spacing w:after="0"/>
              <w:rPr>
                <w:sz w:val="21"/>
                <w:szCs w:val="21"/>
                <w:color w:val="auto"/>
              </w:rPr>
            </w:pPr>
          </w:p>
        </w:tc>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00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estimated fair value of our Level 3 warrant liability for the six months ended December 31, 2022 (in thousands):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 of liability classified warrants</w:t>
            </w:r>
          </w:p>
        </w:tc>
        <w:tc>
          <w:tcPr>
            <w:tcW w:w="7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(1,603 )</w:t>
            </w:r>
          </w:p>
        </w:tc>
      </w:tr>
      <w:tr>
        <w:trPr>
          <w:trHeight w:val="279"/>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One-time Employee Termination Benefits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(the Reduction in Force) affecting 28 employees in December 2022 and an additional 26 employees through June 2023, representing an aggregate 51% Reduction in Force. For the three and six months ended December 31, 2022, we recorded one-time employee benefits of $0.8 million and $0.4 million, within research and development expense and general and administrative expense, respectively, associated with the termination of 18 employees in research and development departments and 10 employees in general and administrative departments. For the three months ended December 31, 2023, we recorded additional one-time employee benefits of $141,000 and $168,000, within research and development expense and general and administrative expense, respectively, associated with the termination of two and three additional research and development and general and administrative employees. For the six months ended December 31, 2023, we recorded additional one-time employee termination benefits of $169,000 and $168,000 within research and development expense and general and administrative expense, respectively, associated with the termination of six additional employees, three each within research and development and general and administrative departments.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one-time employee termination benefits included in accrued liabilities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One-time Employee Termination</w:t>
            </w:r>
          </w:p>
        </w:tc>
      </w:tr>
      <w:tr>
        <w:trPr>
          <w:trHeight w:val="245"/>
        </w:trPr>
        <w:tc>
          <w:tcPr>
            <w:tcW w:w="7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Benefits</w:t>
            </w:r>
          </w:p>
        </w:tc>
      </w:tr>
      <w:tr>
        <w:trPr>
          <w:trHeight w:val="24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r>
      <w:tr>
        <w:trPr>
          <w:trHeight w:val="243"/>
        </w:trPr>
        <w:tc>
          <w:tcPr>
            <w:tcW w:w="7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5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(1,105 )</w:t>
            </w:r>
          </w:p>
        </w:tc>
      </w:tr>
      <w:tr>
        <w:trPr>
          <w:trHeight w:val="238"/>
        </w:trPr>
        <w:tc>
          <w:tcPr>
            <w:tcW w:w="7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FF0FC"/>
            </w:tcBorders>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December 31, 2023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December 31, 2023, we had not accrued any amounts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-447040</wp:posOffset>
            </wp:positionV>
            <wp:extent cx="1566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Potential Return of Capital</w:t>
      </w:r>
    </w:p>
    <w:p>
      <w:pPr>
        <w:spacing w:after="0" w:line="117"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u w:val="single" w:color="auto"/>
          <w:color w:val="0000FF"/>
        </w:rPr>
        <w:t>Note 1. Description of Business and Basis of Presentation</w:t>
      </w:r>
      <w:r>
        <w:rPr>
          <w:rFonts w:ascii="Times New Roman" w:cs="Times New Roman" w:eastAsia="Times New Roman" w:hAnsi="Times New Roman"/>
          <w:sz w:val="17"/>
          <w:szCs w:val="17"/>
          <w:color w:val="auto"/>
        </w:rPr>
        <w:t>, under certain circumstances, we could potentially be obligated to pay a Potential Second Return of Capital, if authorized by our Board should our ongoing ME-344 Phase 1b trial fail to meet certain defined endpoints or our Board determines not to proceed with a second cohort. The Potential Second Return of Capital may take the form of a dividend or tender offer and is subject to Board approval as well as modification associated with applicable requirements under Delaware law, as detailed in the Cooperation Agreement. As of December 31, 2023, our Board has not declared the Potential Second Return of Capital and, therefore, we have not accrued a liability related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-591185</wp:posOffset>
            </wp:positionV>
            <wp:extent cx="26454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4541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Kyowa Kirin Co., Ltd. License, Development and Commercialization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April 2020, we entered into the KKC Commercialization Agreement pursuant to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KKC also paid us an initial nonrefundable payment of $100.0 million.</w:t>
      </w:r>
    </w:p>
    <w:p>
      <w:pPr>
        <w:spacing w:after="0" w:line="84"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In November 2022, we and KKC jointly decided to discontinue zandelisib development in the U.S. and in May 2023, KKC decided to discontinue development of zandelisib in Japan. Considering the decisions to discontinue worldwide development of zandelisib the parties entered into a Termination Agreement on July 14, 2023, agreeing to mutually terminate the global KKC Commercialization Agreement. Pursuant to the Termination Agreement, we regained full, global rights to develop, manufacture and commercialize zandelisib, subject to KKC's limited rights to use for compassionate use (as more specifically defined in the Termination Agreement) in certain expanded access programs for the existing patients who have been enrolled in Japanese clinical trials sponsored by KKC until November 30, 2027, and for which KKC is fully liable; each party released the other party from any and all claims or demands arising from the original KKC Commercialization Agreement excluding certain surviving claims; however, we are obligated to deliver a discrete quantity of materials to facilitate KKCs compassionate use activities.</w:t>
      </w:r>
    </w:p>
    <w:p>
      <w:pPr>
        <w:spacing w:after="0" w:line="84" w:lineRule="exact"/>
        <w:rPr>
          <w:sz w:val="20"/>
          <w:szCs w:val="20"/>
          <w:color w:val="auto"/>
        </w:rPr>
      </w:pPr>
    </w:p>
    <w:p>
      <w:pPr>
        <w:ind w:right="200" w:firstLine="554"/>
        <w:spacing w:after="0" w:line="277" w:lineRule="auto"/>
        <w:rPr>
          <w:sz w:val="20"/>
          <w:szCs w:val="20"/>
          <w:color w:val="auto"/>
        </w:rPr>
      </w:pPr>
      <w:r>
        <w:rPr>
          <w:rFonts w:ascii="Times New Roman" w:cs="Times New Roman" w:eastAsia="Times New Roman" w:hAnsi="Times New Roman"/>
          <w:sz w:val="17"/>
          <w:szCs w:val="17"/>
          <w:color w:val="auto"/>
        </w:rPr>
        <w:t xml:space="preserve">We determined the KKC Commercialization Agreement was a collaborative arrangement in accordance with Topic 808 which contained multiple units of account, as we and KKC were both active participants in the development and commercialization activities and were exposed to significant risks and rewards dependent on commercial success of the activities of the arrangement. We determined the U.S. License was a separate unit of account under the scope of Topic 808 and was not a deliverable under Topic 606, while the license issued to KKC within its territory and related development services was within the scope of Topic 606. See discussion within the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subsection of </w:t>
      </w:r>
      <w:r>
        <w:rPr>
          <w:rFonts w:ascii="Times New Roman" w:cs="Times New Roman" w:eastAsia="Times New Roman" w:hAnsi="Times New Roman"/>
          <w:sz w:val="17"/>
          <w:szCs w:val="17"/>
          <w:i w:val="1"/>
          <w:iCs w:val="1"/>
          <w:u w:val="single" w:color="auto"/>
          <w:color w:val="0000FF"/>
        </w:rPr>
        <w:t>Note 2. Summary of Significant Accounting Policies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-43815</wp:posOffset>
            </wp:positionV>
            <wp:extent cx="23768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76805" cy="8890"/>
                    </a:xfrm>
                    <a:prstGeom prst="rect">
                      <a:avLst/>
                    </a:prstGeom>
                    <a:noFill/>
                  </pic:spPr>
                </pic:pic>
              </a:graphicData>
            </a:graphic>
          </wp:anchor>
        </w:drawing>
      </w:r>
    </w:p>
    <w:p>
      <w:pPr>
        <w:spacing w:after="0" w:line="40" w:lineRule="exact"/>
        <w:rPr>
          <w:sz w:val="20"/>
          <w:szCs w:val="20"/>
          <w:color w:val="auto"/>
        </w:rPr>
      </w:pPr>
    </w:p>
    <w:p>
      <w:pPr>
        <w:jc w:val="both"/>
        <w:ind w:right="30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evaluated the Termination Agreement under ASC 606 and determined it met the requirements of a contract modification which changed the scope of the KKC Commercialization Agreement, and the remaining goods and services associated with the wind-down activities to be transferred. The cost of satisfying our performance obligation to provide compassionate use supply to KKC was determined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therefore, immaterial within the context of the KKC Commercialization Agreement. As of September 30, 2023 activities associated with the compassionate use supply were completed.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 xml:space="preserve">With the execution of the Termination Agreement, we regained full, global rights (subject to KKC's limited rights for compassionate use) and KKC has no further rights to develop, use or commercialize zandelisib in the U.S., nor do we have any remaining performance obligations. All consideration received from KKC was nonrefundable, therefore, the remaining long-term deferred revenue as of June 30, 2023, of $64.5 million allocated to the U.S. License obligation accounted for under Topic 808 at inception of the KKC Commercialization Agreement was recognized as revenue from collaboration agreements in the three months ended September 30, 2023, utilizing contract termination analogous to guidance provided in Topic 606. We recognized the remaining transaction price of $0.3 million of deferred revenue during the three months ended September 30, 2023, as any remaining performance obligations under the KKC Commercialization Agreement were determined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September 30, 2023. Therefore, as of September 30, 2023, all deferred revenue associated with the KKC Commercialization Agreement had been recognized.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and six months ended December 31, 2023 and 2022 we made no payments under the Presage license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BeiGene Collaboration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was terminated on September 28, 2023. During the three and six months ended December 31, 2023, we recorded approximately none and $0.1 million, respectively, in costs reimbursements, as a reduction of research and development costs in the condensed consolidated statements of operations. During the three and six months ended December 31, 2022, we recorded approximately $0.2 million and $0.3 million, respectively, in costs reimbursements, as a reduction of research and development costs in the condensed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(the Initial Lease Agreement) for approximately 32,800 square feet of office space in San Diego, California. The Lease Agreement was scheduled to expire in March 2028 but was extended by 20 months to November 2029 in accordance with the amended lease agreement we entered into in January 2022 (the Amended Lease Agreement). The Initial and Amended Lease Agreements are collectively referred to as the Lease Agreements. The Lease Agreements contain rent escalations over the lease term. In addition, the Lease Agreements contain an option to renew and extend the lease term, which is not included in the determination of the right-of-use (ROU) asset and operating lease liability, as it was not reasonably certain to be exercised. Upon commencement of the Amended Lease Agreement, to extend the lease term, we recognized an additional operating lease ROU asset and a corresponding operating lease liability. The Lease Agreements include variable non-lease components (e.g., common area maintenance, maintenance, etc.) that are not included in the ROU asset and operating lease liability and are reflected as an expense in the period incurred as a component of the lease cost.</w:t>
      </w:r>
    </w:p>
    <w:p>
      <w:pPr>
        <w:spacing w:after="0" w:line="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Amended Lease Agreement also provides for an additional 12,300 square feet of office space adjacent to our current office in San Diego. Upon taking control of the additional office space on July 1, 2022, we recognized operating lease ROU assets obtained in exchange for operating lease liabilities of $4.3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806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1"/>
        </w:trPr>
        <w:tc>
          <w:tcPr>
            <w:tcW w:w="9360" w:type="dxa"/>
            <w:vAlign w:val="bottom"/>
            <w:gridSpan w:val="12"/>
          </w:tcPr>
          <w:p>
            <w:pPr>
              <w:jc w:val="right"/>
              <w:ind w:right="550"/>
              <w:spacing w:after="0"/>
              <w:rPr>
                <w:sz w:val="20"/>
                <w:szCs w:val="20"/>
                <w:color w:val="auto"/>
              </w:rPr>
            </w:pPr>
            <w:r>
              <w:rPr>
                <w:rFonts w:ascii="Times New Roman" w:cs="Times New Roman" w:eastAsia="Times New Roman" w:hAnsi="Times New Roman"/>
                <w:sz w:val="18"/>
                <w:szCs w:val="18"/>
                <w:color w:val="auto"/>
              </w:rPr>
              <w:t>The total operating lease costs for the Lease Agreements were as follows for the periods presented (in thousands):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general and administrative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was as follows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3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4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 included in the measurement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lease liabilities: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8"/>
              </w:rPr>
              <w:t>1,167</w:t>
            </w:r>
          </w:p>
        </w:tc>
        <w:tc>
          <w:tcPr>
            <w:tcW w:w="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of the future minimum lease payments under the Lease Agreements, reconciled to the operating lease liability,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fiscal year ending June 30, 2024</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June 30,</w:t>
            </w: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6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(3,181 )</w:t>
            </w:r>
          </w:p>
        </w:tc>
        <w:tc>
          <w:tcPr>
            <w:tcW w:w="60" w:type="dxa"/>
            <w:vAlign w:val="bottom"/>
          </w:tcPr>
          <w:p>
            <w:pPr>
              <w:spacing w:after="0"/>
              <w:rPr>
                <w:sz w:val="21"/>
                <w:szCs w:val="21"/>
                <w:color w:val="auto"/>
              </w:rPr>
            </w:pPr>
          </w:p>
        </w:tc>
      </w:tr>
      <w:tr>
        <w:trPr>
          <w:trHeight w:val="237"/>
        </w:trPr>
        <w:tc>
          <w:tcPr>
            <w:tcW w:w="8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 - Operating Leases</w:t>
            </w: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8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8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Balance Sheet Information - Operating Leases</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-1919605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-1602740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-616585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5" w:lineRule="exact"/>
        <w:rPr>
          <w:sz w:val="20"/>
          <w:szCs w:val="20"/>
          <w:color w:val="auto"/>
        </w:rPr>
      </w:pPr>
    </w:p>
    <w:p>
      <w:pPr>
        <w:ind w:right="9260" w:firstLine="8"/>
        <w:spacing w:after="0" w:line="37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Equity Transactions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2023, outstanding warrants to purchase 802,949 shares of our common stock expired. The warrants were fully vested and exercisable at a price of $50.80 per share. Prior to their expiration, the warrants had been previously revalued to zero as of December 31, 2022. All corresponding changes in fair value were recorded as a component of other income (expense) in our condensed consolidated statements of operations. No warrants were exercised during the three and six months ended December 31, 2022.</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have warrants outstanding to purchase 102,513 shares of our common stock issued to Torreya Partners in October 2022. The warrants are fully vested and exercisable at a price of $6.80 per share and expire in October 2027. No warrants were exercised during the three and six months ended December 31, 2023 or 2022.</w:t>
      </w:r>
    </w:p>
    <w:p>
      <w:pPr>
        <w:sectPr>
          <w:pgSz w:w="11900" w:h="16838" w:orient="portrait"/>
          <w:cols w:equalWidth="0" w:num="1">
            <w:col w:w="11160"/>
          </w:cols>
          <w:pgMar w:left="320" w:top="756" w:right="419" w:bottom="1440" w:gutter="0" w:footer="0" w:header="0"/>
        </w:sectPr>
      </w:pP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56" w:right="4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December 31, 2023 and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us after October 12, 2023, but before the Distribution Date, as defined in the Rights Agreement (or the earlier of the redemption or expiration of the Rights) and, in certain circumstances, after the Distribution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use share-based compensation programs to provide long-term performance incentives for our employees. These incentives consist primarily of stock options and restricted stock units (RSU). In December 2008, we adopted the MEI Pharma, Inc. 2008 Stock Omnibus Equity Compensation Plan (Omnibus Plan), as amended and restated from time to time, under which 1,850,739 shares of common stock are currently authorized for issuance. The Omnibus Plan provides for the grant of options and/or other stock-based or stock-denominated awards to our non-employee directors, officers, and employees. As of December 31, 2023, there were 439,101 shares available for future grant under the Omnibus Plan.</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May 2021, we adopted the 2021 Inducement Plan (Inducement Plan), under which 217,000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December 31, 2023, there were 116,734 shares available for future grant under the Inducement Plan.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share-based compensation expense for all stock awards consisted of the following for the periods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50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6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4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6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3"/>
        </w:trPr>
        <w:tc>
          <w:tcPr>
            <w:tcW w:w="580" w:type="dxa"/>
            <w:vAlign w:val="bottom"/>
          </w:tcPr>
          <w:p>
            <w:pPr>
              <w:spacing w:after="0"/>
              <w:rPr>
                <w:sz w:val="24"/>
                <w:szCs w:val="24"/>
                <w:color w:val="auto"/>
              </w:rPr>
            </w:pPr>
          </w:p>
        </w:tc>
        <w:tc>
          <w:tcPr>
            <w:tcW w:w="484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-933450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-916305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-933450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-916305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Of the total options outstanding of 1,397,748 as of December 31, 2023, 1,297,482 were granted under the Omnibus Plan and 100,266 were granted under the Inducement Plan.</w:t>
      </w:r>
    </w:p>
    <w:p>
      <w:pPr>
        <w:spacing w:after="0" w:line="72"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stock option activity and related data follows:</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Aggrega</w:t>
            </w:r>
          </w:p>
        </w:tc>
      </w:tr>
      <w:tr>
        <w:trPr>
          <w:trHeight w:val="216"/>
        </w:trPr>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te</w:t>
            </w:r>
          </w:p>
        </w:tc>
      </w:tr>
      <w:tr>
        <w:trPr>
          <w:trHeight w:val="216"/>
        </w:trPr>
        <w:tc>
          <w:tcPr>
            <w:tcW w:w="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45"/>
        </w:trPr>
        <w:tc>
          <w:tcPr>
            <w:tcW w:w="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6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1,284,907</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200" w:type="dxa"/>
            <w:vAlign w:val="bottom"/>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260,437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(147,596 )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1,397,748</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6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FF0FC"/>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812,884</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-368300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aggregate intrinsic value of outstanding options was calculated as the difference between the exercise price of the underlying options and the closing price of our common stock of $5.80 on that date.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$2.3 million as of December 31, 2023. Such compensation expense is expected to be recognized over a weighted-average period of 1.57 years. As of December 31, 2023, we expect all options to vest.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option grants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00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r>
      <w:tr>
        <w:trPr>
          <w:trHeight w:val="238"/>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320" w:type="dxa"/>
            <w:vAlign w:val="bottom"/>
          </w:tcPr>
          <w:p>
            <w:pPr>
              <w:spacing w:after="0"/>
              <w:rPr>
                <w:sz w:val="20"/>
                <w:szCs w:val="20"/>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2.9 %</w:t>
            </w:r>
          </w:p>
        </w:tc>
      </w:tr>
      <w:tr>
        <w:trPr>
          <w:trHeight w:val="238"/>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90.0 %</w:t>
            </w:r>
          </w:p>
        </w:tc>
        <w:tc>
          <w:tcPr>
            <w:tcW w:w="320" w:type="dxa"/>
            <w:vAlign w:val="bottom"/>
          </w:tcPr>
          <w:p>
            <w:pPr>
              <w:spacing w:after="0"/>
              <w:rPr>
                <w:sz w:val="21"/>
                <w:szCs w:val="21"/>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84.1 %</w:t>
            </w:r>
          </w:p>
        </w:tc>
      </w:tr>
      <w:tr>
        <w:trPr>
          <w:trHeight w:val="250"/>
        </w:trPr>
        <w:tc>
          <w:tcPr>
            <w:tcW w:w="58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1"/>
                <w:szCs w:val="21"/>
                <w:color w:val="auto"/>
              </w:rPr>
            </w:pP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398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-1679575</wp:posOffset>
            </wp:positionV>
            <wp:extent cx="641223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-1370965</wp:posOffset>
            </wp:positionV>
            <wp:extent cx="641223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2023 Annual Report on Form 10-K (2023 Annual Report), as filed with the Securities and Exchange Commission on September 26, 2023. Set forth below is a summary of the principal risks we face: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common stock. Set forth below is a summary of the principal risks we face:</w:t>
      </w:r>
    </w:p>
    <w:p>
      <w:pPr>
        <w:spacing w:after="0" w:line="270" w:lineRule="exact"/>
        <w:rPr>
          <w:sz w:val="20"/>
          <w:szCs w:val="20"/>
          <w:color w:val="auto"/>
        </w:rPr>
      </w:pPr>
    </w:p>
    <w:p>
      <w:pPr>
        <w:ind w:left="1020" w:right="5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general economic conditions, including financial market volatility and disruption, elevated levels of inflation, and uncertain economic conditions in the United States and abroad;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seek additional capital through marketing and distribution arrangements or other collaborations, strategic alliances or licensing arrangements with third parties at terms which maybe unfavorable to us;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pharmaceutical company focused on developing potential new therapies for cancer and are likely to incur operating losses for the foreseeable future;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drug candidate manufacturing or formulation may result in additional costs or delay;</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approval by regulatory authorities of our drug candidates for commercial use may be delayed, limited or prevented, for reasons which may or may not be directly related to our drug candidates, and any of which would adversely affect our ability to generate operating revenues;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determine that our drug candidates have undesirable risk-benefit profiles with respect to its evaluations of efficacy and/or side effects that could delay or prevent regulatory approval or commercialization;</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completion of clinical trials and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approval in foreign jurisdictions would prevent us from marketing our products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orphan drug designations we receive may not confer marketing exclusivity or other benefits;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products we develop become subject to unfavorable pricing regulations, third party reimbursement practices or healthcare reform initiatives, our ability to successfully commercialize our products will be impaired;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are subject to ongoing government regulation both before and after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the contractual arrangements necessary to develop, market and distribute our drug candidates;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opportunity will be reduced or eliminated if competitors develop and market products that are more effective, have fewer side effects or are less expensive than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face competition sooner than anticipated;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on third party suppliers and contract manufacturers for the manufacturing of our drug candidates and have no direct control over the cost and timing of manufacturing our drug candidates. Increases in the cost of manufacturing our drug candidates or delays in manufacturing would increase our costs of conducting clinical trials and could adversely affect our future profitability;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acquisitions or licenses from third parties to expand our pipeline of drug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is dependent, in part, on obtaining and maintaining patent protection and preserving trade secrets, which cannot be guaranteed;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 companies that we infringe on their proprietary technology may result in liability for damages or stop our development and commercialization efforts;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substantial costs stemming from our defense against third party intellectual property infringement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risk of product liability claims and claims may exceed our insurance limits;</w:t>
      </w:r>
    </w:p>
    <w:p>
      <w:pPr>
        <w:spacing w:after="0" w:line="11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principal investigators, or clinical contract research organizations (CROs) may engage in misconduct or other improper activities, including noncompliance with regulatory standards and requirements, which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system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will be seriously jeopardized if we are unable to retain and attract key employees;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U.S. and global economic conditions may pose challenges to our business strategy, which relies on funding from the financial markets or collaborators, including financial and other impacts of macroeconomic and geopolitical trends and events, including the conflicts in Ukraine and between Israel and Hamas and related regional and global ramifications;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and regulations relating to public companies may be costly and impact our ability to attract and retain directors and executive officers;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 attacks and other disruptions could compromise our information and expose us to liability, which would cause our business and reputation to suffer;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right="1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harm our business;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tax deductibility of net operating losses could adversely affect our business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impacted as a result of actions by activist investors;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may continue to be highly volatile and could decline in value and we may incur significant costs from class action litigation;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including common stock issued upon exercise of outstanding warrants or options, may depress the market price of our common stock and cause stockholders to experience dilution;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net proceeds from any exercise of outstanding warrants and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authorized to issue blank check preferred stock, which could adversely affect the holders of our common stock;</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amended and restated certificate of incorporation and sixth amended and restated bylaws, as well as provisions of Delaware law, could impair a takeover attempt;</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sixth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may sell shares of their stock, and these sales could adversely affect our stock price.</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risks are not exhaustive. Other sections of this report and our other filings with the Securities and Exchange Commission (SEC)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condensed consolidated financial statements and the notes thereto appearing elsewhere in this Quarterly Report and the audited financial statements and notes thereto included in our 2023 Annual Report, as filed with the SEC. Operating results are not necessarily indicative of results that may occur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MEI Pharma, Inc. (Nasdaq: MEIP) is a clinical-stage pharmaceutical company committed to developing novel and differentiated cancer therapies. We build our pipeline by acquiring promising cancer agents and creating value in programs through clinical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The drug candidate pipeline includes voruciclib, an oral cyclin-dependent kinase 9 (CDK9) inhibitor, and ME-344, an intravenous small molecule inhibitor of mitochondrial oxidative phosphorylation (OXPHOS). Our common stock is listed on the Nasdaq Capital Market under the symbol MEIP.</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believe our cash is sufficient to fund operations for at least 12 months and through the reporting of clinical data readouts from the ongoing voruciclib Phase 1 and ME-344 Phase 1b clinical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October 31, 2023, we announced entry into a Cooperation Agreement (Cooperation Agreement) with Anson Funds (Anson) and Cable Car Capital (Cable Car) which contains the following key terms:</w:t>
      </w:r>
    </w:p>
    <w:p>
      <w:pPr>
        <w:spacing w:after="0" w:line="54" w:lineRule="exact"/>
        <w:rPr>
          <w:sz w:val="20"/>
          <w:szCs w:val="20"/>
          <w:color w:val="auto"/>
        </w:rPr>
      </w:pPr>
    </w:p>
    <w:p>
      <w:pPr>
        <w:ind w:left="1020" w:right="20" w:hanging="503"/>
        <w:spacing w:after="0" w:line="25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Return to Stockholders: Payment of a dividend to stockholders in the amount of $1.75 per share of common stock to all stockholders, which was issued on December 6, 2023. Additionally, a second return of capital of not to exceed $9.33 million (the Potential Second Return of Capital) could be issued if authorized by the board of directors (Board) should our ongoing ME-344 phase 1b trial fail to meet certain endpoints or our Board determines not to proceed with a second cohort. The Potential Second Return of Capital may take the form of a dividend or tender offer and is subject to Board approval as well as modification associated with applicable requirements under Delaware law, as detailed in the Cooperation Agreement.</w:t>
      </w:r>
    </w:p>
    <w:p>
      <w:pPr>
        <w:spacing w:after="0" w:line="79"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Resignations: Three of our former directors resigned from the Board concurrently with the execution of the Cooperation Agreement and did not seek reelection at the 2024 Annual Meeting of Stockholders (2024 Annual Meeting).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Designees Added to the Board: The appointment of two directors designated by Anson and Cable Car, with an additional director appointment mutually agreed upon by us and Anson and Cable Car. These appointments were effective immediately and the new directors were nominated for election by us and elected at the fiscal 2024 Annual Meeting to serve for a three-year term.</w:t>
      </w:r>
    </w:p>
    <w:p>
      <w:pPr>
        <w:spacing w:after="0" w:line="67" w:lineRule="exact"/>
        <w:rPr>
          <w:rFonts w:ascii="Times New Roman" w:cs="Times New Roman" w:eastAsia="Times New Roman" w:hAnsi="Times New Roman"/>
          <w:sz w:val="18"/>
          <w:szCs w:val="18"/>
          <w:color w:val="auto"/>
        </w:rPr>
      </w:pPr>
    </w:p>
    <w:p>
      <w:pPr>
        <w:ind w:left="1020" w:right="36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a Capital Allocation Committee: The formation of a Capital Allocation Committee, comprising five directors including the three new directors. The Capital Allocation Committee will advise the Board on the strategic allocation of capital to support (i) the development of our drug candidate programs and (ii) other value creation or preservation measures, with a view toward maximizing stockholder value.</w:t>
      </w:r>
    </w:p>
    <w:p>
      <w:pPr>
        <w:spacing w:after="0" w:line="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part of the Cooperation Agreement, Anson and Cable Car withdrew their consent solicitation and agreed to abide by customary standstill provisions. Additionally, we reimbursed Anson and Cable Car’s fees and expenses related to their engagement with us as of the date of the Cooperation Agreement, in the amount of $1.1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clinical-stage drug candidate pipeline includes voruciclib, an oral CDK9 inhibitor, and ME-344, an intravenous small molecule mitochondrial inhibitor targeting OXHPHOS in the mitochondria.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172200" cy="1423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220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Voruciclib is a potent and selective orally administered CDK9 inhibitor. Voruciclib is being studied in a Phase 1 trial evaluating dose and schedule in patients with acute myeloid leukemia (AML) and B-cell malignancies as a single-agent, and in combination with the B-cell lymphoma 2 (BCL2) inhibitor venetoclax (marketed as Venclexta®) in patients with AML. Voruciclib is also being evaluated in pre-clinical studies to explore potential activity in various solid tumor cancers including in combination with therapies that target the RAS signaling pathway, such as KRAS inhibitors.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Voruciclib Scientific Overview: Cell Cycle Signaling</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CDK9 has important functions in cell cycle regulation, including the modulation of two therapeutic targets in cancer:</w:t>
      </w:r>
    </w:p>
    <w:p>
      <w:pPr>
        <w:spacing w:after="0" w:line="117" w:lineRule="exact"/>
        <w:rPr>
          <w:sz w:val="20"/>
          <w:szCs w:val="20"/>
          <w:color w:val="auto"/>
        </w:rPr>
      </w:pPr>
    </w:p>
    <w:p>
      <w:pPr>
        <w:jc w:val="both"/>
        <w:ind w:left="1020" w:right="200" w:hanging="503"/>
        <w:spacing w:after="0" w:line="266"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right="80" w:hanging="503"/>
        <w:spacing w:after="0" w:line="261"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 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right="720" w:firstLine="509"/>
        <w:spacing w:after="0" w:line="375" w:lineRule="auto"/>
        <w:rPr>
          <w:sz w:val="20"/>
          <w:szCs w:val="20"/>
          <w:color w:val="auto"/>
        </w:rPr>
      </w:pPr>
      <w:r>
        <w:rPr>
          <w:rFonts w:ascii="Times New Roman" w:cs="Times New Roman" w:eastAsia="Times New Roman" w:hAnsi="Times New Roman"/>
          <w:sz w:val="18"/>
          <w:szCs w:val="18"/>
          <w:color w:val="231F20"/>
        </w:rPr>
        <w:t xml:space="preserve">Directly inhibiting MCL1 and MYC has historically been difficult, but CDK9 is a promising approach to indirectly target these oncogenes. </w:t>
      </w:r>
      <w:r>
        <w:rPr>
          <w:rFonts w:ascii="Times New Roman" w:cs="Times New Roman" w:eastAsia="Times New Roman" w:hAnsi="Times New Roman"/>
          <w:sz w:val="18"/>
          <w:szCs w:val="18"/>
          <w:i w:val="1"/>
          <w:iCs w:val="1"/>
          <w:color w:val="231F20"/>
        </w:rPr>
        <w:t>Voruciclib: Inhibition of MCL1</w:t>
      </w:r>
    </w:p>
    <w:p>
      <w:pPr>
        <w:spacing w:after="0" w:line="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w:t>
      </w:r>
      <w:r>
        <w:rPr>
          <w:rFonts w:ascii="Times New Roman" w:cs="Times New Roman" w:eastAsia="Times New Roman" w:hAnsi="Times New Roman"/>
          <w:sz w:val="18"/>
          <w:szCs w:val="18"/>
          <w:color w:val="000000"/>
        </w:rPr>
        <w:t>and is associated with poor prognosis in these patients. Also important, high levels of MCL1 expression are associated with resistance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venetoclax.</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7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B-cell malignancies and AML.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231F20"/>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evaluating patients with hematological malignancies in a Phase 1 clinical trial evaluating the dose and schedule of voruciclib monotherapy and in combination with venetoclax. The trial started with the evaluation of dose and schedule of voruciclib as a monotherapy in patients with relapsed and refractory B-cell malignancies and AML after failure of prior standard therapies to determine the safety, preliminary efficacy and maximum tolerated dose. After completing the monotherapy dose escalation stage of the study, we are now evaluating the dose and schedule of voruciclib in combination with venetoclax, a BCL-2 inhibitor, initially in patients with R/R AML. The primary goal of the Phase 1 study is to assess the safety, and possible synergies, of voruciclib administered in combination with venetoclax. Clinical data is expected to be reported from the dose escalation portion of the ongoing Phase 1 clinical trial evaluating voruciclib plus venetoclax in patients with R/R AML in the first calendar quarter of 2024.</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 Ser2 (RNA Pol II p-S2) demonstrated reduction in expression consistent with the anticipated on-target pharmacodynamic effect of voruciclib on Mcl-1 and RNA Pol II p-S2.</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further presented in the ASH 2023 poster, the second stage of the study evaluating the combination of voruciclib and venetoclax in patients with R/R AML is ongoing. All patients were heavily pre-treated with a median of three prior therapies including venetoclax. Voruciclib at doses up to 300 mg on the intermittent schedule have been administered in combination with venetoclax in patients with relapsed or refractory AML. No DLTs have been reported and no evidence of overlapping toxicity has been observed to date. Voruciclib doses from 50 mg to 200 mg administered in combination with venetoclax, as reported in the ASH 2023 poster, demonstrated anti-tumor activity as evidenced by objective responses and reductions in transfusions, with multiple patients continuing on therapy for ≥ four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6172200" cy="26320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ME-344: Clinical-stage Mitochondrial Inhibitor with Combinatorial Potential</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ME-344 is a novel drug candidate that inhibits mitochondrial OXPHOS, a fundamental metabolic pathway involved in the production of adenosine triphosphate (ATP) in the mitochondria. ATP provides energy to drive many metabolic cell processes, including division, proliferation, and growth. By disrupting the production of ATP, ME-344 has been shown to induce cancer cell death in nonclinical models and was associated with antitumor activity in clinical studies.</w:t>
      </w:r>
    </w:p>
    <w:p>
      <w:pPr>
        <w:spacing w:after="0" w:line="72" w:lineRule="exact"/>
        <w:rPr>
          <w:sz w:val="20"/>
          <w:szCs w:val="20"/>
          <w:color w:val="auto"/>
        </w:rPr>
      </w:pPr>
    </w:p>
    <w:p>
      <w:pPr>
        <w:ind w:right="1220" w:firstLine="554"/>
        <w:spacing w:after="0" w:line="375" w:lineRule="auto"/>
        <w:rPr>
          <w:sz w:val="20"/>
          <w:szCs w:val="20"/>
          <w:color w:val="auto"/>
        </w:rPr>
      </w:pPr>
      <w:r>
        <w:rPr>
          <w:rFonts w:ascii="Times New Roman" w:cs="Times New Roman" w:eastAsia="Times New Roman" w:hAnsi="Times New Roman"/>
          <w:sz w:val="18"/>
          <w:szCs w:val="18"/>
          <w:color w:val="231F20"/>
        </w:rPr>
        <w:t>Currently, we are evaluating ME-344 in combination with bevacizumab (AVASTIN®) in p</w:t>
      </w:r>
      <w:r>
        <w:rPr>
          <w:rFonts w:ascii="Times New Roman" w:cs="Times New Roman" w:eastAsia="Times New Roman" w:hAnsi="Times New Roman"/>
          <w:sz w:val="18"/>
          <w:szCs w:val="18"/>
          <w:color w:val="000000"/>
        </w:rPr>
        <w:t>atients with metastatic colorectal cancer.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ME-344 Scientific Overview: Cancer Metabolism</w:t>
      </w:r>
    </w:p>
    <w:p>
      <w:pPr>
        <w:spacing w:after="0" w:line="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Energy supplied in the form of ATP fuels tumor metabolism supporting cell division and growth. Accordingly, </w:t>
      </w:r>
      <w:r>
        <w:rPr>
          <w:rFonts w:ascii="Times New Roman" w:cs="Times New Roman" w:eastAsia="Times New Roman" w:hAnsi="Times New Roman"/>
          <w:sz w:val="18"/>
          <w:szCs w:val="18"/>
          <w:color w:val="231F20"/>
        </w:rPr>
        <w:t>tumor cells often display a high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metabolic rate to support tumor cell survival and proliferation. This heightened metabolism requires a continual supply of energy in the form of ATP. </w:t>
      </w:r>
      <w:r>
        <w:rPr>
          <w:rFonts w:ascii="Times New Roman" w:cs="Times New Roman" w:eastAsia="Times New Roman" w:hAnsi="Times New Roman"/>
          <w:sz w:val="18"/>
          <w:szCs w:val="18"/>
          <w:color w:val="000000"/>
        </w:rPr>
        <w:t>Anti-angiogenics, such as the vascular endothelial growth factor (VEGF) inhibitor bevacizumab, have the potential to normalize vasculature and decrease reliance on glycolysis for ATP. The resulting reduction in glycolysis may trigger an increased dependence on mitochondrial ATP production for energy to support continued tumor proliferation. In such cases of tumor plasticity, the combination of ME-344 and bevacizumab may induce metabolic synthetic lethality, providing a novel therapeutic strategy. Specifically, leveraging the ability of antiangiogenics like bevacizumab to reduce glycolysis and force tumor cells to switch to mitochondrial respiration via OXPHOS, which is inhibited by ME-344, may reduce access to ATP needed for cell division and growth in tumors.</w:t>
      </w:r>
    </w:p>
    <w:p>
      <w:pPr>
        <w:spacing w:after="0" w:line="84" w:lineRule="exact"/>
        <w:rPr>
          <w:sz w:val="20"/>
          <w:szCs w:val="20"/>
          <w:color w:val="auto"/>
        </w:rPr>
      </w:pPr>
    </w:p>
    <w:p>
      <w:pPr>
        <w:ind w:right="280" w:firstLine="554"/>
        <w:spacing w:after="0" w:line="261" w:lineRule="auto"/>
        <w:rPr>
          <w:sz w:val="20"/>
          <w:szCs w:val="20"/>
          <w:color w:val="auto"/>
        </w:rPr>
      </w:pPr>
      <w:r>
        <w:rPr>
          <w:rFonts w:ascii="Times New Roman" w:cs="Times New Roman" w:eastAsia="Times New Roman" w:hAnsi="Times New Roman"/>
          <w:sz w:val="18"/>
          <w:szCs w:val="18"/>
          <w:color w:val="auto"/>
        </w:rPr>
        <w:t xml:space="preserve">We obtained initial clinical validation of this approach in </w:t>
      </w:r>
      <w:r>
        <w:rPr>
          <w:rFonts w:ascii="Times New Roman" w:cs="Times New Roman" w:eastAsia="Times New Roman" w:hAnsi="Times New Roman"/>
          <w:sz w:val="18"/>
          <w:szCs w:val="18"/>
          <w:color w:val="231F20"/>
        </w:rPr>
        <w:t>a completed investigator-initiated, multi-center, randomized, controlled, window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opportunity clinical trial evaluating ME-344 in combination with bevacizumab that enrolled a total of 42 patients with human epidermal growth factor receptor 2 (HER2) negative breast cancer. </w:t>
      </w:r>
      <w:r>
        <w:rPr>
          <w:rFonts w:ascii="Times New Roman" w:cs="Times New Roman" w:eastAsia="Times New Roman" w:hAnsi="Times New Roman"/>
          <w:sz w:val="18"/>
          <w:szCs w:val="18"/>
          <w:color w:val="000000"/>
        </w:rPr>
        <w:t>An earlier Phase 1 clinical study evaluating ME-344 as a single-agent in patients with refractory solid tumors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also demonstrated anti-tumor activity, further validating the potential of mitochondrial inhibition as a promising therapeutic modality.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evaluating the combination of ME-344 and bevacizumab in patients with metastatic colorectal cancer in an ongoing Phase 1b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72"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therapeutic opportunity.</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7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231F20"/>
        </w:rPr>
        <w:t>Results published in the November 2019 issue of Clinical Cancer Research from a multi-center, investigator-initiated, randomized, controlled, clinical trial that evaluated the combination of ME-344 and bevacizumab in 42 women with early HER2-negative breast cancer further support the combinatorial use of ME-344 with anti-angiogenic therapeutics.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72" w:lineRule="exact"/>
        <w:rPr>
          <w:sz w:val="20"/>
          <w:szCs w:val="20"/>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absolute Ki67 decreases were 13.3 compared to an increase of 1.1 in the bevacizumab monotherapy group (P=0.01).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relative Ki67 decreases were 23% compared to an increase of 186% in the bevacizumab monotherapy group (P &lt; 0.01).</w:t>
      </w:r>
    </w:p>
    <w:p>
      <w:pPr>
        <w:spacing w:after="0" w:line="53" w:lineRule="exact"/>
        <w:rPr>
          <w:rFonts w:ascii="Times New Roman" w:cs="Times New Roman" w:eastAsia="Times New Roman" w:hAnsi="Times New Roman"/>
          <w:sz w:val="18"/>
          <w:szCs w:val="18"/>
          <w:color w:val="231F20"/>
        </w:rPr>
      </w:pPr>
    </w:p>
    <w:p>
      <w:pPr>
        <w:jc w:val="both"/>
        <w:ind w:left="1020" w:right="120" w:hanging="503"/>
        <w:spacing w:after="0" w:line="266"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Treatment was generally well tolerated; three grade 3 adverse events of high blood pressure were reported, two in the ME-344 arm and one in the bevacizumab monotherapy arm.</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Results from our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6172200" cy="27514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7220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are advancing ME-344 in combination with the anti-angiogenic antibody bevacizumab in a Phase 1b study evaluating patients with relapsed colorectal cancer. The study is enrolling patients with progressive disease after failure of standard therapies with patients treated until disease progression or intolerance. The primary objective is progression free survival. Secondary endpoints include overall response rate, duration of response, overall survival and safety. S</w:t>
      </w:r>
      <w:r>
        <w:rPr>
          <w:rFonts w:ascii="Times New Roman" w:cs="Times New Roman" w:eastAsia="Times New Roman" w:hAnsi="Times New Roman"/>
          <w:sz w:val="18"/>
          <w:szCs w:val="18"/>
          <w:color w:val="000000"/>
        </w:rPr>
        <w:t>afety and efficacy data from the first cohort of approximately 20 patients in the ongoing ME-344 Phase 1b study is expected to be reported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first half of calendar 2024. </w:t>
      </w:r>
      <w:r>
        <w:rPr>
          <w:rFonts w:ascii="Times New Roman" w:cs="Times New Roman" w:eastAsia="Times New Roman" w:hAnsi="Times New Roman"/>
          <w:sz w:val="18"/>
          <w:szCs w:val="18"/>
          <w:color w:val="231F20"/>
        </w:rPr>
        <w:t>Additionally, ME-344 may also have clinical potential against hematological malignancies. At the AACR Annual Meeting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concluded that ME-344 enhances venetoclax activity against AML cells including resistant AML.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KKC under a global license, development and commercialization agreement entered into in April 2020.</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231F20"/>
        </w:rPr>
        <w:t>In March 2022, we and KKC reported the outcome of an end of Phase 2 meeting with the FDA wherein the agency discouraged a filing based on data from a single-arm Phase 2 TIDAL trial. At this meeting, the FDA stated that data generated from single arm</w:t>
      </w:r>
    </w:p>
    <w:p>
      <w:pPr>
        <w:sectPr>
          <w:pgSz w:w="11900" w:h="16838" w:orient="portrait"/>
          <w:cols w:equalWidth="0" w:num="1">
            <w:col w:w="11160"/>
          </w:cols>
          <w:pgMar w:left="320" w:top="769" w:right="419" w:bottom="1440" w:gutter="0" w:footer="0" w:header="0"/>
        </w:sectPr>
      </w:pP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231F20"/>
        </w:rPr>
        <w:t>studies such as the Phase 2 TIDAL trial are insufficient to adequately assess the risk/benefit of PI3Kδ inhibitors evaluating indolent non-Hodgkin lymphoma. At that time, the FDA emphasized that the company continue efforts with the ongoing randomized Phase 3 COASTAL trial evaluating patients with relapsed or refractory follicular or marginal zone lymphomas. Subsequently, at an April 2022 meeting of the FDA Oncology Drugs Advisory Committee, the committee voted that future approvals of PI3Kδ inhibitors for hematologic malignancies should be supported by randomized data.</w:t>
      </w:r>
    </w:p>
    <w:p>
      <w:pPr>
        <w:spacing w:after="0" w:line="5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In November 2022, we and KKC met with the FDA in a follow-up meeting to the March 2022 end of Phase 2 meeting. At this meeting, the FDA provided further guidance regarding the design and statistical analysis for the Phase 3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80"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231F20"/>
        </w:rPr>
        <w:t>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generated to date.</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14, 2023, we entered into a Termination Agreement (the Termination Agreement) with KKC to terminate all agreements between the parties and cease further zandelisib clinical development globally. As of December 31, 2023, activities associated with the compassionate use supply were completed. We anticipate completing the wind-down activities associated with the KKC Commercialization Agreement in fiscal year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KKC License, Development and Commercialization Agreement</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 Commercialization Agreement included potential regulatory and commercialization milestone payments plus royalties on net sales of zandelisib in Japan, which are tiered beginning in the teens. Prior to the execution of the Termination Agreement on July 14, 2023, KKC was responsible for the development and commercialization of zandelisib in the Ex-U.S. and, subject to certain exceptions,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8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231F20"/>
        </w:rPr>
        <w:t>As noted above, on July 14, 2023, we entered into a Termination Agreement with KKC to mutually terminate the KKC Commercialization Agreement and all other related agreements between the parties. Pursuant to the Termi</w:t>
      </w:r>
      <w:r>
        <w:rPr>
          <w:rFonts w:ascii="Times New Roman" w:cs="Times New Roman" w:eastAsia="Times New Roman" w:hAnsi="Times New Roman"/>
          <w:sz w:val="18"/>
          <w:szCs w:val="18"/>
          <w:color w:val="000000"/>
        </w:rPr>
        <w:t>nation Agreement:</w:t>
      </w:r>
    </w:p>
    <w:p>
      <w:pPr>
        <w:spacing w:after="0" w:line="54" w:lineRule="exact"/>
        <w:rPr>
          <w:sz w:val="20"/>
          <w:szCs w:val="20"/>
          <w:color w:val="auto"/>
        </w:rPr>
      </w:pPr>
    </w:p>
    <w:p>
      <w:pPr>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full, global rights to develop, manufacture and commercialize zandelisib, subject to KKC's limited rights to use zandelisib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released the other party from any and all claims, demands, etc. arising from the </w:t>
      </w:r>
      <w:r>
        <w:rPr>
          <w:rFonts w:ascii="Times New Roman" w:cs="Times New Roman" w:eastAsia="Times New Roman" w:hAnsi="Times New Roman"/>
          <w:sz w:val="18"/>
          <w:szCs w:val="18"/>
          <w:color w:val="231F20"/>
        </w:rPr>
        <w:t>KKC Commercialization Agreement</w:t>
      </w:r>
      <w:r>
        <w:rPr>
          <w:rFonts w:ascii="Times New Roman" w:cs="Times New Roman" w:eastAsia="Times New Roman" w:hAnsi="Times New Roman"/>
          <w:sz w:val="18"/>
          <w:szCs w:val="18"/>
          <w:color w:val="auto"/>
        </w:rPr>
        <w:t>, excluding certain surviving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deliver a discrete quantity of materials to facilitate KKC's compassionate use activities.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As of June 30, 2023, we had $64.9 million of aggregate deferred revenue associated with the KKC Commercialization Agreement, of which $64.5 million was allocated to the U.S. License and $0.3 million was allocated to the Development Services performance obligations which were recognized based on the proportional performance of these development activities through wind-down of the associated trials. As further discussed in </w:t>
      </w:r>
      <w:r>
        <w:rPr>
          <w:rFonts w:ascii="Times New Roman" w:cs="Times New Roman" w:eastAsia="Times New Roman" w:hAnsi="Times New Roman"/>
          <w:sz w:val="18"/>
          <w:szCs w:val="18"/>
          <w:i w:val="1"/>
          <w:iCs w:val="1"/>
          <w:u w:val="single" w:color="auto"/>
          <w:color w:val="0000FF"/>
        </w:rPr>
        <w:t>Note 7. 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color w:val="231F20"/>
        </w:rPr>
        <w:t>, in connection with the execution of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-173990</wp:posOffset>
            </wp:positionV>
            <wp:extent cx="7359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5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5353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5305"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Agreement during the three months ended September 30, 2023, we recognized the $64.5 million of noncash long-term deferred revenue associated with the U.S. License as well as the remaining $0.3 million noncash deferred revenue associated with the completion of the underlying proportional performance activities. As of September 30, 2023, all deferred revenue associated with the KKC Commercialization Agreement had been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2023 and 2022</w:t>
      </w:r>
    </w:p>
    <w:p>
      <w:pPr>
        <w:spacing w:after="0" w:line="225" w:lineRule="exact"/>
        <w:rPr>
          <w:sz w:val="20"/>
          <w:szCs w:val="20"/>
          <w:color w:val="auto"/>
        </w:rPr>
      </w:pPr>
    </w:p>
    <w:p>
      <w:pPr>
        <w:jc w:val="both"/>
        <w:ind w:right="6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recognized no revenue for the three months ended December 31, 2023 compared to $32.7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2022. The decrease in revenue was due to the </w:t>
      </w:r>
      <w:r>
        <w:rPr>
          <w:rFonts w:ascii="Times New Roman" w:cs="Times New Roman" w:eastAsia="Times New Roman" w:hAnsi="Times New Roman"/>
          <w:sz w:val="18"/>
          <w:szCs w:val="18"/>
          <w:color w:val="231F20"/>
        </w:rPr>
        <w:t>termination of the KKC Commercialization Agreement in July 2023 and all remaining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deferred revenue having been recognized in the three months ended September 30, 2023.</w:t>
      </w:r>
    </w:p>
    <w:p>
      <w:pPr>
        <w:spacing w:after="0" w:line="6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(in thousands).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35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r>
      <w:tr>
        <w:trPr>
          <w:trHeight w:val="241"/>
        </w:trPr>
        <w:tc>
          <w:tcPr>
            <w:tcW w:w="65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6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ME-344</w:t>
            </w: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tcPr>
          <w:p>
            <w:pPr>
              <w:spacing w:after="0"/>
              <w:rPr>
                <w:sz w:val="20"/>
                <w:szCs w:val="20"/>
                <w:color w:val="auto"/>
              </w:rPr>
            </w:pPr>
          </w:p>
        </w:tc>
      </w:tr>
      <w:tr>
        <w:trPr>
          <w:trHeight w:val="277"/>
        </w:trPr>
        <w:tc>
          <w:tcPr>
            <w:tcW w:w="6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clinical trial costs and includes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$8.3 million primarily due to the discontinuation of the program during fiscal year 2023. Costs related to voruciclib increased $0.1 million mainly due to increased clinical costs in the Phase 1 study. Costs related to ME-344 increased $1.3 million due to increased clinical and manufacturing costs related to the Phase 1b study. Other research and development costs decreased $4.5 million primarily due to a decrease of $4.0 million in personnel costs resulting from our reductions in workforce including a $0.7 million decrease in one-time employee termination benefits.</w:t>
      </w:r>
    </w:p>
    <w:p>
      <w:pPr>
        <w:spacing w:after="0" w:line="185"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$0.5 million to $8.0 million for the three months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compared to $8.5 million for the three months ended December 31, 2022. The decrease was primarily due to $1.3 million less personnel costs resulting from our reductions in workforce partially offset by a $0.8 million increase in legal fees primarily associated with the Cooperation Agreement.</w:t>
      </w:r>
    </w:p>
    <w:p>
      <w:pPr>
        <w:spacing w:after="0" w:line="17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$0.5 million to $0.9 million for the three months ended December 31, 2023 compared to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December 31, 2022. We recorded a noncash gain of $0.5 million during the three months ended December 31, 2022, due to a change in the fair value of our warrant liability with no similar gain during the three months ended December 31, 2023, because of the underlying warrants expiring in May 2023.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2023 and 2022</w:t>
      </w:r>
    </w:p>
    <w:p>
      <w:pPr>
        <w:spacing w:after="0" w:line="225"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recognized revenue of $65.3 million for the six months ended December 31, 2023 compared to $41.5 million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2022. The increase in revenue was primarily due to the recognition of all remaining deferred revenue associated with </w:t>
      </w:r>
      <w:r>
        <w:rPr>
          <w:rFonts w:ascii="Times New Roman" w:cs="Times New Roman" w:eastAsia="Times New Roman" w:hAnsi="Times New Roman"/>
          <w:sz w:val="18"/>
          <w:szCs w:val="18"/>
          <w:color w:val="231F20"/>
        </w:rPr>
        <w:t>the KKC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Commercialization Agreement that was terminated in July 2023, offset by a decrease in revenue recognized during the six months ended December 31, 2023, related to cost sharing from the KKC Commercialization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(in thousands).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35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r>
      <w:tr>
        <w:trPr>
          <w:trHeight w:val="238"/>
        </w:trPr>
        <w:tc>
          <w:tcPr>
            <w:tcW w:w="65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34,776</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clinical trial costs and includes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$19.5 million primarily as a result of the discontinuation of the program during fiscal year 2023 with lower costs in fiscal year 2024 associated with wind-down activities. Costs related to voruciclib decreased $1.0 million mainly due to lower recognized clinical costs in the Phase 1 study. Costs related to ME-344 increased $1.8 million due to higher clinical and manufacturing costs related to the Phase 1b study. Other research and development costs decreased $8.7 million primarily due to a decrease of $7.4 million in personnel costs resulting from our reductions in workforce, including a $0.7 million decrease in one-time employee termination benefits and a $0.8 million decrease in noncash stock-based compensation.</w:t>
      </w:r>
    </w:p>
    <w:p>
      <w:pPr>
        <w:spacing w:after="0" w:line="188"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$1.4 million to $14.5 million for the six months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compared to $16.0 million for the six months ended December 31, 2022. The decrease was primarily due to $2.3 million less personnel costs resulting from our reductions in workforce, $0.4 million less noncash stock-based compensation, and $0.5 million less corporate overhead costs partially offset by a $1.7 million increase in legal fees primarily associated with the Cooperation Agreement.</w:t>
      </w:r>
    </w:p>
    <w:p>
      <w:pPr>
        <w:spacing w:after="0" w:line="17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approximately $1.0 million to $2.0 million for the six months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$2.9 million for the six months ended December 31, 2022. We recorded a noncash gain of $1.6 million during the six months ended December 31, 2022, due to a change in the fair value of our warrant liability with no similar gain during the six months ended December 31, 2023, because of the underlying warrants expiring in May 2023. Additionally, we received interest and dividend income of $2.0 million for the six months ended December 31, 2023 compared to $1.3 million for the six months ended December 31, 2022. The increase in interest and dividend income is primarily due to higher yields during the six months ended December 31, 2023 compared to the six months ended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accumulated losses of $360.7 million since inception and expect to incur operating losses and generate negative cash flows from operations for the foreseeable future. As of December 31, 2023, we had $59.5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operations and operating expenses may affect actual future use of existing cash resources.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8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December 31, 2023 of $29.5 million consisted of our net income of $45.3 million and $2.1 million for noncash items offset by $77.0 million in changes in our operating assets and liabilities primarily due to recognition of $64.9 million in noncash deferred revenue. Net cash used in operating activities for the six months ended December 31, 2022 of $29.1 million consisted of our net loss of $6.4 million and changes in our operating assets and liabilities of $24.3 million partially offset by $1.7 million in noncash items.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December 31, 2023 was $29.5 million as compared to $24.3 million cash provided by investing activities for the six months ended December 31, 2022. The increase was primarily due to timing differences between the purchases of and maturities of short-term investments during the six months ended December 31, 2023 against the comparative period.</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December 31, 2023 was $11.7 million due to the payment of dividends agreed to under the Cooperation Agreement. Net cash used in financing activities during the six months ended December 31, 2022 was $40,000 due to the payment of withholding taxes upon the vesting of restricted stock units (RSU) in exchange for common shares surrendered by RSU holders.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previously discussed in the overview section above, we may be required to pay a second return of capital of not to exceed $9.33 million if authorized by our Board as further described in the Cooperation Agreement.</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January 2022, we amended our facility lease for an additional 20 months through November 2029. The amended lease agreement also provided for additional lease space that we took control over on July 1, 2022. Under the terms of the lease, we are obligated to make aggregate remaining lease payments as of December 31, 2023 of $15.2 million, excluding common area maintenance and other variable consideration due under the lease agreement. Estimated lease payments for the remainder of our fiscal year ended June 30, 2024 are expected to be $1.2 million, excluding common area maintenance and other variable consideration due under the lease agreement.</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6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that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8—Other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6—Commitments 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to our condensed consolidated financial statements and related notes included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elsewhere in this Quarterly Report;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that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the normal course of business with clinical supply manufacturers and with vendors for preclinical studies, research supplies and other services and products for operating purposes. These contracts are cancelable and generally provide for termination after a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-1214120</wp:posOffset>
            </wp:positionV>
            <wp:extent cx="1075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7569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-1076960</wp:posOffset>
            </wp:positionV>
            <wp:extent cx="26708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7081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Estimate Considerations Related to Macroeconomic Conditions and other Geopolitical Conditions</w:t>
      </w:r>
    </w:p>
    <w:p>
      <w:pPr>
        <w:spacing w:after="0" w:line="22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Due to recent disruptions in access to bank deposits and lending commitments associated with bank failures, macroeconomic and geopolitical conditions, there has been uncertainty and disruption in the global economy and financial markets. We are not aware of any specific event or circumstance that would require an update to our estimates or judgments or a revision of the carrying value of its assets or liabilities as of December 31, 2023. While there was no material impact to our condensed consolidated financial statements as of and for the three and six months ended December 31, 2023, these estimates may change, as new events occur and additional information is obtained, which could materially impact our condensed consolidated financial statements in future reporting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1. The Company and Summary of Significant Accounting Policies</w:t>
      </w:r>
      <w:r>
        <w:rPr>
          <w:rFonts w:ascii="Times New Roman" w:cs="Times New Roman" w:eastAsia="Times New Roman" w:hAnsi="Times New Roman"/>
          <w:sz w:val="18"/>
          <w:szCs w:val="18"/>
          <w:color w:val="auto"/>
        </w:rPr>
        <w:t xml:space="preserve">, of the notes to the financial statements included in our 2023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in our 2023 Annual Report. There have been no changes in our significant accounting policies or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estimates since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wp:posOffset>
            </wp:positionV>
            <wp:extent cx="23768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7680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consider the effects of interest rate movements to be a material risk to our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or CEO, and Chief Financial Officer, or CFO, has evaluated the effectiveness of our disclosure controls and procedures (as defined in Exchange Act Rules 13a-15(e) and 15d-15(e)) as of December 31, 2023. Based on such evaluation, our CEO and CFO have concluded that, as of December 31, 2023, our disclosure controls and procedures were effective to ensure that information required to be disclosed by us in the reports that we file or submit under the Exchange Act is recorded, processed, summarized and reported, within the time periods specified in the U.S. Securities and Exchange Commission, or SEC’s, rules and forms, and is accumulated and communicated to our management, including our CEO and CFO, as appropriate to allow timely decisions regarding required disclosure.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80" w:lineRule="exact"/>
        <w:rPr>
          <w:sz w:val="20"/>
          <w:szCs w:val="20"/>
          <w:color w:val="auto"/>
        </w:rPr>
      </w:pPr>
    </w:p>
    <w:p>
      <w:pPr>
        <w:ind w:right="200" w:firstLine="509"/>
        <w:spacing w:after="0" w:line="236"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that occurred during the fiscal quarter ended December 31, 2023, that have materially affected, or are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included in our 2023 Annual Report.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580" w:type="dxa"/>
            <w:vAlign w:val="bottom"/>
            <w:gridSpan w:val="20"/>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8"/>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Certificate of Designation of Series A Junior Participating Preferred Stock of MEI Pharma, Inc. effective as of October 1, 2023 (incorporated</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by reference to Exhibit 3.1 to the Registrant's Current Report on Form 8-K filed on October 3, 2023 (File No. 000-50484))</w:t>
              </w:r>
            </w:hyperlink>
          </w:p>
        </w:tc>
        <w:tc>
          <w:tcPr>
            <w:tcW w:w="1360" w:type="dxa"/>
            <w:vAlign w:val="bottom"/>
            <w:gridSpan w:val="6"/>
          </w:tcPr>
          <w:p>
            <w:pPr>
              <w:spacing w:after="0"/>
              <w:rPr>
                <w:sz w:val="17"/>
                <w:szCs w:val="17"/>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5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Amended and Restated Certificate of Incorporation of MEI Pharma, Inc.</w:t>
            </w:r>
          </w:p>
        </w:tc>
        <w:tc>
          <w:tcPr>
            <w:tcW w:w="20" w:type="dxa"/>
            <w:vAlign w:val="bottom"/>
            <w:tcBorders>
              <w:bottom w:val="single" w:sz="8" w:color="0000EE"/>
            </w:tcBorders>
          </w:tcPr>
          <w:p>
            <w:pPr>
              <w:spacing w:after="0"/>
              <w:rPr>
                <w:sz w:val="19"/>
                <w:szCs w:val="19"/>
                <w:color w:val="auto"/>
              </w:rPr>
            </w:pPr>
          </w:p>
        </w:tc>
        <w:tc>
          <w:tcPr>
            <w:tcW w:w="4940" w:type="dxa"/>
            <w:vAlign w:val="bottom"/>
            <w:gridSpan w:val="16"/>
          </w:tcPr>
          <w:p>
            <w:pPr>
              <w:spacing w:after="0"/>
              <w:rPr>
                <w:sz w:val="19"/>
                <w:szCs w:val="19"/>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Sixth Amended and Restated Bylaws of MEI Pharma, Inc. (incorporated by reference to Exhibit 3.1 of the Registrant's Current Report on</w:t>
              </w:r>
            </w:hyperlink>
          </w:p>
        </w:tc>
        <w:tc>
          <w:tcPr>
            <w:tcW w:w="260" w:type="dxa"/>
            <w:vAlign w:val="bottom"/>
            <w:gridSpan w:val="4"/>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8-K filed with the Securities Exchange Commission on December 22, 2023) (File No. 001-418277))</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9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Rights Agreement between MEI Pharma, Inc. and Computershare, Inc. (as Rights Agent) dated as of October 1, 2023 (incorporated by</w:t>
              </w:r>
            </w:hyperlink>
          </w:p>
        </w:tc>
        <w:tc>
          <w:tcPr>
            <w:tcW w:w="440" w:type="dxa"/>
            <w:vAlign w:val="bottom"/>
            <w:gridSpan w:val="5"/>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reference to Exhibit 4.1 to the Registrant's Current Report on Form 8-K filed on October 3, 2023 (File No. 000-50484))</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7"/>
          </w:tcPr>
          <w:p>
            <w:pPr>
              <w:spacing w:after="0"/>
              <w:rPr>
                <w:sz w:val="17"/>
                <w:szCs w:val="17"/>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99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Termination Agreement by and between MEI Pharma, Inc. and Kyowa Kirin Co., Ltd. (formerly known as Kyowa Hakko Kirin Co., Ltd.)</w:t>
              </w:r>
            </w:hyperlink>
          </w:p>
        </w:tc>
        <w:tc>
          <w:tcPr>
            <w:tcW w:w="200" w:type="dxa"/>
            <w:vAlign w:val="bottom"/>
            <w:gridSpan w:val="2"/>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dated as of July 14, 2023 (incorporated by reference to Exhibit 10.1 to the Registrant's Current Report on Form 8-K filed on July 19, 2023</w:t>
              </w:r>
            </w:hyperlink>
          </w:p>
        </w:tc>
        <w:tc>
          <w:tcPr>
            <w:tcW w:w="20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(File No. 000-50484))</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101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Termination Letter from MEI Pharma, Inc. to Infinity Pharmaceuticals, Inc. dated July 23, 2023 (incorporated by reference to Exhibit 10.1 to</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the Registrant's Current Report on Form 8-K filed on July 24, 2023 (File No. 000-0050484))</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12"/>
          </w:tcPr>
          <w:p>
            <w:pPr>
              <w:spacing w:after="0"/>
              <w:rPr>
                <w:sz w:val="17"/>
                <w:szCs w:val="17"/>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Cooperation Agreement dated as of October 31, 2023 by and among the Investors and the Company (incorporated by reference to Exhibit</w:t>
              </w:r>
            </w:hyperlink>
          </w:p>
        </w:tc>
        <w:tc>
          <w:tcPr>
            <w:tcW w:w="220" w:type="dxa"/>
            <w:vAlign w:val="bottom"/>
            <w:gridSpan w:val="3"/>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on November 1, 2023 (File No. 001-41827)</w:t>
              </w:r>
              <w:r>
                <w:rPr>
                  <w:rFonts w:ascii="Times New Roman" w:cs="Times New Roman" w:eastAsia="Times New Roman" w:hAnsi="Times New Roman"/>
                  <w:sz w:val="18"/>
                  <w:szCs w:val="18"/>
                  <w:color w:val="000000"/>
                </w:rPr>
                <w:t>)</w:t>
              </w:r>
            </w:hyperlink>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9"/>
                <w:szCs w:val="19"/>
                <w:color w:val="auto"/>
              </w:rPr>
            </w:pPr>
          </w:p>
        </w:tc>
        <w:tc>
          <w:tcPr>
            <w:tcW w:w="7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Employment Agreement between MEI Pharma, Inc. and Richard Ghalie dated January 16, 2024</w:t>
            </w:r>
          </w:p>
        </w:tc>
        <w:tc>
          <w:tcPr>
            <w:tcW w:w="2860" w:type="dxa"/>
            <w:vAlign w:val="bottom"/>
            <w:gridSpan w:val="10"/>
          </w:tcPr>
          <w:p>
            <w:pPr>
              <w:spacing w:after="0"/>
              <w:rPr>
                <w:sz w:val="19"/>
                <w:szCs w:val="19"/>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tcPr>
          <w:p>
            <w:pPr>
              <w:spacing w:after="0"/>
              <w:rPr>
                <w:sz w:val="19"/>
                <w:szCs w:val="19"/>
                <w:color w:val="auto"/>
              </w:rPr>
            </w:pPr>
          </w:p>
        </w:tc>
        <w:tc>
          <w:tcPr>
            <w:tcW w:w="56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Rule 13a-14(a) or Rule 15d-14(a) Certification of Principal Executive Officer.</w:t>
            </w:r>
          </w:p>
        </w:tc>
        <w:tc>
          <w:tcPr>
            <w:tcW w:w="1280" w:type="dxa"/>
            <w:vAlign w:val="bottom"/>
            <w:tcBorders>
              <w:top w:val="single" w:sz="8" w:color="0000FF"/>
            </w:tcBorders>
            <w:gridSpan w:val="3"/>
          </w:tcPr>
          <w:p>
            <w:pPr>
              <w:spacing w:after="0"/>
              <w:rPr>
                <w:sz w:val="19"/>
                <w:szCs w:val="19"/>
                <w:color w:val="auto"/>
              </w:rPr>
            </w:pPr>
          </w:p>
        </w:tc>
        <w:tc>
          <w:tcPr>
            <w:tcW w:w="3280" w:type="dxa"/>
            <w:vAlign w:val="bottom"/>
            <w:gridSpan w:val="11"/>
          </w:tcPr>
          <w:p>
            <w:pPr>
              <w:spacing w:after="0"/>
              <w:rPr>
                <w:sz w:val="19"/>
                <w:szCs w:val="19"/>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40" w:type="dxa"/>
            <w:vAlign w:val="bottom"/>
          </w:tcPr>
          <w:p>
            <w:pPr>
              <w:spacing w:after="0"/>
              <w:rPr>
                <w:sz w:val="19"/>
                <w:szCs w:val="19"/>
                <w:color w:val="auto"/>
              </w:rPr>
            </w:pP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Rule 13a-14(a) or Rule 15d-14(a) Certification of Principal Financial Officer.</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3"/>
            <w:shd w:val="clear" w:color="auto" w:fill="0000FF"/>
          </w:tcPr>
          <w:p>
            <w:pPr>
              <w:spacing w:after="0" w:line="20" w:lineRule="exact"/>
              <w:rPr>
                <w:sz w:val="1"/>
                <w:szCs w:val="1"/>
                <w:color w:val="auto"/>
              </w:rPr>
            </w:pPr>
          </w:p>
        </w:tc>
        <w:tc>
          <w:tcPr>
            <w:tcW w:w="450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40" w:type="dxa"/>
            <w:vAlign w:val="bottom"/>
          </w:tcPr>
          <w:p>
            <w:pPr>
              <w:spacing w:after="0"/>
              <w:rPr>
                <w:sz w:val="19"/>
                <w:szCs w:val="19"/>
                <w:color w:val="auto"/>
              </w:rPr>
            </w:pPr>
          </w:p>
        </w:tc>
        <w:tc>
          <w:tcPr>
            <w:tcW w:w="100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by Rule 13a-14(b) or Rule 15d-14(b) and Section 1350</w:t>
            </w:r>
          </w:p>
        </w:tc>
        <w:tc>
          <w:tcPr>
            <w:tcW w:w="100" w:type="dxa"/>
            <w:vAlign w:val="bottom"/>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of Chapter 63 of Title 18 of the United States Code (18 U.S.C 1350).</w:t>
            </w:r>
          </w:p>
        </w:tc>
        <w:tc>
          <w:tcPr>
            <w:tcW w:w="20" w:type="dxa"/>
            <w:vAlign w:val="bottom"/>
            <w:tcBorders>
              <w:bottom w:val="single" w:sz="8" w:color="0000EE"/>
            </w:tcBorders>
          </w:tcPr>
          <w:p>
            <w:pPr>
              <w:spacing w:after="0"/>
              <w:rPr>
                <w:sz w:val="17"/>
                <w:szCs w:val="17"/>
                <w:color w:val="auto"/>
              </w:rPr>
            </w:pPr>
          </w:p>
        </w:tc>
        <w:tc>
          <w:tcPr>
            <w:tcW w:w="5200" w:type="dxa"/>
            <w:vAlign w:val="bottom"/>
            <w:gridSpan w:val="18"/>
          </w:tcPr>
          <w:p>
            <w:pPr>
              <w:spacing w:after="0"/>
              <w:rPr>
                <w:sz w:val="17"/>
                <w:szCs w:val="17"/>
                <w:color w:val="auto"/>
              </w:rPr>
            </w:pP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1"/>
                <w:szCs w:val="21"/>
                <w:color w:val="auto"/>
              </w:rPr>
            </w:pP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bl>
    <w:p>
      <w:pPr>
        <w:spacing w:after="0" w:line="9" w:lineRule="exact"/>
        <w:rPr>
          <w:sz w:val="20"/>
          <w:szCs w:val="20"/>
          <w:color w:val="auto"/>
        </w:rPr>
      </w:pPr>
    </w:p>
    <w:p>
      <w:pPr>
        <w:ind w:left="1040" w:right="60" w:hanging="10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16" w:lineRule="exact"/>
        <w:rPr>
          <w:sz w:val="20"/>
          <w:szCs w:val="20"/>
          <w:color w:val="auto"/>
        </w:rPr>
      </w:pPr>
    </w:p>
    <w:p>
      <w:pPr>
        <w:ind w:left="1040" w:hanging="10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040" w:hanging="10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MEI Pharma, Inc.</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00" w:lineRule="exact"/>
        <w:rPr>
          <w:sz w:val="20"/>
          <w:szCs w:val="20"/>
          <w:color w:val="auto"/>
        </w:rPr>
      </w:pP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CERTIFICATE OF AMENDMENT TO</w:t>
      </w:r>
    </w:p>
    <w:p>
      <w:pPr>
        <w:ind w:left="3900"/>
        <w:spacing w:after="0" w:line="229" w:lineRule="auto"/>
        <w:rPr>
          <w:sz w:val="20"/>
          <w:szCs w:val="20"/>
          <w:color w:val="auto"/>
        </w:rPr>
      </w:pPr>
      <w:r>
        <w:rPr>
          <w:rFonts w:ascii="Times New Roman" w:cs="Times New Roman" w:eastAsia="Times New Roman" w:hAnsi="Times New Roman"/>
          <w:sz w:val="14"/>
          <w:szCs w:val="14"/>
          <w:b w:val="1"/>
          <w:bCs w:val="1"/>
          <w:color w:val="auto"/>
        </w:rPr>
        <w:t>AMENDED AND RESTATED CERTIFICATE OF</w:t>
      </w:r>
    </w:p>
    <w:p>
      <w:pPr>
        <w:ind w:left="4040"/>
        <w:spacing w:after="0"/>
        <w:rPr>
          <w:sz w:val="20"/>
          <w:szCs w:val="20"/>
          <w:color w:val="auto"/>
        </w:rPr>
      </w:pPr>
      <w:r>
        <w:rPr>
          <w:rFonts w:ascii="Times New Roman" w:cs="Times New Roman" w:eastAsia="Times New Roman" w:hAnsi="Times New Roman"/>
          <w:sz w:val="14"/>
          <w:szCs w:val="14"/>
          <w:b w:val="1"/>
          <w:bCs w:val="1"/>
          <w:color w:val="auto"/>
        </w:rPr>
        <w:t>INCORPORATION OF MEI PHARMA, INC.</w:t>
      </w:r>
    </w:p>
    <w:p>
      <w:pPr>
        <w:spacing w:after="0" w:line="120" w:lineRule="exact"/>
        <w:rPr>
          <w:sz w:val="20"/>
          <w:szCs w:val="20"/>
          <w:color w:val="auto"/>
        </w:rPr>
      </w:pPr>
    </w:p>
    <w:p>
      <w:pPr>
        <w:ind w:right="60" w:firstLine="421"/>
        <w:spacing w:after="0" w:line="261" w:lineRule="auto"/>
        <w:rPr>
          <w:sz w:val="20"/>
          <w:szCs w:val="20"/>
          <w:color w:val="auto"/>
        </w:rPr>
      </w:pPr>
      <w:r>
        <w:rPr>
          <w:rFonts w:ascii="Times New Roman" w:cs="Times New Roman" w:eastAsia="Times New Roman" w:hAnsi="Times New Roman"/>
          <w:sz w:val="14"/>
          <w:szCs w:val="14"/>
          <w:color w:val="auto"/>
        </w:rPr>
        <w:t>MEI PHARMA, INC., a corporation organized and existing under the General Corporation Law of the State of Delaware, which was originally incorporated under the name, Marshall Edwards, Inc. (the “Corporation”), does hereby certify as follows:</w:t>
      </w:r>
    </w:p>
    <w:p>
      <w:pPr>
        <w:spacing w:after="0" w:line="41" w:lineRule="exact"/>
        <w:rPr>
          <w:sz w:val="20"/>
          <w:szCs w:val="20"/>
          <w:color w:val="auto"/>
        </w:rPr>
      </w:pPr>
    </w:p>
    <w:p>
      <w:pPr>
        <w:ind w:left="920" w:right="80"/>
        <w:spacing w:after="0" w:line="225" w:lineRule="auto"/>
        <w:rPr>
          <w:sz w:val="20"/>
          <w:szCs w:val="20"/>
          <w:color w:val="auto"/>
        </w:rPr>
      </w:pP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Upon the filing and effectiveness (the “Effective Time”) of this Certificate of Amendment pursuant to the Section 242 of the General Corporation Law of the State of Delaware, each twenty (20) shares of the Common Stock, issued and outstanding (or held in treasury) immediately prior to the Effective Time (the “Old Common Stock”) shall automatically without further action on the part of the Corporation or any holder of Old Common Stock, be reclassified, combined, converted and changed into one (1) fully paid and nonassessable share of common stock, par value of $0.00000002 per share (the “New Common Stock”), subject to the treatment of fractional share interests as described below (the “Reverse Stock Split”). The conversion of the Old Common Stock into New Common Stock will be deemed to occur at the Effective Time. No fractional shares will be issued, and, stockholders otherwise entitled to receive fractional shares shall have no further interest as a stockholder with respect to such fractional shares. Stockholders of record who otherwise would be entitled to receive fractional shares in connection with such combination will instead be entitled to receive, in lieu of such fractional shares, an amount in cash equal to the fraction to which the stockholder would otherwise be entitled multiplied by the closing price of our Common Stock on the Nasdaq Capital Market on the date on which the Effective Time occurs. Each stock certificate or book-entry position that, immediately prior to the Effective Time, representing shares of Old Common Stock shall, from and after the Effective Time, automatically and without the necessity of presenting the same for exchange, represent that number of shares of New Common Stock after the Effective Time into which the shares of Old Common Stock have been reclassified pursuant to this paragraph, until the same shall be surrendered to the Corporation. The Reverse Stock Split shall also apply to any outstanding securities or rights convertible into, or exchangeable or exercisable for, Old Common Stock of the Corporation and all references to the Old Common Stock in agreements, arrangements, documents and plans relating thereto or any option or right to purchase or acquire shares of Old Common Stock shall be deemed to be references to the New Common Stock or options or rights to purchase or acquire shares of New Common Stock, as the case may be.”</w:t>
      </w:r>
    </w:p>
    <w:p>
      <w:pPr>
        <w:spacing w:after="0" w:line="31" w:lineRule="exact"/>
        <w:rPr>
          <w:sz w:val="20"/>
          <w:szCs w:val="20"/>
          <w:color w:val="auto"/>
        </w:rPr>
      </w:pPr>
    </w:p>
    <w:p>
      <w:pPr>
        <w:ind w:left="920" w:right="200"/>
        <w:spacing w:after="0" w:line="261" w:lineRule="auto"/>
        <w:rPr>
          <w:sz w:val="20"/>
          <w:szCs w:val="20"/>
          <w:color w:val="auto"/>
        </w:rPr>
      </w:pP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The stockholders of the Corporation have duly approved the foregoing amendment in accordance with the provisions of Section 242 of the General Corporation Law of the State of Delaware.</w:t>
      </w:r>
    </w:p>
    <w:p>
      <w:pPr>
        <w:spacing w:after="0" w:line="41" w:lineRule="exact"/>
        <w:rPr>
          <w:sz w:val="20"/>
          <w:szCs w:val="20"/>
          <w:color w:val="auto"/>
        </w:rPr>
      </w:pPr>
    </w:p>
    <w:p>
      <w:pPr>
        <w:ind w:left="920" w:right="340"/>
        <w:spacing w:after="0" w:line="261" w:lineRule="auto"/>
        <w:rPr>
          <w:sz w:val="20"/>
          <w:szCs w:val="20"/>
          <w:color w:val="auto"/>
        </w:rPr>
      </w:pPr>
      <w:r>
        <w:rPr>
          <w:rFonts w:ascii="Times New Roman" w:cs="Times New Roman" w:eastAsia="Times New Roman" w:hAnsi="Times New Roman"/>
          <w:sz w:val="14"/>
          <w:szCs w:val="14"/>
          <w:color w:val="auto"/>
        </w:rPr>
        <w:t>IN WITNESS WHEREOF, the Corporation has caused this Certificate of Amendment to be duly adopted and executed in its corporate name and on its behalf by its duly authorized officer as of April 14, 2023.</w:t>
      </w:r>
    </w:p>
    <w:p>
      <w:pPr>
        <w:spacing w:after="0" w:line="2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MEI PHARMA, INC.</w:t>
      </w:r>
    </w:p>
    <w:p>
      <w:pPr>
        <w:spacing w:after="0" w:line="16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By: /s/ Daniel P. Gold Name: Daniel P.</w:t>
      </w:r>
    </w:p>
    <w:p>
      <w:pPr>
        <w:ind w:left="6240"/>
        <w:spacing w:after="0" w:line="226" w:lineRule="auto"/>
        <w:rPr>
          <w:sz w:val="20"/>
          <w:szCs w:val="20"/>
          <w:color w:val="auto"/>
        </w:rPr>
      </w:pPr>
      <w:r>
        <w:rPr>
          <w:rFonts w:ascii="Times New Roman" w:cs="Times New Roman" w:eastAsia="Times New Roman" w:hAnsi="Times New Roman"/>
          <w:sz w:val="14"/>
          <w:szCs w:val="14"/>
          <w:color w:val="auto"/>
        </w:rPr>
        <w:t>Gold</w:t>
      </w:r>
    </w:p>
    <w:p>
      <w:pPr>
        <w:ind w:left="6240"/>
        <w:spacing w:after="0"/>
        <w:tabs>
          <w:tab w:leader="none" w:pos="68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343535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006" w:right="459" w:bottom="1440" w:gutter="0" w:footer="0" w:header="0"/>
        </w:sectPr>
      </w:pPr>
    </w:p>
    <w:bookmarkStart w:id="37" w:name="page38"/>
    <w:bookmarkEnd w:id="37"/>
    <w:p>
      <w:pPr>
        <w:ind w:left="1000"/>
        <w:spacing w:after="0"/>
        <w:rPr>
          <w:sz w:val="20"/>
          <w:szCs w:val="20"/>
          <w:color w:val="auto"/>
        </w:rPr>
      </w:pPr>
      <w:r>
        <w:rPr>
          <w:rFonts w:ascii="Times New Roman" w:cs="Times New Roman" w:eastAsia="Times New Roman" w:hAnsi="Times New Roman"/>
          <w:sz w:val="14"/>
          <w:szCs w:val="14"/>
          <w:b w:val="1"/>
          <w:bCs w:val="1"/>
          <w:color w:val="auto"/>
        </w:rPr>
        <w:t>State of Delaware Secretary of State</w:t>
      </w:r>
    </w:p>
    <w:p>
      <w:pPr>
        <w:ind w:left="1380"/>
        <w:spacing w:after="0" w:line="229" w:lineRule="auto"/>
        <w:rPr>
          <w:sz w:val="20"/>
          <w:szCs w:val="20"/>
          <w:color w:val="auto"/>
        </w:rPr>
      </w:pPr>
      <w:r>
        <w:rPr>
          <w:rFonts w:ascii="Times New Roman" w:cs="Times New Roman" w:eastAsia="Times New Roman" w:hAnsi="Times New Roman"/>
          <w:sz w:val="14"/>
          <w:szCs w:val="14"/>
          <w:b w:val="1"/>
          <w:bCs w:val="1"/>
          <w:color w:val="auto"/>
        </w:rPr>
        <w:t>Division of Corporations</w:t>
      </w:r>
    </w:p>
    <w:p>
      <w:pPr>
        <w:ind w:left="620"/>
        <w:spacing w:after="0" w:line="221" w:lineRule="auto"/>
        <w:rPr>
          <w:sz w:val="20"/>
          <w:szCs w:val="20"/>
          <w:color w:val="auto"/>
        </w:rPr>
      </w:pPr>
      <w:r>
        <w:rPr>
          <w:rFonts w:ascii="Times New Roman" w:cs="Times New Roman" w:eastAsia="Times New Roman" w:hAnsi="Times New Roman"/>
          <w:sz w:val="14"/>
          <w:szCs w:val="14"/>
          <w:b w:val="1"/>
          <w:bCs w:val="1"/>
          <w:color w:val="auto"/>
        </w:rPr>
        <w:t>Delivered 04:15 PM 11/29/2018 FILED 04:15 PM</w:t>
      </w:r>
    </w:p>
    <w:p>
      <w:pPr>
        <w:ind w:left="1800"/>
        <w:spacing w:after="0" w:line="222" w:lineRule="auto"/>
        <w:rPr>
          <w:sz w:val="20"/>
          <w:szCs w:val="20"/>
          <w:color w:val="auto"/>
        </w:rPr>
      </w:pPr>
      <w:r>
        <w:rPr>
          <w:rFonts w:ascii="Times New Roman" w:cs="Times New Roman" w:eastAsia="Times New Roman" w:hAnsi="Times New Roman"/>
          <w:sz w:val="14"/>
          <w:szCs w:val="14"/>
          <w:b w:val="1"/>
          <w:bCs w:val="1"/>
          <w:color w:val="auto"/>
        </w:rPr>
        <w:t>11/29/2018</w:t>
      </w:r>
    </w:p>
    <w:p>
      <w:pPr>
        <w:ind w:left="400"/>
        <w:spacing w:after="0"/>
        <w:rPr>
          <w:sz w:val="20"/>
          <w:szCs w:val="20"/>
          <w:color w:val="auto"/>
        </w:rPr>
      </w:pPr>
      <w:r>
        <w:rPr>
          <w:rFonts w:ascii="Times New Roman" w:cs="Times New Roman" w:eastAsia="Times New Roman" w:hAnsi="Times New Roman"/>
          <w:sz w:val="14"/>
          <w:szCs w:val="14"/>
          <w:b w:val="1"/>
          <w:bCs w:val="1"/>
          <w:color w:val="auto"/>
        </w:rPr>
        <w:t>SR 20187877521 - File Number 3323531</w:t>
      </w: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AMENDED AND RESTATED CERTIFICATE OF INCORPORATION OF</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MEI PHARMA, INC.</w:t>
      </w:r>
    </w:p>
    <w:p>
      <w:pPr>
        <w:spacing w:after="0" w:line="134" w:lineRule="exact"/>
        <w:rPr>
          <w:sz w:val="20"/>
          <w:szCs w:val="20"/>
          <w:color w:val="auto"/>
        </w:rPr>
      </w:pPr>
    </w:p>
    <w:p>
      <w:pPr>
        <w:ind w:right="120" w:firstLine="427"/>
        <w:spacing w:after="0" w:line="236" w:lineRule="auto"/>
        <w:tabs>
          <w:tab w:leader="none" w:pos="88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corporation (hereinafter referred to as the “Corporation”) is MEI Pharma, Inc. The date of filing of the Corporation’s original certificate of incorporation with the Secretary of State of the State of Delaware was December 1, 2000. The Corporation’s original name, which was included in the original certificate of incorporation, was Marshall Edwards, Inc. The Corporation’s name was changed to MEI Pharma, Inc., pursuant to the Certificate of Ownership and Merger filed with the Secretary of State of the State of Delaware on June 28, 2012 and effective on July 2, 2012.</w:t>
      </w:r>
    </w:p>
    <w:p>
      <w:pPr>
        <w:spacing w:after="0" w:line="123" w:lineRule="exact"/>
        <w:rPr>
          <w:sz w:val="20"/>
          <w:szCs w:val="20"/>
          <w:color w:val="auto"/>
        </w:rPr>
      </w:pPr>
    </w:p>
    <w:p>
      <w:pPr>
        <w:ind w:right="140" w:firstLine="427"/>
        <w:spacing w:after="0" w:line="261" w:lineRule="auto"/>
        <w:tabs>
          <w:tab w:leader="none" w:pos="88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Sections 242 and 245 of the General Corporation Law of the State of Delaware (the “DGCL”), this Amended and Restated Certificate of Incorporation restates and integrates and further amends the Certificate of Incorporation of the Corporation, as heretofore amended or supplemented.</w:t>
      </w:r>
    </w:p>
    <w:p>
      <w:pPr>
        <w:spacing w:after="0" w:line="108" w:lineRule="exact"/>
        <w:rPr>
          <w:rFonts w:ascii="Times New Roman" w:cs="Times New Roman" w:eastAsia="Times New Roman" w:hAnsi="Times New Roman"/>
          <w:sz w:val="14"/>
          <w:szCs w:val="14"/>
          <w:color w:val="auto"/>
        </w:rPr>
      </w:pPr>
    </w:p>
    <w:p>
      <w:pPr>
        <w:ind w:right="20" w:firstLine="427"/>
        <w:spacing w:after="0" w:line="236" w:lineRule="auto"/>
        <w:tabs>
          <w:tab w:leader="none" w:pos="88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Amended and Restated Certificate of Incorporation was duly adopted in accordance with the provisions of Section 245 of the DGCL, the Board of Directors of the Corporation having duly adopted resolutions setting forth and declaring advisable the Amended and Restated Certificate of Incorporation, including said amendments, and thereafter, pursuant to resolution of the Board of Directors, a special meeting of the stockholders of the Corporation was duly called and held upon notice in accordance with Section 222 of the DGCL at which the number of shares as required by Section 242 of the DGCL approved such amendments.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IV. The Amended and Restated Certificate of Incorporation of the Corporation shall read as follows: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FIRST: The name of the Corporation is MEI Pharma, Inc.</w:t>
      </w:r>
    </w:p>
    <w:p>
      <w:pPr>
        <w:spacing w:after="0" w:line="163" w:lineRule="exact"/>
        <w:rPr>
          <w:sz w:val="20"/>
          <w:szCs w:val="20"/>
          <w:color w:val="auto"/>
        </w:rPr>
      </w:pPr>
    </w:p>
    <w:p>
      <w:pPr>
        <w:ind w:left="20" w:right="340" w:firstLine="421"/>
        <w:spacing w:after="0" w:line="261" w:lineRule="auto"/>
        <w:rPr>
          <w:sz w:val="20"/>
          <w:szCs w:val="20"/>
          <w:color w:val="auto"/>
        </w:rPr>
      </w:pPr>
      <w:r>
        <w:rPr>
          <w:rFonts w:ascii="Times New Roman" w:cs="Times New Roman" w:eastAsia="Times New Roman" w:hAnsi="Times New Roman"/>
          <w:sz w:val="14"/>
          <w:szCs w:val="14"/>
          <w:color w:val="auto"/>
        </w:rPr>
        <w:t>SECOND: The address of the Corporation’s registered office in the State of Delaware is 1209 Orange Street, in the City of Wilmington, County of New Castle. The name of its registered agent at such address is The Corporation Trust Company.</w:t>
      </w:r>
    </w:p>
    <w:p>
      <w:pPr>
        <w:spacing w:after="0" w:line="95" w:lineRule="exact"/>
        <w:rPr>
          <w:sz w:val="20"/>
          <w:szCs w:val="20"/>
          <w:color w:val="auto"/>
        </w:rPr>
      </w:pPr>
    </w:p>
    <w:p>
      <w:pPr>
        <w:ind w:left="20" w:right="40" w:firstLine="421"/>
        <w:spacing w:after="0" w:line="261" w:lineRule="auto"/>
        <w:rPr>
          <w:sz w:val="20"/>
          <w:szCs w:val="20"/>
          <w:color w:val="auto"/>
        </w:rPr>
      </w:pPr>
      <w:r>
        <w:rPr>
          <w:rFonts w:ascii="Times New Roman" w:cs="Times New Roman" w:eastAsia="Times New Roman" w:hAnsi="Times New Roman"/>
          <w:sz w:val="14"/>
          <w:szCs w:val="14"/>
          <w:color w:val="auto"/>
        </w:rPr>
        <w:t>THIRD: The total number of shares of all classes of stock which the Corporation shall have authority to issue is 226,100,000, consisting of (1) 100,000 shares of preferred stock, par value US$.01 per share (the “Preferred Stock”) and (2) 226,000,000 shares of common stock, par value US$.00000002 per share (the “Common Stock”).</w:t>
      </w:r>
    </w:p>
    <w:p>
      <w:pPr>
        <w:spacing w:after="0" w:line="109" w:lineRule="exact"/>
        <w:rPr>
          <w:sz w:val="20"/>
          <w:szCs w:val="20"/>
          <w:color w:val="auto"/>
        </w:rPr>
      </w:pPr>
    </w:p>
    <w:p>
      <w:pPr>
        <w:ind w:left="20" w:firstLine="421"/>
        <w:spacing w:after="0" w:line="241" w:lineRule="auto"/>
        <w:rPr>
          <w:sz w:val="20"/>
          <w:szCs w:val="20"/>
          <w:color w:val="auto"/>
        </w:rPr>
      </w:pPr>
      <w:r>
        <w:rPr>
          <w:rFonts w:ascii="Times New Roman" w:cs="Times New Roman" w:eastAsia="Times New Roman" w:hAnsi="Times New Roman"/>
          <w:sz w:val="14"/>
          <w:szCs w:val="14"/>
          <w:color w:val="auto"/>
        </w:rPr>
        <w:t>The Board of Directors of the Corporation is expressly authorized, by resolution or resolutions, to provide, out of the unissued shares of the Preferred Stock, for series of the Preferred Stock. Before any shares of any such series are issued, the Board of Directors shall fix, and is expressly empowered to fix, by resolution or resolutions, the following provisions of the shares thereof:</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(a) the designation of such series, the number of shares to constitute such series and the stated value thereof, if different from the par value</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thereof;</w:t>
      </w:r>
    </w:p>
    <w:p>
      <w:pPr>
        <w:spacing w:after="0" w:line="66" w:lineRule="exact"/>
        <w:rPr>
          <w:sz w:val="20"/>
          <w:szCs w:val="20"/>
          <w:color w:val="auto"/>
        </w:rPr>
      </w:pPr>
    </w:p>
    <w:p>
      <w:pPr>
        <w:ind w:right="480" w:firstLine="824"/>
        <w:spacing w:after="0" w:line="261" w:lineRule="auto"/>
        <w:rPr>
          <w:sz w:val="20"/>
          <w:szCs w:val="20"/>
          <w:color w:val="auto"/>
        </w:rPr>
      </w:pPr>
      <w:r>
        <w:rPr>
          <w:rFonts w:ascii="Times New Roman" w:cs="Times New Roman" w:eastAsia="Times New Roman" w:hAnsi="Times New Roman"/>
          <w:sz w:val="14"/>
          <w:szCs w:val="14"/>
          <w:color w:val="auto"/>
        </w:rPr>
        <w:t>(b)whether the shares of such series shall have voting rights, in addition to any voting rights provided by law, and, if so, the terms of such voting rights (which may be special voting rights) and the preference or relation which such voting rights shall bear to the voting rights of any other class or any other series of this class;</w:t>
      </w:r>
    </w:p>
    <w:p>
      <w:pPr>
        <w:spacing w:after="0" w:line="95" w:lineRule="exact"/>
        <w:rPr>
          <w:sz w:val="20"/>
          <w:szCs w:val="20"/>
          <w:color w:val="auto"/>
        </w:rPr>
      </w:pPr>
    </w:p>
    <w:p>
      <w:pPr>
        <w:ind w:firstLine="824"/>
        <w:spacing w:after="0" w:line="261" w:lineRule="auto"/>
        <w:rPr>
          <w:sz w:val="20"/>
          <w:szCs w:val="20"/>
          <w:color w:val="auto"/>
        </w:rPr>
      </w:pPr>
      <w:r>
        <w:rPr>
          <w:rFonts w:ascii="Times New Roman" w:cs="Times New Roman" w:eastAsia="Times New Roman" w:hAnsi="Times New Roman"/>
          <w:sz w:val="14"/>
          <w:szCs w:val="14"/>
          <w:color w:val="auto"/>
        </w:rPr>
        <w:t>(c)the annual dividend rate (or method of determining such rate), if any, payable on such series, the conditions and dates upon which such dividends shall be payable, the preference or relation which such dividends shall bear to the dividends payable on any other class or any other series of this class;</w:t>
      </w:r>
    </w:p>
    <w:p>
      <w:pPr>
        <w:spacing w:after="0" w:line="109" w:lineRule="exact"/>
        <w:rPr>
          <w:sz w:val="20"/>
          <w:szCs w:val="20"/>
          <w:color w:val="auto"/>
        </w:rPr>
      </w:pPr>
    </w:p>
    <w:p>
      <w:pPr>
        <w:ind w:right="240" w:firstLine="824"/>
        <w:spacing w:after="0" w:line="261" w:lineRule="auto"/>
        <w:rPr>
          <w:sz w:val="20"/>
          <w:szCs w:val="20"/>
          <w:color w:val="auto"/>
        </w:rPr>
      </w:pPr>
      <w:r>
        <w:rPr>
          <w:rFonts w:ascii="Times New Roman" w:cs="Times New Roman" w:eastAsia="Times New Roman" w:hAnsi="Times New Roman"/>
          <w:sz w:val="14"/>
          <w:szCs w:val="14"/>
          <w:color w:val="auto"/>
        </w:rPr>
        <w:t>(d)whether dividends on the shares of such series shall be cumulative, and, in the case of shares of a series having cumulative dividend rights, the date or dates (or method of determining the date or dates) from which dividends on the shares of such series shall be cumulative;</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(e)whether the shares of such series shall be subject to redemption by the Corporation and, if so, the times, prices and other conditions of such redemption;</w:t>
      </w:r>
    </w:p>
    <w:p>
      <w:pPr>
        <w:spacing w:after="0" w:line="136" w:lineRule="exact"/>
        <w:rPr>
          <w:sz w:val="20"/>
          <w:szCs w:val="20"/>
          <w:color w:val="auto"/>
        </w:rPr>
      </w:pPr>
    </w:p>
    <w:p>
      <w:pPr>
        <w:ind w:right="1200" w:firstLine="824"/>
        <w:spacing w:after="0" w:line="261" w:lineRule="auto"/>
        <w:rPr>
          <w:sz w:val="20"/>
          <w:szCs w:val="20"/>
          <w:color w:val="auto"/>
        </w:rPr>
      </w:pPr>
      <w:r>
        <w:rPr>
          <w:rFonts w:ascii="Times New Roman" w:cs="Times New Roman" w:eastAsia="Times New Roman" w:hAnsi="Times New Roman"/>
          <w:sz w:val="14"/>
          <w:szCs w:val="14"/>
          <w:color w:val="auto"/>
        </w:rPr>
        <w:t>(f)the amount or amounts payable upon shares of such series upon, and the rights of the holders of such series in, the voluntary or involuntary liquidation, dissolution or winding up of the Corporation;</w:t>
      </w:r>
    </w:p>
    <w:p>
      <w:pPr>
        <w:spacing w:after="0" w:line="109" w:lineRule="exact"/>
        <w:rPr>
          <w:sz w:val="20"/>
          <w:szCs w:val="20"/>
          <w:color w:val="auto"/>
        </w:rPr>
      </w:pPr>
    </w:p>
    <w:p>
      <w:pPr>
        <w:ind w:right="340" w:firstLine="824"/>
        <w:spacing w:after="0" w:line="241" w:lineRule="auto"/>
        <w:rPr>
          <w:sz w:val="20"/>
          <w:szCs w:val="20"/>
          <w:color w:val="auto"/>
        </w:rPr>
      </w:pPr>
      <w:r>
        <w:rPr>
          <w:rFonts w:ascii="Times New Roman" w:cs="Times New Roman" w:eastAsia="Times New Roman" w:hAnsi="Times New Roman"/>
          <w:sz w:val="14"/>
          <w:szCs w:val="14"/>
          <w:color w:val="auto"/>
        </w:rPr>
        <w:t>(g)whether the shares of such series shall be subject to the operation of a retirement or sinking fund and, if so, the extent to and manner in which any such retirement or sinking fund shall be applied to the purchase or redemption of the shares of such series for retirement or other corporate purposes and the terms and provisions relative to the operation thereof;</w:t>
      </w:r>
    </w:p>
    <w:p>
      <w:pPr>
        <w:spacing w:after="0" w:line="123" w:lineRule="exact"/>
        <w:rPr>
          <w:sz w:val="20"/>
          <w:szCs w:val="20"/>
          <w:color w:val="auto"/>
        </w:rPr>
      </w:pPr>
    </w:p>
    <w:p>
      <w:pPr>
        <w:ind w:right="40" w:firstLine="824"/>
        <w:spacing w:after="0" w:line="261" w:lineRule="auto"/>
        <w:rPr>
          <w:sz w:val="20"/>
          <w:szCs w:val="20"/>
          <w:color w:val="auto"/>
        </w:rPr>
      </w:pPr>
      <w:r>
        <w:rPr>
          <w:rFonts w:ascii="Times New Roman" w:cs="Times New Roman" w:eastAsia="Times New Roman" w:hAnsi="Times New Roman"/>
          <w:sz w:val="14"/>
          <w:szCs w:val="14"/>
          <w:color w:val="auto"/>
        </w:rPr>
        <w:t>(h)whether the shares of such series shall be convertible into, or exchangeable for, at the option of the holder or the Corporation or upon the happening of a specified event, shares of stock of any other class or of any other series of this class and, if so, the price or prices or the rate or rates of conversion or exchange and the method, if any, of adjusting the same;</w:t>
      </w:r>
    </w:p>
    <w:p>
      <w:pPr>
        <w:spacing w:after="0" w:line="95" w:lineRule="exact"/>
        <w:rPr>
          <w:sz w:val="20"/>
          <w:szCs w:val="20"/>
          <w:color w:val="auto"/>
        </w:rPr>
      </w:pPr>
    </w:p>
    <w:p>
      <w:pPr>
        <w:ind w:right="40" w:firstLine="824"/>
        <w:spacing w:after="0" w:line="261" w:lineRule="auto"/>
        <w:rPr>
          <w:sz w:val="20"/>
          <w:szCs w:val="20"/>
          <w:color w:val="auto"/>
        </w:rPr>
      </w:pPr>
      <w:r>
        <w:rPr>
          <w:rFonts w:ascii="Times New Roman" w:cs="Times New Roman" w:eastAsia="Times New Roman" w:hAnsi="Times New Roman"/>
          <w:sz w:val="14"/>
          <w:szCs w:val="14"/>
          <w:color w:val="auto"/>
        </w:rPr>
        <w:t>(i)the limitations and restrictions, if any, to be effective while any shares of such series are outstanding upon the payment of dividends or the making of other distributions on, and upon the purchase, redemption or other acquisition by the Corporation of, the Common Stock, any other series of the Preferred Stock or any other class of capital stock;</w:t>
      </w:r>
    </w:p>
    <w:p>
      <w:pPr>
        <w:spacing w:after="0" w:line="109" w:lineRule="exact"/>
        <w:rPr>
          <w:sz w:val="20"/>
          <w:szCs w:val="20"/>
          <w:color w:val="auto"/>
        </w:rPr>
      </w:pPr>
    </w:p>
    <w:p>
      <w:pPr>
        <w:ind w:right="320" w:firstLine="824"/>
        <w:spacing w:after="0" w:line="261" w:lineRule="auto"/>
        <w:rPr>
          <w:sz w:val="20"/>
          <w:szCs w:val="20"/>
          <w:color w:val="auto"/>
        </w:rPr>
      </w:pPr>
      <w:r>
        <w:rPr>
          <w:rFonts w:ascii="Times New Roman" w:cs="Times New Roman" w:eastAsia="Times New Roman" w:hAnsi="Times New Roman"/>
          <w:sz w:val="14"/>
          <w:szCs w:val="14"/>
          <w:color w:val="auto"/>
        </w:rPr>
        <w:t>(j)the conditions or restrictions, if any, upon the creation of indebtedness of the Corporation or upon the issue of any additional stock, including additional shares of such series or of any other series of the Preferred Stock or of any other class of capital stock; and</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(k) any other powers, preferences or rights, or any qualifications, limitations or restrictions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362585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1033" w:right="579" w:bottom="1440" w:gutter="0" w:footer="0" w:header="0"/>
        </w:sectPr>
      </w:pPr>
    </w:p>
    <w:bookmarkStart w:id="38" w:name="page39"/>
    <w:bookmarkEnd w:id="38"/>
    <w:p>
      <w:pPr>
        <w:ind w:left="20" w:right="300" w:firstLine="421"/>
        <w:spacing w:after="0" w:line="241" w:lineRule="auto"/>
        <w:rPr>
          <w:sz w:val="20"/>
          <w:szCs w:val="20"/>
          <w:color w:val="auto"/>
        </w:rPr>
      </w:pPr>
      <w:r>
        <w:rPr>
          <w:rFonts w:ascii="Times New Roman" w:cs="Times New Roman" w:eastAsia="Times New Roman" w:hAnsi="Times New Roman"/>
          <w:sz w:val="14"/>
          <w:szCs w:val="14"/>
          <w:color w:val="auto"/>
        </w:rPr>
        <w:t>Except as otherwise provided by such resolution or resolutions, all shares of the Preferred Stock shall be of equal rank. All shares of any one series of the Preferred Stock shall be identical in all respects with all other shares of such series, except that shares of any one series issued at different times may differ as to the dates from which dividends thereon shall be cumulative.</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FOURTH: The purpose of the Corporation is to engage in any lawful act or activity for which a corporation may be organized under the DGCL.</w:t>
      </w:r>
    </w:p>
    <w:p>
      <w:pPr>
        <w:spacing w:after="0" w:line="163" w:lineRule="exact"/>
        <w:rPr>
          <w:sz w:val="20"/>
          <w:szCs w:val="20"/>
          <w:color w:val="auto"/>
        </w:rPr>
      </w:pPr>
    </w:p>
    <w:p>
      <w:pPr>
        <w:ind w:left="20" w:right="300" w:firstLine="421"/>
        <w:spacing w:after="0" w:line="261" w:lineRule="auto"/>
        <w:rPr>
          <w:sz w:val="20"/>
          <w:szCs w:val="20"/>
          <w:color w:val="auto"/>
        </w:rPr>
      </w:pPr>
      <w:r>
        <w:rPr>
          <w:rFonts w:ascii="Times New Roman" w:cs="Times New Roman" w:eastAsia="Times New Roman" w:hAnsi="Times New Roman"/>
          <w:sz w:val="14"/>
          <w:szCs w:val="14"/>
          <w:color w:val="auto"/>
        </w:rPr>
        <w:t>FIFTH: The Board of Directors is expressly authorized to adopt, amend or repeal the By-Laws of the Corporation, subject to the reserved power of the stockholders to amend and repeal any By-Laws of the Corporation adopted by the Board of Directors.</w:t>
      </w:r>
    </w:p>
    <w:p>
      <w:pPr>
        <w:spacing w:after="0" w:line="109" w:lineRule="exact"/>
        <w:rPr>
          <w:sz w:val="20"/>
          <w:szCs w:val="20"/>
          <w:color w:val="auto"/>
        </w:rPr>
      </w:pPr>
    </w:p>
    <w:p>
      <w:pPr>
        <w:ind w:left="20" w:right="20" w:firstLine="421"/>
        <w:spacing w:after="0" w:line="231" w:lineRule="auto"/>
        <w:rPr>
          <w:sz w:val="20"/>
          <w:szCs w:val="20"/>
          <w:color w:val="auto"/>
        </w:rPr>
      </w:pPr>
      <w:r>
        <w:rPr>
          <w:rFonts w:ascii="Times New Roman" w:cs="Times New Roman" w:eastAsia="Times New Roman" w:hAnsi="Times New Roman"/>
          <w:sz w:val="14"/>
          <w:szCs w:val="14"/>
          <w:color w:val="auto"/>
        </w:rPr>
        <w:t>SIXTH: Each person who at any time is or was an officer or director of the Corporation, and is or was threatened to be made a party to any threatened, pending or complete action, suit or proceeding, whether civil, criminal, administrative or investigative, by reason of the fact that he or she is or was an officer or director of the Corporation, or is or was serving at the request of the Corporation as an officer or director of another corporation, partnership, joint venture, trust or other enterprise, shall be indemnified against expenses (including attorneys’ fees) judgments, fines and amounts paid in settlement actually and reasonably incurred by him in connection with any such action, suit or proceeding to the full extent permitted by Section 145 of the DGCL. The foregoing right of indemnification shall in no way be deemed exclusive of any other rights of indemnification to which such officer or director may be entitled under any statute, this Certificate of Incorporation, the By-Laws of the Corporation or any agreement, vote of stockholders or disinterested directors or otherwise.</w:t>
      </w:r>
    </w:p>
    <w:p>
      <w:pPr>
        <w:spacing w:after="0" w:line="110" w:lineRule="exact"/>
        <w:rPr>
          <w:sz w:val="20"/>
          <w:szCs w:val="20"/>
          <w:color w:val="auto"/>
        </w:rPr>
      </w:pPr>
    </w:p>
    <w:p>
      <w:pPr>
        <w:ind w:left="20" w:right="200" w:firstLine="421"/>
        <w:spacing w:after="0" w:line="229" w:lineRule="auto"/>
        <w:rPr>
          <w:sz w:val="20"/>
          <w:szCs w:val="20"/>
          <w:color w:val="auto"/>
        </w:rPr>
      </w:pPr>
      <w:r>
        <w:rPr>
          <w:rFonts w:ascii="Times New Roman" w:cs="Times New Roman" w:eastAsia="Times New Roman" w:hAnsi="Times New Roman"/>
          <w:sz w:val="14"/>
          <w:szCs w:val="14"/>
          <w:color w:val="auto"/>
        </w:rPr>
        <w:t>SEVENTH: No person who is or was a director of the Corporation shall be personally liable to the Corporation or its stockholders for monetary damages for breach of fiduciary duty as a director unless, and only to the extent that such director is liable (i) for any breach of the director’s duty of loyalty to the Corporation or its stockholders, (ii) for acts or omissions not in good faith or which involve intentional misconduct or a knowing violation of law, (iii) under Section 174 of the DGCL or any amendment thereto or successor provision thereto, or</w:t>
      </w:r>
    </w:p>
    <w:p>
      <w:pPr>
        <w:spacing w:after="0" w:line="1" w:lineRule="exact"/>
        <w:rPr>
          <w:sz w:val="20"/>
          <w:szCs w:val="20"/>
          <w:color w:val="auto"/>
        </w:rPr>
      </w:pPr>
    </w:p>
    <w:p>
      <w:pPr>
        <w:ind w:left="20" w:right="160" w:hanging="9"/>
        <w:spacing w:after="0" w:line="230" w:lineRule="auto"/>
        <w:tabs>
          <w:tab w:leader="none" w:pos="26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derived an improper personal benefit. This article shall not eliminate or limit the liability or a director for any act or omission occurring prior to the date when this article becomes effective. No amendment to, repeal or adoption of any provision of this Certificate of Incorporation inconsistent with this article shall apply to or have any effect on the liability of any director of the Corporation for or with respect to any acts or omissions of such director occurring prior to such amendment, repeal, or adoption of an inconsistent provision.</w:t>
      </w:r>
    </w:p>
    <w:p>
      <w:pPr>
        <w:spacing w:after="0" w:line="123" w:lineRule="exact"/>
        <w:rPr>
          <w:sz w:val="20"/>
          <w:szCs w:val="20"/>
          <w:color w:val="auto"/>
        </w:rPr>
      </w:pPr>
    </w:p>
    <w:p>
      <w:pPr>
        <w:ind w:left="20" w:right="160" w:firstLine="421"/>
        <w:spacing w:after="0" w:line="236" w:lineRule="auto"/>
        <w:rPr>
          <w:sz w:val="20"/>
          <w:szCs w:val="20"/>
          <w:color w:val="auto"/>
        </w:rPr>
      </w:pPr>
      <w:r>
        <w:rPr>
          <w:rFonts w:ascii="Times New Roman" w:cs="Times New Roman" w:eastAsia="Times New Roman" w:hAnsi="Times New Roman"/>
          <w:sz w:val="14"/>
          <w:szCs w:val="14"/>
          <w:color w:val="auto"/>
        </w:rPr>
        <w:t>EIGHTH: Any and all right, title, interest and claim in or to any dividends declared by the Corporation, whether in cash, stock or otherwise, which are unclaimed by the stockholder entitled thereto for a period of six (6) years after the close of business on the payment date, shall be and be deemed to be extinguished and abandoned, and such unclaimed dividends in the possession of the Corporation, its transfer agents or other agents or depositaries, shall at such time become the absolute property of the Corporation, free and clear of any and all claims of any persons whatsoever.</w:t>
      </w:r>
    </w:p>
    <w:p>
      <w:pPr>
        <w:spacing w:after="0" w:line="109" w:lineRule="exact"/>
        <w:rPr>
          <w:sz w:val="20"/>
          <w:szCs w:val="20"/>
          <w:color w:val="auto"/>
        </w:rPr>
      </w:pPr>
    </w:p>
    <w:p>
      <w:pPr>
        <w:ind w:left="20" w:right="140" w:firstLine="421"/>
        <w:spacing w:after="0" w:line="227" w:lineRule="auto"/>
        <w:rPr>
          <w:sz w:val="20"/>
          <w:szCs w:val="20"/>
          <w:color w:val="auto"/>
        </w:rPr>
      </w:pPr>
      <w:r>
        <w:rPr>
          <w:rFonts w:ascii="Times New Roman" w:cs="Times New Roman" w:eastAsia="Times New Roman" w:hAnsi="Times New Roman"/>
          <w:sz w:val="14"/>
          <w:szCs w:val="14"/>
          <w:color w:val="auto"/>
        </w:rPr>
        <w:t>NINTH: Whenever a compromise or arrangement is proposed between the Corporation and its creditors or any class of them and/or between the Corporation and its stockholders or any class of them, any court of equitable jurisdiction within the State of Delaware may, on application in a summary way of the Corporation or of any creditor or stockholder thereof, or on the application of any receiver or receivers appointed for the Corporation under Section 291 of Title 8 of the Delaware Code or on the application of trustees in dissolution or of any receiver or receivers appointed for the Corporation under Section 279 of Title 8 of the Delaware Code, order a meeting of the creditors or class of creditors, and/or of the stockholders or class of stockholders of the Corporation, as the case may be, to be summoned in such manner as the said court directs. If a majority in number representing three- 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TENTH: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right="640" w:firstLine="824"/>
        <w:spacing w:after="0" w:line="261" w:lineRule="auto"/>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4"/>
          <w:szCs w:val="14"/>
          <w:u w:val="single" w:color="auto"/>
          <w:color w:val="auto"/>
        </w:rPr>
        <w:t>Number of Directors</w:t>
      </w:r>
      <w:r>
        <w:rPr>
          <w:rFonts w:ascii="Times New Roman" w:cs="Times New Roman" w:eastAsia="Times New Roman" w:hAnsi="Times New Roman"/>
          <w:sz w:val="14"/>
          <w:szCs w:val="14"/>
          <w:color w:val="auto"/>
        </w:rPr>
        <w:t>. The total number of directors which shall constitute the whole Board of Directors shall be determined in accordance with the By-laws of the Corporation, but shall not be less than two (2) nor more than nine (9).</w:t>
      </w:r>
    </w:p>
    <w:p>
      <w:pPr>
        <w:spacing w:after="0" w:line="95" w:lineRule="exact"/>
        <w:rPr>
          <w:sz w:val="20"/>
          <w:szCs w:val="20"/>
          <w:color w:val="auto"/>
        </w:rPr>
      </w:pPr>
    </w:p>
    <w:p>
      <w:pPr>
        <w:ind w:right="100" w:firstLine="824"/>
        <w:spacing w:after="0" w:line="233"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4"/>
          <w:szCs w:val="14"/>
          <w:u w:val="single" w:color="auto"/>
          <w:color w:val="auto"/>
        </w:rPr>
        <w:t>Classification of Board</w:t>
      </w:r>
      <w:r>
        <w:rPr>
          <w:rFonts w:ascii="Times New Roman" w:cs="Times New Roman" w:eastAsia="Times New Roman" w:hAnsi="Times New Roman"/>
          <w:sz w:val="14"/>
          <w:szCs w:val="14"/>
          <w:color w:val="auto"/>
        </w:rPr>
        <w:t>. (i) Subject to the rights of any holders of any series of Preferred Stock that may be issued by the Corporation pursuant to a resolution or resolutions of the Board of Directors providing for such issuance, the directors of the Corporation shall be divided into three classes with respect to the term of office, each class to contain, as near as may be possible, one-third of the whole number of the Board, with the terms of office of one class expiring each successive year. At each annual meeting of stockholders, the successors to the class of directors whose term expires at that time shall be elected by the stockholders to serve until the annual meeting of stockholders held three years next following and until their successors shall be elected and qualified.</w:t>
      </w:r>
    </w:p>
    <w:p>
      <w:pPr>
        <w:spacing w:after="0" w:line="123" w:lineRule="exact"/>
        <w:rPr>
          <w:sz w:val="20"/>
          <w:szCs w:val="20"/>
          <w:color w:val="auto"/>
        </w:rPr>
      </w:pPr>
    </w:p>
    <w:p>
      <w:pPr>
        <w:jc w:val="both"/>
        <w:ind w:left="20" w:right="140" w:firstLine="1342"/>
        <w:spacing w:after="0" w:line="241" w:lineRule="auto"/>
        <w:tabs>
          <w:tab w:leader="none" w:pos="158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intervening changes in the authorized number of directors, the Board of Directors shall designate the class or classes to which the increases or decreases in directorships shall be apportioned and may designate one or more directorships as directorships of another class in order more nearly to achieve equality of number of directors among the classes; provided, however, that no such apportionment or redesignation shall shorten the term of any incumbent director.</w:t>
      </w:r>
    </w:p>
    <w:p>
      <w:pPr>
        <w:spacing w:after="0" w:line="109" w:lineRule="exact"/>
        <w:rPr>
          <w:sz w:val="20"/>
          <w:szCs w:val="20"/>
          <w:color w:val="auto"/>
        </w:rPr>
      </w:pPr>
    </w:p>
    <w:p>
      <w:pPr>
        <w:ind w:right="80" w:firstLine="824"/>
        <w:spacing w:after="0" w:line="236" w:lineRule="auto"/>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Subject to the limitations prescribed by law and this Restated Certificate of Incorporation, all vacancies in the office of director, including vacancies created by newly created directorships resulting from an increase in the authorized number of directors, may be filled only by a vote of a majority of the directors then holding office, although less than a quorum, or by a sole remaining director; and any director so elected shall serve for the remainder of the full term of the class of directors in which the new directorship was created or the vacancy occurred and until such director’s successor is duly elected and shall qualify or until such director’s earlier resignation or removal.</w:t>
      </w:r>
    </w:p>
    <w:p>
      <w:pPr>
        <w:spacing w:after="0" w:line="204" w:lineRule="exact"/>
        <w:rPr>
          <w:sz w:val="20"/>
          <w:szCs w:val="20"/>
          <w:color w:val="auto"/>
        </w:rPr>
      </w:pPr>
    </w:p>
    <w:p>
      <w:pPr>
        <w:ind w:firstLine="824"/>
        <w:spacing w:after="0" w:line="241" w:lineRule="auto"/>
        <w:rPr>
          <w:sz w:val="20"/>
          <w:szCs w:val="20"/>
          <w:color w:val="auto"/>
        </w:rPr>
      </w:pPr>
      <w:r>
        <w:rPr>
          <w:rFonts w:ascii="Times New Roman" w:cs="Times New Roman" w:eastAsia="Times New Roman" w:hAnsi="Times New Roman"/>
          <w:sz w:val="14"/>
          <w:szCs w:val="14"/>
          <w:color w:val="auto"/>
        </w:rPr>
        <w:t>(d)</w:t>
      </w:r>
      <w:r>
        <w:rPr>
          <w:rFonts w:ascii="Times New Roman" w:cs="Times New Roman" w:eastAsia="Times New Roman" w:hAnsi="Times New Roman"/>
          <w:sz w:val="14"/>
          <w:szCs w:val="14"/>
          <w:u w:val="single" w:color="auto"/>
          <w:color w:val="auto"/>
        </w:rPr>
        <w:t>Amendment to this Paragraph</w:t>
      </w:r>
      <w:r>
        <w:rPr>
          <w:rFonts w:ascii="Times New Roman" w:cs="Times New Roman" w:eastAsia="Times New Roman" w:hAnsi="Times New Roman"/>
          <w:sz w:val="14"/>
          <w:szCs w:val="14"/>
          <w:color w:val="auto"/>
        </w:rPr>
        <w:t>. In addition to any requirements of law or of any other provisions of this Restated Certificate of Incorporation, the affirmative vote of the holders of not less than eighty percent (80%) of the total number of votes eligible to be cast by the holders of all outstanding shares of capital stock entitled to vote thereon shall be required to amend, alter, rescind or repeal any provision of this Article TENTH.</w:t>
      </w:r>
    </w:p>
    <w:p>
      <w:pPr>
        <w:spacing w:after="0" w:line="109" w:lineRule="exact"/>
        <w:rPr>
          <w:sz w:val="20"/>
          <w:szCs w:val="20"/>
          <w:color w:val="auto"/>
        </w:rPr>
      </w:pPr>
    </w:p>
    <w:p>
      <w:pPr>
        <w:ind w:left="1060" w:hanging="214"/>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Written Ballo</w:t>
      </w:r>
      <w:r>
        <w:rPr>
          <w:rFonts w:ascii="Times New Roman" w:cs="Times New Roman" w:eastAsia="Times New Roman" w:hAnsi="Times New Roman"/>
          <w:sz w:val="14"/>
          <w:szCs w:val="14"/>
          <w:color w:val="auto"/>
        </w:rPr>
        <w:t>t. Unless and to the extent that the By-Laws so provide, elections of directors need not be by written ballot.</w:t>
      </w:r>
    </w:p>
    <w:p>
      <w:pPr>
        <w:spacing w:after="0" w:line="163"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216535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03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IN WITNESS WHEREOF, MEI Pharma, Inc. has caused this Amended and Restated Certificate of Incorporation to be signed by its President this 29th day of November, 2018.</w:t>
      </w: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MEI Pharma, Inc.</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Daniel P. Gold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-127635</wp:posOffset>
            </wp:positionV>
            <wp:extent cx="3206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893445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880" w:top="1305" w:right="8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316865</wp:posOffset>
            </wp:positionV>
            <wp:extent cx="874395" cy="8655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8743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11455 El Camino Real, Suite 250 San Diego, CA</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92130</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(858) 369-7100</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January 16, 2024</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Dr. Richard Ghalie 4755 Natalie Drive,</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San Diego, CA. 92115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Dear Richard,</w:t>
      </w:r>
    </w:p>
    <w:p>
      <w:pPr>
        <w:spacing w:after="0" w:line="216" w:lineRule="exact"/>
        <w:rPr>
          <w:sz w:val="20"/>
          <w:szCs w:val="20"/>
          <w:color w:val="auto"/>
        </w:rPr>
      </w:pPr>
    </w:p>
    <w:p>
      <w:pPr>
        <w:jc w:val="both"/>
        <w:ind w:left="60" w:right="160"/>
        <w:spacing w:after="0" w:line="246" w:lineRule="auto"/>
        <w:rPr>
          <w:sz w:val="20"/>
          <w:szCs w:val="20"/>
          <w:color w:val="auto"/>
        </w:rPr>
      </w:pPr>
      <w:r>
        <w:rPr>
          <w:rFonts w:ascii="Times New Roman" w:cs="Times New Roman" w:eastAsia="Times New Roman" w:hAnsi="Times New Roman"/>
          <w:sz w:val="20"/>
          <w:szCs w:val="20"/>
          <w:color w:val="auto"/>
        </w:rPr>
        <w:t>On behalf of MEI Pharma, Inc. (“</w:t>
      </w:r>
      <w:r>
        <w:rPr>
          <w:rFonts w:ascii="Times New Roman" w:cs="Times New Roman" w:eastAsia="Times New Roman" w:hAnsi="Times New Roman"/>
          <w:sz w:val="20"/>
          <w:szCs w:val="20"/>
          <w:u w:val="single" w:color="auto"/>
          <w:color w:val="auto"/>
        </w:rPr>
        <w:t>MEI</w:t>
      </w:r>
      <w:r>
        <w:rPr>
          <w:rFonts w:ascii="Times New Roman" w:cs="Times New Roman" w:eastAsia="Times New Roman" w:hAnsi="Times New Roman"/>
          <w:sz w:val="20"/>
          <w:szCs w:val="20"/>
          <w:color w:val="auto"/>
        </w:rPr>
        <w:t>”), this letter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confirms the terms of your continued employment with MEI as the Chief Medical Officer of MEI (“</w:t>
      </w:r>
      <w:r>
        <w:rPr>
          <w:rFonts w:ascii="Times New Roman" w:cs="Times New Roman" w:eastAsia="Times New Roman" w:hAnsi="Times New Roman"/>
          <w:sz w:val="20"/>
          <w:szCs w:val="20"/>
          <w:u w:val="single" w:color="auto"/>
          <w:color w:val="auto"/>
        </w:rPr>
        <w:t>CMO</w:t>
      </w:r>
      <w:r>
        <w:rPr>
          <w:rFonts w:ascii="Times New Roman" w:cs="Times New Roman" w:eastAsia="Times New Roman" w:hAnsi="Times New Roman"/>
          <w:sz w:val="20"/>
          <w:szCs w:val="20"/>
          <w:color w:val="auto"/>
        </w:rPr>
        <w:t>”), reporting to the Chief Executive Officer (the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This Agreement is effective as of the date hereof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It supersedes and replaces the employment letter, dated February 17, 2016, amended as of May 3, 2021 (the “</w:t>
      </w:r>
      <w:r>
        <w:rPr>
          <w:rFonts w:ascii="Times New Roman" w:cs="Times New Roman" w:eastAsia="Times New Roman" w:hAnsi="Times New Roman"/>
          <w:sz w:val="20"/>
          <w:szCs w:val="20"/>
          <w:u w:val="single" w:color="auto"/>
          <w:color w:val="auto"/>
        </w:rPr>
        <w:t>Prior Agreement</w:t>
      </w:r>
      <w:r>
        <w:rPr>
          <w:rFonts w:ascii="Times New Roman" w:cs="Times New Roman" w:eastAsia="Times New Roman" w:hAnsi="Times New Roman"/>
          <w:sz w:val="20"/>
          <w:szCs w:val="20"/>
          <w:color w:val="auto"/>
        </w:rPr>
        <w:t>”), entered into by you and MEI and is intended to make the terms of your employment agreement with MEI consistent with those of other similarly situated officers of MEI.</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In consideration of the promises set forth herein, the parties agree as follows:</w:t>
      </w:r>
    </w:p>
    <w:p>
      <w:pPr>
        <w:spacing w:after="0" w:line="212" w:lineRule="exact"/>
        <w:rPr>
          <w:sz w:val="20"/>
          <w:szCs w:val="20"/>
          <w:color w:val="auto"/>
        </w:rPr>
      </w:pPr>
    </w:p>
    <w:p>
      <w:pPr>
        <w:jc w:val="both"/>
        <w:ind w:left="60" w:right="16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 The term of this Agreement shall begin on the Effective Date. The period commencing on the Effective Date and ending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on which this Agreement terminates is referred to as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left="60" w:right="160"/>
        <w:spacing w:after="0" w:line="244" w:lineRule="auto"/>
        <w:rPr>
          <w:sz w:val="20"/>
          <w:szCs w:val="20"/>
          <w:color w:val="auto"/>
        </w:rPr>
      </w:pPr>
      <w:r>
        <w:rPr>
          <w:rFonts w:ascii="Times New Roman" w:cs="Times New Roman" w:eastAsia="Times New Roman" w:hAnsi="Times New Roman"/>
          <w:sz w:val="20"/>
          <w:szCs w:val="20"/>
          <w:color w:val="auto"/>
        </w:rPr>
        <w:t>During the Term, you shall devote your full time and attention to promote the business and affairs of MEI and its affiliated entities. You will perform those services customary to the position of CMO and such other lawful duties that may be reasonably assigned to you from time to time by the CEO, provided those duties are consistent with your position and authority. The foregoing shall not be construed as preventing you from (1) serving on for profit, civic, educational, philanthropic or charitable boards or committees, with the prior written consent of the Board of Directors of MEI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and (2) managing personal, financial and legal affairs, in each case, subject to compliance with this Agreement, provided that such activities are permitted under MEI’s code of conduct and employment policies and do not violate the provisions of the Assignments of Inventions/Proprietary Information section below.</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color w:val="auto"/>
        </w:rPr>
        <w:t>. Your total compensation package is as follows:</w:t>
      </w:r>
    </w:p>
    <w:p>
      <w:pPr>
        <w:spacing w:after="0" w:line="220" w:lineRule="exact"/>
        <w:rPr>
          <w:sz w:val="20"/>
          <w:szCs w:val="20"/>
          <w:color w:val="auto"/>
        </w:rPr>
      </w:pPr>
    </w:p>
    <w:p>
      <w:pPr>
        <w:jc w:val="both"/>
        <w:ind w:left="1160" w:right="160" w:hanging="733"/>
        <w:spacing w:after="0" w:line="254" w:lineRule="auto"/>
        <w:tabs>
          <w:tab w:leader="none" w:pos="11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 receive an annual base salary of $503,165.28, payable in accordance with MEI’s regular payroll practices. The annual base salary may be increased in the discretion of the Compensation Committee of the Board (the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160" w:right="160" w:hanging="733"/>
        <w:spacing w:after="0" w:line="254" w:lineRule="auto"/>
        <w:tabs>
          <w:tab w:leader="none" w:pos="11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continue to be eligible to participate in MEI’s annual bonus plan in your role as CMO, with an annual target of 40% of base salary. Annual bonuses shall be paid at the discretion of the Compensation Committee and may be based on achievement of corporate and individual</w:t>
      </w:r>
    </w:p>
    <w:p>
      <w:pPr>
        <w:spacing w:after="0" w:line="12" w:lineRule="exact"/>
        <w:rPr>
          <w:rFonts w:ascii="Times New Roman" w:cs="Times New Roman" w:eastAsia="Times New Roman" w:hAnsi="Times New Roman"/>
          <w:sz w:val="20"/>
          <w:szCs w:val="20"/>
          <w:color w:val="auto"/>
        </w:rPr>
      </w:pPr>
    </w:p>
    <w:p>
      <w:pPr>
        <w:ind w:left="1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goals established by the Compensation Committee. You must be employed by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MEI and in good standing at the time of any bonus payout to be eligible to earn the annual bonus for such year.</w:t>
      </w:r>
    </w:p>
    <w:p>
      <w:pPr>
        <w:spacing w:after="0" w:line="216" w:lineRule="exact"/>
        <w:rPr>
          <w:sz w:val="20"/>
          <w:szCs w:val="20"/>
          <w:color w:val="auto"/>
        </w:rPr>
      </w:pPr>
    </w:p>
    <w:p>
      <w:pPr>
        <w:jc w:val="both"/>
        <w:ind w:left="1160" w:right="160" w:hanging="733"/>
        <w:spacing w:after="0" w:line="249" w:lineRule="auto"/>
        <w:tabs>
          <w:tab w:leader="none" w:pos="11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MEI has implemented the 2008 Stock Omnibus Equity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you have been granted one or more equity awards during your employment with MEI, which awards shall continue to be subject to their terms. You will continue to be eligible for consideration for an annual equity grant under the Plan (or its successor) each year during the Term, subject to the approval of the Compensation Committee.</w:t>
      </w:r>
    </w:p>
    <w:p>
      <w:pPr>
        <w:spacing w:after="0" w:line="179" w:lineRule="exact"/>
        <w:rPr>
          <w:rFonts w:ascii="Times New Roman" w:cs="Times New Roman" w:eastAsia="Times New Roman" w:hAnsi="Times New Roman"/>
          <w:sz w:val="20"/>
          <w:szCs w:val="20"/>
          <w:color w:val="auto"/>
        </w:rPr>
      </w:pPr>
    </w:p>
    <w:p>
      <w:pPr>
        <w:jc w:val="both"/>
        <w:ind w:left="1160" w:right="160" w:hanging="733"/>
        <w:spacing w:after="0" w:line="246" w:lineRule="auto"/>
        <w:tabs>
          <w:tab w:leader="none" w:pos="11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continue to be eligible to participate in MEI’s health, retirement, expense reimbursement and other benefit plans as in effect from time to time on terms no less favorable than those provided to other senior executives of MEI. You will receive paid time off (“</w:t>
      </w:r>
      <w:r>
        <w:rPr>
          <w:rFonts w:ascii="Times New Roman" w:cs="Times New Roman" w:eastAsia="Times New Roman" w:hAnsi="Times New Roman"/>
          <w:sz w:val="20"/>
          <w:szCs w:val="20"/>
          <w:u w:val="single" w:color="auto"/>
          <w:color w:val="auto"/>
        </w:rPr>
        <w:t>PTO</w:t>
      </w:r>
      <w:r>
        <w:rPr>
          <w:rFonts w:ascii="Times New Roman" w:cs="Times New Roman" w:eastAsia="Times New Roman" w:hAnsi="Times New Roman"/>
          <w:sz w:val="20"/>
          <w:szCs w:val="20"/>
          <w:color w:val="auto"/>
        </w:rPr>
        <w:t>”) in accordance with MEI policies, which currently provide nine hours of PTO per pay period, as well as paid time off for sick leave and holidays on terms no less favorable than those provided to other senior executives of MEI.</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of Employment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0" w:right="160" w:hanging="373"/>
        <w:spacing w:after="0" w:line="245"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Termination without Good Reason</w:t>
      </w:r>
      <w:r>
        <w:rPr>
          <w:rFonts w:ascii="Times New Roman" w:cs="Times New Roman" w:eastAsia="Times New Roman" w:hAnsi="Times New Roman"/>
          <w:sz w:val="20"/>
          <w:szCs w:val="20"/>
          <w:color w:val="auto"/>
        </w:rPr>
        <w:t>. You may terminate your employment voluntarily at any time and for any reason by providing the CEO with 30 days’ advance notice (or such shorter period of notice as the CEO may accept). Upon your voluntary termination of employment (other than for Good Reason as described below), you shall be eligible to receive only salary and PTO amounts that you have earned but that have not yet been paid to you as of your date of termination of employment, and vested and nonforfeitable benefits under the MEI benefit plans in which you participated (the “</w:t>
      </w:r>
      <w:r>
        <w:rPr>
          <w:rFonts w:ascii="Times New Roman" w:cs="Times New Roman" w:eastAsia="Times New Roman" w:hAnsi="Times New Roman"/>
          <w:sz w:val="20"/>
          <w:szCs w:val="20"/>
          <w:u w:val="single" w:color="auto"/>
          <w:color w:val="auto"/>
        </w:rPr>
        <w:t>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800" w:right="160" w:hanging="373"/>
        <w:spacing w:after="0" w:line="259" w:lineRule="auto"/>
        <w:tabs>
          <w:tab w:leader="none" w:pos="8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Upon Death or Disability</w:t>
      </w:r>
      <w:r>
        <w:rPr>
          <w:rFonts w:ascii="Times New Roman" w:cs="Times New Roman" w:eastAsia="Times New Roman" w:hAnsi="Times New Roman"/>
          <w:sz w:val="19"/>
          <w:szCs w:val="19"/>
          <w:color w:val="auto"/>
        </w:rPr>
        <w:t xml:space="preserve">. If your employment with MEI terminates as a result of your death or Disability (as defined below), you shall be eligible to receive only the Accrued Benefits. In addition, if your employment with MEI terminates as a result of your death or Disability, vesting of your outstanding stock options will accelerate to the extent that you will be vested in the same number of options as if you had continued to be employed by MEI for an additional 12 months following your termination date; provided that the vesting of your stock options in the event of your Disability shall be conditioned upon your execution and nonrevocation of a customary general release of all claims in a form prescribed by MEI (which shall be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subject to such legally required changes as MEI may require) (the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ind w:left="800" w:right="160" w:hanging="373"/>
        <w:spacing w:after="0" w:line="269"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MEI may terminate your employment for Cause (as defined below) with advance written notice. If your employment with MEI terminates for Cause, you shall be eligible to receive only the Accrued Benefits.</w:t>
      </w:r>
    </w:p>
    <w:p>
      <w:pPr>
        <w:spacing w:after="0" w:line="159" w:lineRule="exact"/>
        <w:rPr>
          <w:rFonts w:ascii="Times New Roman" w:cs="Times New Roman" w:eastAsia="Times New Roman" w:hAnsi="Times New Roman"/>
          <w:sz w:val="20"/>
          <w:szCs w:val="20"/>
          <w:color w:val="auto"/>
        </w:rPr>
      </w:pPr>
    </w:p>
    <w:p>
      <w:pPr>
        <w:jc w:val="both"/>
        <w:ind w:left="800" w:right="160" w:hanging="373"/>
        <w:spacing w:after="0" w:line="254" w:lineRule="auto"/>
        <w:tabs>
          <w:tab w:leader="none" w:pos="8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MEI Other than for Cause</w:t>
      </w:r>
      <w:r>
        <w:rPr>
          <w:rFonts w:ascii="Times New Roman" w:cs="Times New Roman" w:eastAsia="Times New Roman" w:hAnsi="Times New Roman"/>
          <w:sz w:val="20"/>
          <w:szCs w:val="20"/>
          <w:color w:val="auto"/>
        </w:rPr>
        <w:t>. MEI may terminate your employment other than for Cause. Upon your termination of employment other than for Cause, MEI will provide the following severance benefits to you (in lieu of notice), subject to your execution and nonrevocation of the Release (collectively, the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540" w:right="820" w:hanging="364"/>
        <w:spacing w:after="0" w:line="269" w:lineRule="auto"/>
        <w:tabs>
          <w:tab w:leader="none" w:pos="15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months of your annual base salary in effect at the time of termination, which shall be payable as a lump sum payment within 60 days following the date of termination.</w:t>
      </w:r>
    </w:p>
    <w:p>
      <w:pPr>
        <w:spacing w:after="0" w:line="10" w:lineRule="exact"/>
        <w:rPr>
          <w:rFonts w:ascii="Times New Roman" w:cs="Times New Roman" w:eastAsia="Times New Roman" w:hAnsi="Times New Roman"/>
          <w:sz w:val="20"/>
          <w:szCs w:val="20"/>
          <w:color w:val="auto"/>
        </w:rPr>
      </w:pPr>
    </w:p>
    <w:p>
      <w:pPr>
        <w:jc w:val="both"/>
        <w:ind w:left="1540" w:right="160" w:hanging="364"/>
        <w:spacing w:after="0" w:line="249" w:lineRule="auto"/>
        <w:tabs>
          <w:tab w:leader="none" w:pos="15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your timely election of health care continuation coverage under COBRA, MEI will pay the monthly premium payable to continue your and your eligible dependents’ participation in the MEI’s group health plan (to the extent permitted under applicable law and the terms of such plan) which covers you (and your eligible dependents) for a period of 12 months; provided that you are eligible and remain eligible for COBRA coverage; 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344" w:lineRule="exact"/>
        <w:rPr>
          <w:sz w:val="20"/>
          <w:szCs w:val="20"/>
          <w:color w:val="auto"/>
        </w:rPr>
      </w:pPr>
    </w:p>
    <w:p>
      <w:pPr>
        <w:jc w:val="both"/>
        <w:ind w:left="1540" w:right="160"/>
        <w:spacing w:after="0" w:line="245" w:lineRule="auto"/>
        <w:rPr>
          <w:sz w:val="20"/>
          <w:szCs w:val="20"/>
          <w:color w:val="auto"/>
        </w:rPr>
      </w:pPr>
      <w:r>
        <w:rPr>
          <w:rFonts w:ascii="Times New Roman" w:cs="Times New Roman" w:eastAsia="Times New Roman" w:hAnsi="Times New Roman"/>
          <w:sz w:val="20"/>
          <w:szCs w:val="20"/>
          <w:color w:val="auto"/>
        </w:rPr>
        <w:t>further provided that in the event you obtain other employment that offers group health benefits, such continuation of coverage by MEI will immediately cease. If the reimbursement of any COBRA premiums would violate the nondiscrimination rules or cause the reimbursement to be taxable under the Patient Protection and Affordable Care Act of 2010, together with the Health Care and Education Reconciliation Act of 2010 or Section 105(h)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this arrangement will be modified to effect a lump sum payment to you of the payment amount described above reduced by applicable withholding taxes.</w:t>
      </w:r>
    </w:p>
    <w:p>
      <w:pPr>
        <w:spacing w:after="0" w:line="184" w:lineRule="exact"/>
        <w:rPr>
          <w:sz w:val="20"/>
          <w:szCs w:val="20"/>
          <w:color w:val="auto"/>
        </w:rPr>
      </w:pPr>
    </w:p>
    <w:p>
      <w:pPr>
        <w:ind w:left="1540" w:right="160" w:hanging="364"/>
        <w:spacing w:after="0" w:line="250" w:lineRule="auto"/>
        <w:tabs>
          <w:tab w:leader="none" w:pos="15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prorated annual bonus for the year in which your termination of employment occurs, paid at the same time as bonuses are paid to other employees of MEI, but not later than 2</w:t>
      </w:r>
    </w:p>
    <w:p>
      <w:pPr>
        <w:spacing w:after="0" w:line="1" w:lineRule="exact"/>
        <w:rPr>
          <w:rFonts w:ascii="Times New Roman" w:cs="Times New Roman" w:eastAsia="Times New Roman" w:hAnsi="Times New Roman"/>
          <w:sz w:val="20"/>
          <w:szCs w:val="20"/>
          <w:color w:val="auto"/>
        </w:rPr>
      </w:pPr>
    </w:p>
    <w:p>
      <w:pPr>
        <w:jc w:val="both"/>
        <w:ind w:left="1540" w:right="16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½ months after the end of the fiscal year in which the termination date occurs. The prorated bonus will be determined by multiplying the full year annual bonus that would otherwise have been payable to you based on individual performance and the attainment of corporate performance goals, as determined by the Board, by a fraction, the numerator of which is the number of days during which you were employed by MEI in the fiscal year in which the termination date occurs and the denominator of which is 365.</w:t>
      </w:r>
    </w:p>
    <w:p>
      <w:pPr>
        <w:spacing w:after="0" w:line="186" w:lineRule="exact"/>
        <w:rPr>
          <w:rFonts w:ascii="Times New Roman" w:cs="Times New Roman" w:eastAsia="Times New Roman" w:hAnsi="Times New Roman"/>
          <w:sz w:val="20"/>
          <w:szCs w:val="20"/>
          <w:color w:val="auto"/>
        </w:rPr>
      </w:pPr>
    </w:p>
    <w:p>
      <w:pPr>
        <w:ind w:left="1540" w:right="180" w:hanging="364"/>
        <w:spacing w:after="0" w:line="269" w:lineRule="auto"/>
        <w:tabs>
          <w:tab w:leader="none" w:pos="15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vesting of your outstanding MEI stock options so that you will be vested in the same number of options as if you had continued to be employed by MEI for an additional 12 months following your termination date.</w:t>
      </w:r>
    </w:p>
    <w:p>
      <w:pPr>
        <w:spacing w:after="0" w:line="159" w:lineRule="exact"/>
        <w:rPr>
          <w:sz w:val="20"/>
          <w:szCs w:val="20"/>
          <w:color w:val="auto"/>
        </w:rPr>
      </w:pPr>
    </w:p>
    <w:p>
      <w:pPr>
        <w:jc w:val="both"/>
        <w:ind w:left="800" w:right="160"/>
        <w:spacing w:after="0" w:line="254" w:lineRule="auto"/>
        <w:rPr>
          <w:sz w:val="20"/>
          <w:szCs w:val="20"/>
          <w:color w:val="auto"/>
        </w:rPr>
      </w:pPr>
      <w:r>
        <w:rPr>
          <w:rFonts w:ascii="Times New Roman" w:cs="Times New Roman" w:eastAsia="Times New Roman" w:hAnsi="Times New Roman"/>
          <w:sz w:val="20"/>
          <w:szCs w:val="20"/>
          <w:color w:val="auto"/>
        </w:rPr>
        <w:t>MEI’s payment of the Severance Benefits to you shall be conditioned upon your execution and nonrevocation of the Release. Except for providing you with the Severance Benefits, you are not eligible for any severance pay or other benefits from MEI, other than the Accrued Benefits and your vested rights under MEI’s equity plans.</w:t>
      </w:r>
    </w:p>
    <w:p>
      <w:pPr>
        <w:spacing w:after="0" w:line="174" w:lineRule="exact"/>
        <w:rPr>
          <w:sz w:val="20"/>
          <w:szCs w:val="20"/>
          <w:color w:val="auto"/>
        </w:rPr>
      </w:pPr>
    </w:p>
    <w:p>
      <w:pPr>
        <w:jc w:val="both"/>
        <w:ind w:left="800" w:right="160" w:hanging="373"/>
        <w:spacing w:after="0" w:line="242" w:lineRule="auto"/>
        <w:tabs>
          <w:tab w:leader="none" w:pos="8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Good Reason</w:t>
      </w:r>
      <w:r>
        <w:rPr>
          <w:rFonts w:ascii="Times New Roman" w:cs="Times New Roman" w:eastAsia="Times New Roman" w:hAnsi="Times New Roman"/>
          <w:sz w:val="20"/>
          <w:szCs w:val="20"/>
          <w:color w:val="auto"/>
        </w:rPr>
        <w:t>. You may terminate your employment for Good Reason (as defined below) by providing written notice to the CEO within 60 days after the occurrence of the event constituting Good Reason. The written notice shall contain a detailed description of the event giving rise to your termination for Good Reason. Following the receipt of your notice, MEI shall have a period of 30 days in which it may correct the act or failure to act that constitutes the grounds for Good Reason as set forth in your notice of termination. If MEI does not correct the act or failure to act, you must terminate your employment for Good Reason within 60 days after the end of the cure period, in order for the termination to be considered a Good Reason termination. Upon your termination of employment for Good Reason during this 60-day period, you will receive the same Severance Benefits as provided in the event of termination by MEI without Cause as described above (and below, if applicable); provided that MEI’s payment of the Severance Benefits shall be subject to your execution and nonrevocation of the Release, also as described above. Except for providing you with the Severance Benefits, you are not eligible for any severance pay or other benefits from MEI, other than the Accrued Benefits and your vested rights under MEI’s equity plans.</w:t>
      </w:r>
    </w:p>
    <w:p>
      <w:pPr>
        <w:spacing w:after="0" w:line="189" w:lineRule="exact"/>
        <w:rPr>
          <w:rFonts w:ascii="Times New Roman" w:cs="Times New Roman" w:eastAsia="Times New Roman" w:hAnsi="Times New Roman"/>
          <w:sz w:val="20"/>
          <w:szCs w:val="20"/>
          <w:color w:val="auto"/>
        </w:rPr>
      </w:pPr>
    </w:p>
    <w:p>
      <w:pPr>
        <w:jc w:val="both"/>
        <w:ind w:left="800" w:right="160" w:hanging="373"/>
        <w:spacing w:after="0" w:line="254" w:lineRule="auto"/>
        <w:tabs>
          <w:tab w:leader="none" w:pos="8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if MEI terminates your employment without Cause or you terminate employment for Good Reason, in either case upon or within two years after a Change in Control (as defined below), or if MEI terminates your employment without Cause,</w:t>
      </w:r>
    </w:p>
    <w:p>
      <w:pPr>
        <w:spacing w:after="0" w:line="25" w:lineRule="exact"/>
        <w:rPr>
          <w:rFonts w:ascii="Times New Roman" w:cs="Times New Roman" w:eastAsia="Times New Roman" w:hAnsi="Times New Roman"/>
          <w:sz w:val="20"/>
          <w:szCs w:val="20"/>
          <w:color w:val="auto"/>
        </w:rPr>
      </w:pPr>
    </w:p>
    <w:p>
      <w:pPr>
        <w:jc w:val="both"/>
        <w:ind w:left="800" w:right="1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three months prior to a Change in Control at the request of the other party to the Change in Control transaction, then your outstanding stock options will become fully vested and exercisable as of the date of your termination of employment, subject to your execution and nonrevocation of the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20" w:lineRule="exact"/>
        <w:rPr>
          <w:sz w:val="20"/>
          <w:szCs w:val="20"/>
          <w:color w:val="auto"/>
        </w:rPr>
      </w:pPr>
    </w:p>
    <w:p>
      <w:pPr>
        <w:jc w:val="both"/>
        <w:ind w:left="800" w:right="320" w:hanging="373"/>
        <w:spacing w:after="0" w:line="244" w:lineRule="auto"/>
        <w:tabs>
          <w:tab w:leader="none" w:pos="8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 finding by MEI that you have (i) been convicted of, or have pleaded nolo contendere to, a felony or a crime involving moral turpitude, (ii) committed an act of gross negligence or fraud with respect to MEI’s business, (iii) failed, refused or neglected to substantially perform your duties or to implement the lawful directives of the Board that continued for 30 days after you were provided specific written notice thereof, (iv) materially failed to follow MEI’s employment or other applicable policies, or (v) willfully engaged in conduct that is materially injurious to MEI, monetarily or otherwise; provided that you will have 30 days after notice from the Board to cure a failure or a breach set forth above, if curable.</w:t>
      </w:r>
    </w:p>
    <w:p>
      <w:pPr>
        <w:spacing w:after="0" w:line="77" w:lineRule="exact"/>
        <w:rPr>
          <w:rFonts w:ascii="Times New Roman" w:cs="Times New Roman" w:eastAsia="Times New Roman" w:hAnsi="Times New Roman"/>
          <w:sz w:val="20"/>
          <w:szCs w:val="20"/>
          <w:color w:val="auto"/>
        </w:rPr>
      </w:pPr>
    </w:p>
    <w:p>
      <w:pPr>
        <w:jc w:val="both"/>
        <w:ind w:left="800" w:right="160" w:hanging="373"/>
        <w:spacing w:after="0" w:line="241" w:lineRule="auto"/>
        <w:tabs>
          <w:tab w:leader="none" w:pos="8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(i) any “person” (as such term is used in sections 13(d) and 14(d) of the Securities and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becomes a “beneficial owner” (as defined in Rule 13d-3 under the Exchange Act), directly or indirectly, of securities of MEI representing more than 50% of the voting power of the then outstanding securities of MEI; provided that a Change in Control shall not be deemed to occur as a result of a transaction in which MEI becomes a subsidiary of another corporation and in which the stockholders of MEI, immediately prior to the transaction, will beneficially own, immediately after the transaction, shares entitling such stockholders to more than 50% of all votes to which all stockholders of the parent corporation would be entitled in the election of directors; or (ii) the consummation of (A) a merger or consolidation of MEI with another corporation where the stockholders of MEI, immediately prior to the merger or consolidation, will not beneficially own, immediately after the merger or consolidation, shares entitling such stockholders to more than 50% of all votes to which all stockholders of the surviving corporation would be entitled in the election of directors, or where the members of the Board, immediately prior to the merger or consolidation, would not, immediately after the merger or consolidation, constitute a majority of the board of directors of the surviving corporation, (B) a sale or other disposition of all or substantially all of the assets of MEI, or (C) a liquidation or dissolution of MEI.</w:t>
      </w:r>
    </w:p>
    <w:p>
      <w:pPr>
        <w:spacing w:after="0" w:line="224" w:lineRule="exact"/>
        <w:rPr>
          <w:rFonts w:ascii="Times New Roman" w:cs="Times New Roman" w:eastAsia="Times New Roman" w:hAnsi="Times New Roman"/>
          <w:sz w:val="20"/>
          <w:szCs w:val="20"/>
          <w:color w:val="auto"/>
        </w:rPr>
      </w:pPr>
    </w:p>
    <w:p>
      <w:pPr>
        <w:ind w:left="800" w:right="160" w:hanging="373"/>
        <w:spacing w:after="0" w:line="269" w:lineRule="auto"/>
        <w:tabs>
          <w:tab w:leader="none" w:pos="8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mean that you are eligible to receive long-term disability benefits under MEI’s long-term disability plan.</w:t>
      </w:r>
    </w:p>
    <w:p>
      <w:pPr>
        <w:spacing w:after="0" w:line="159" w:lineRule="exact"/>
        <w:rPr>
          <w:rFonts w:ascii="Times New Roman" w:cs="Times New Roman" w:eastAsia="Times New Roman" w:hAnsi="Times New Roman"/>
          <w:sz w:val="20"/>
          <w:szCs w:val="20"/>
          <w:color w:val="auto"/>
        </w:rPr>
      </w:pPr>
    </w:p>
    <w:p>
      <w:pPr>
        <w:ind w:left="800" w:hanging="373"/>
        <w:spacing w:after="0"/>
        <w:tabs>
          <w:tab w:leader="none" w:pos="8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the occurrence of one or more of the following without your written consent:</w:t>
      </w:r>
    </w:p>
    <w:p>
      <w:pPr>
        <w:spacing w:after="0" w:line="215" w:lineRule="exact"/>
        <w:rPr>
          <w:rFonts w:ascii="Times New Roman" w:cs="Times New Roman" w:eastAsia="Times New Roman" w:hAnsi="Times New Roman"/>
          <w:sz w:val="20"/>
          <w:szCs w:val="20"/>
          <w:color w:val="auto"/>
        </w:rPr>
      </w:pPr>
    </w:p>
    <w:p>
      <w:pPr>
        <w:ind w:left="1560" w:hanging="384"/>
        <w:spacing w:after="0"/>
        <w:tabs>
          <w:tab w:leader="none" w:pos="15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diminution by MEI of your authority, duties or responsibilities;</w:t>
      </w:r>
    </w:p>
    <w:p>
      <w:pPr>
        <w:spacing w:after="0" w:line="215" w:lineRule="exact"/>
        <w:rPr>
          <w:rFonts w:ascii="Times New Roman" w:cs="Times New Roman" w:eastAsia="Times New Roman" w:hAnsi="Times New Roman"/>
          <w:sz w:val="20"/>
          <w:szCs w:val="20"/>
          <w:color w:val="auto"/>
        </w:rPr>
      </w:pPr>
    </w:p>
    <w:p>
      <w:pPr>
        <w:ind w:left="1560" w:hanging="384"/>
        <w:spacing w:after="0"/>
        <w:tabs>
          <w:tab w:leader="none" w:pos="15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diminution in your base salary;</w:t>
      </w:r>
    </w:p>
    <w:p>
      <w:pPr>
        <w:spacing w:after="0" w:line="215" w:lineRule="exact"/>
        <w:rPr>
          <w:rFonts w:ascii="Times New Roman" w:cs="Times New Roman" w:eastAsia="Times New Roman" w:hAnsi="Times New Roman"/>
          <w:sz w:val="20"/>
          <w:szCs w:val="20"/>
          <w:color w:val="auto"/>
        </w:rPr>
      </w:pPr>
    </w:p>
    <w:p>
      <w:pPr>
        <w:ind w:left="1540" w:hanging="364"/>
        <w:spacing w:after="0"/>
        <w:tabs>
          <w:tab w:leader="none" w:pos="15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involuntary relocation to a new place of business greater than 50 miles from MEI’s then current headquarters office; or</w:t>
      </w:r>
    </w:p>
    <w:p>
      <w:pPr>
        <w:spacing w:after="0" w:line="215" w:lineRule="exact"/>
        <w:rPr>
          <w:rFonts w:ascii="Times New Roman" w:cs="Times New Roman" w:eastAsia="Times New Roman" w:hAnsi="Times New Roman"/>
          <w:sz w:val="20"/>
          <w:szCs w:val="20"/>
          <w:color w:val="auto"/>
        </w:rPr>
      </w:pPr>
    </w:p>
    <w:p>
      <w:pPr>
        <w:ind w:left="1560" w:hanging="384"/>
        <w:spacing w:after="0"/>
        <w:tabs>
          <w:tab w:leader="none" w:pos="15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inaction that constitutes a material breach by MEI of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Assignments of Inventions/Proprietary Information</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jc w:val="both"/>
        <w:ind w:left="800" w:right="160" w:hanging="373"/>
        <w:spacing w:after="0" w:line="246" w:lineRule="auto"/>
        <w:tabs>
          <w:tab w:leader="none" w:pos="8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w:t>
      </w:r>
      <w:r>
        <w:rPr>
          <w:rFonts w:ascii="Times New Roman" w:cs="Times New Roman" w:eastAsia="Times New Roman" w:hAnsi="Times New Roman"/>
          <w:sz w:val="20"/>
          <w:szCs w:val="20"/>
          <w:color w:val="auto"/>
        </w:rPr>
        <w:t xml:space="preserve">. As a condition of employment as CMO, you acknowledge and agree that you remain subject to the terms and conditions of your Employee Proprietary Information and Inventions Agreement, dated March 7, 2016, as amended from time to time and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Proprietary Information Agreement</w:t>
      </w:r>
      <w:r>
        <w:rPr>
          <w:rFonts w:ascii="Times New Roman" w:cs="Times New Roman" w:eastAsia="Times New Roman" w:hAnsi="Times New Roman"/>
          <w:sz w:val="20"/>
          <w:szCs w:val="20"/>
          <w:color w:val="auto"/>
        </w:rPr>
        <w:t>”), which continues in full force and effect; provided that you and MEI agree that the second sentence of Section 4 of the Proprietary Information Agreement (titled “Additional Activities”) relating to post-termination inducement of employees is void and will not be enforced by MEI.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800" w:right="140" w:hanging="373"/>
        <w:spacing w:after="0" w:line="242" w:lineRule="auto"/>
        <w:tabs>
          <w:tab w:leader="none" w:pos="8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Reports to Government Entities</w:t>
      </w:r>
      <w:r>
        <w:rPr>
          <w:rFonts w:ascii="Times New Roman" w:cs="Times New Roman" w:eastAsia="Times New Roman" w:hAnsi="Times New Roman"/>
          <w:sz w:val="20"/>
          <w:szCs w:val="20"/>
          <w:color w:val="auto"/>
        </w:rPr>
        <w:t>. Nothing in this Agreement shall prohibit or restrict you from initiating communications directly with, responding to any inquiry from, providing testimony before, providing confidential information to, reporting possible violations of law or regulation to, or filing a claim or assisting with an investigation directly with a self-regulatory authority or a government agency or entity, including the Equal Employment Opportunity Commission, the Department of Labor, the National Labor Relations Board, the Department of Justice, the Securities and Exchange Commission, Congress, any agency Inspector General or any other federal, state or local regulatory authority, or from making other disclosures that are protected under the whistleblower provisions of state or federal law or regulation. You do not need the prior authorization of MEI to engage in conduct protected by this subsection, and you do not need to notify MEI that you have engaged in such conduct. Please take notice that federal law provides criminal and civil immunity to federal and state claims for trade secret misappropriation to individuals who disclose trade secrets to their attorneys, courts, or government officials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83" w:lineRule="exact"/>
        <w:rPr>
          <w:sz w:val="20"/>
          <w:szCs w:val="20"/>
          <w:color w:val="auto"/>
        </w:rPr>
      </w:pPr>
    </w:p>
    <w:p>
      <w:pPr>
        <w:jc w:val="both"/>
        <w:ind w:left="60" w:right="160"/>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Return of Company Property</w:t>
      </w:r>
      <w:r>
        <w:rPr>
          <w:rFonts w:ascii="Times New Roman" w:cs="Times New Roman" w:eastAsia="Times New Roman" w:hAnsi="Times New Roman"/>
          <w:sz w:val="20"/>
          <w:szCs w:val="20"/>
          <w:color w:val="auto"/>
        </w:rPr>
        <w:t>. Upon termination of your employment with MEI for any reason, and at any earlier time requested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MEI, you will deliver to the person designated by MEI all originals and copies of all documents and property of MEI or an affiliate that is in your possession or under your control or to which you may have access. You will not reproduce or appropriate for your own use, or for the use of others, any property, proprietary information or work product of MEI or its affiliates.</w:t>
      </w:r>
    </w:p>
    <w:p>
      <w:pPr>
        <w:spacing w:after="0" w:line="176" w:lineRule="exact"/>
        <w:rPr>
          <w:sz w:val="20"/>
          <w:szCs w:val="20"/>
          <w:color w:val="auto"/>
        </w:rPr>
      </w:pPr>
    </w:p>
    <w:p>
      <w:pPr>
        <w:jc w:val="both"/>
        <w:ind w:left="60" w:right="160"/>
        <w:spacing w:after="0" w:line="243" w:lineRule="auto"/>
        <w:rPr>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This Agreement is intended to comply with the requirements of applicable law. In particular, this Agreement is intended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comply with the requirements of Section 409A of the Code, or an exemption thereto, and payments may only be made to you upon an event and in a manner permitted by Section 409A, to the extent applicable. Separation pay provided under this Agreement is intended to be exempt from Section 409A under the “separation pay” and/or “short-term deferral” exceptions to the maximum permissible extent. If you are considered a “specified employee,” if and to the extent necessary to comply with Section 409A, any payments due to you shall be delayed for a period of six months after your separation from service. Any payment due to you shall be treated as a separate payment for purposes of Section 409A. In no event may you, directly or indirectly, designate the calendar year of a payment. If the period for executing the Release spans two calendar years and the amounts payable to you are subject to Section 409A, payment of any amounts to you in connection with the execution of the release shall be made in the second calendar year. All reimbursements and in-kind benefits provided to you shall be made or provided in accordance with the requirements of Section 409A.</w:t>
      </w:r>
    </w:p>
    <w:p>
      <w:pPr>
        <w:spacing w:after="0" w:line="182" w:lineRule="exact"/>
        <w:rPr>
          <w:sz w:val="20"/>
          <w:szCs w:val="20"/>
          <w:color w:val="auto"/>
        </w:rPr>
      </w:pPr>
    </w:p>
    <w:p>
      <w:pPr>
        <w:jc w:val="both"/>
        <w:ind w:left="60" w:right="160"/>
        <w:spacing w:after="0" w:line="247" w:lineRule="auto"/>
        <w:rPr>
          <w:sz w:val="20"/>
          <w:szCs w:val="20"/>
          <w:color w:val="auto"/>
        </w:rPr>
      </w:pPr>
      <w:r>
        <w:rPr>
          <w:rFonts w:ascii="Times New Roman" w:cs="Times New Roman" w:eastAsia="Times New Roman" w:hAnsi="Times New Roman"/>
          <w:sz w:val="20"/>
          <w:szCs w:val="20"/>
          <w:b w:val="1"/>
          <w:bCs w:val="1"/>
          <w:u w:val="single" w:color="auto"/>
          <w:color w:val="auto"/>
        </w:rPr>
        <w:t>Section 280G</w:t>
      </w:r>
      <w:r>
        <w:rPr>
          <w:rFonts w:ascii="Times New Roman" w:cs="Times New Roman" w:eastAsia="Times New Roman" w:hAnsi="Times New Roman"/>
          <w:sz w:val="20"/>
          <w:szCs w:val="20"/>
          <w:color w:val="auto"/>
        </w:rPr>
        <w:t>. In the event of a change in ownership or control under Section 280G of the Code, if it shall be determined 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or distribution in the nature of compensation (within the meaning of Section 280G(b)(2)) to you or for your benefit, whether paid or payable or distributed or distributable pursuant to the terms of this Agreement or otherwise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would constitute an “excess parachute payment” within the meaning of Section 280G, the aggregate present value of the Payments under the Agreement shall be reduced (but not below zero) to the Reduced Amount (defined below) if and only if the Accounting</w:t>
      </w:r>
    </w:p>
    <w:p>
      <w:pPr>
        <w:spacing w:after="0" w:line="36" w:lineRule="exact"/>
        <w:rPr>
          <w:sz w:val="20"/>
          <w:szCs w:val="20"/>
          <w:color w:val="auto"/>
        </w:rPr>
      </w:pPr>
    </w:p>
    <w:p>
      <w:pPr>
        <w:jc w:val="both"/>
        <w:ind w:left="60" w:right="160"/>
        <w:spacing w:after="0" w:line="254" w:lineRule="auto"/>
        <w:rPr>
          <w:sz w:val="20"/>
          <w:szCs w:val="20"/>
          <w:color w:val="auto"/>
        </w:rPr>
      </w:pPr>
      <w:r>
        <w:rPr>
          <w:rFonts w:ascii="Times New Roman" w:cs="Times New Roman" w:eastAsia="Times New Roman" w:hAnsi="Times New Roman"/>
          <w:sz w:val="20"/>
          <w:szCs w:val="20"/>
          <w:color w:val="auto"/>
        </w:rPr>
        <w:t>Firm (described below) determines that the reduction will provide you with a greater net after-tax benefit than would no reduction. No reduction shall be made unless the reduction would provide you with a greater net after-tax benefit. The determinations under this provision shall be made as follows:</w:t>
      </w:r>
    </w:p>
    <w:p>
      <w:pPr>
        <w:spacing w:after="0" w:line="174" w:lineRule="exact"/>
        <w:rPr>
          <w:sz w:val="20"/>
          <w:szCs w:val="20"/>
          <w:color w:val="auto"/>
        </w:rPr>
      </w:pPr>
    </w:p>
    <w:p>
      <w:pPr>
        <w:jc w:val="both"/>
        <w:ind w:left="800" w:right="160" w:hanging="373"/>
        <w:spacing w:after="0" w:line="249" w:lineRule="auto"/>
        <w:tabs>
          <w:tab w:leader="none" w:pos="8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shall be an amount expressed in present value which maximizes the aggregate present value of Payments without causing any Payment under this Agreement to be subject to the Excise Tax (defined below), determined in accordance with Section 280G(d)(4). The term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means the excise tax imposed under Section 4999 of the Code, together with any interest or penalties imposed with respect to such excise tax.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800" w:right="160" w:hanging="373"/>
        <w:spacing w:after="0" w:line="263" w:lineRule="auto"/>
        <w:tabs>
          <w:tab w:leader="none" w:pos="8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determinations to be made under this provision shall be made by an independent certified public accounting firm selected by MEI and to which you have agreed immediately prior to the change in ownership or control transaction (the “</w:t>
      </w:r>
      <w:r>
        <w:rPr>
          <w:rFonts w:ascii="Times New Roman" w:cs="Times New Roman" w:eastAsia="Times New Roman" w:hAnsi="Times New Roman"/>
          <w:sz w:val="19"/>
          <w:szCs w:val="19"/>
          <w:u w:val="single" w:color="auto"/>
          <w:color w:val="auto"/>
        </w:rPr>
        <w:t>Accounting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Firm</w:t>
      </w:r>
      <w:r>
        <w:rPr>
          <w:rFonts w:ascii="Times New Roman" w:cs="Times New Roman" w:eastAsia="Times New Roman" w:hAnsi="Times New Roman"/>
          <w:sz w:val="19"/>
          <w:szCs w:val="19"/>
          <w:color w:val="auto"/>
        </w:rPr>
        <w:t>”). The Accounting Firm shall provide its determinations and any supporting calculations both to you and MEI within 10 days of the transaction. Any such determination by the Accounting Firm shall be binding upon you and MEI. All of the fees and expenses of the Accounting Firm in performing the determinations referred to in this provision shall be borne solely by MEI.</w:t>
      </w:r>
    </w:p>
    <w:p>
      <w:pPr>
        <w:spacing w:after="0" w:line="162" w:lineRule="exact"/>
        <w:rPr>
          <w:sz w:val="20"/>
          <w:szCs w:val="20"/>
          <w:color w:val="auto"/>
        </w:rPr>
      </w:pPr>
    </w:p>
    <w:p>
      <w:pPr>
        <w:jc w:val="both"/>
        <w:ind w:left="60" w:right="160"/>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MEI shall be entitled to withhold from any amounts payable under this Agreement any federal, state, local or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or other taxes or charges which MEI is required to withhold. MEI shall be entitled to rely on the advice of counsel if any questions as to the amount or requirement of withholding shall arise.</w:t>
      </w:r>
    </w:p>
    <w:p>
      <w:pPr>
        <w:spacing w:after="0" w:line="169" w:lineRule="exact"/>
        <w:rPr>
          <w:sz w:val="20"/>
          <w:szCs w:val="20"/>
          <w:color w:val="auto"/>
        </w:rPr>
      </w:pPr>
    </w:p>
    <w:p>
      <w:pPr>
        <w:jc w:val="both"/>
        <w:ind w:left="60" w:right="160"/>
        <w:spacing w:after="0" w:line="246" w:lineRule="auto"/>
        <w:rPr>
          <w:sz w:val="20"/>
          <w:szCs w:val="20"/>
          <w:color w:val="auto"/>
        </w:rPr>
      </w:pPr>
      <w:r>
        <w:rPr>
          <w:rFonts w:ascii="Times New Roman" w:cs="Times New Roman" w:eastAsia="Times New Roman" w:hAnsi="Times New Roman"/>
          <w:sz w:val="20"/>
          <w:szCs w:val="20"/>
          <w:b w:val="1"/>
          <w:bCs w:val="1"/>
          <w:u w:val="single" w:color="auto"/>
          <w:color w:val="auto"/>
        </w:rPr>
        <w:t>MEI Policies</w:t>
      </w:r>
      <w:r>
        <w:rPr>
          <w:rFonts w:ascii="Times New Roman" w:cs="Times New Roman" w:eastAsia="Times New Roman" w:hAnsi="Times New Roman"/>
          <w:sz w:val="20"/>
          <w:szCs w:val="20"/>
          <w:color w:val="auto"/>
        </w:rPr>
        <w:t>. As an employee of MEI, you are required to comply with all MEI policies and procedures; in particular, you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familiarize yourself with, observe and comply with the rules and policies of MEI as adopted in writing from time to time, in each case, as amended from time to time, and as delivered or made available to you (each,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including but not limited to prohibiting unlawful harassment and discrimination, confidentiality, assignment of invention rights, and the policy concerning drugs and alcohol. This Agreement and the compensation payable hereunder shall be subject to any applicable clawback or recoupment Policies, share trading Policies, and other Policies that may be implemented by the Board from time to time with respect to officers of MEI.</w:t>
      </w:r>
    </w:p>
    <w:p>
      <w:pPr>
        <w:spacing w:after="0" w:line="179" w:lineRule="exact"/>
        <w:rPr>
          <w:sz w:val="20"/>
          <w:szCs w:val="20"/>
          <w:color w:val="auto"/>
        </w:rPr>
      </w:pPr>
    </w:p>
    <w:p>
      <w:pPr>
        <w:jc w:val="both"/>
        <w:ind w:left="60" w:right="160"/>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Agreement sets forth the entire agreement of the parties hereto and supersedes any and all prior agreements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understandings concerning your employment by MEI, including the Prior Agreement. This Agreement may be changed only by a written document signed by you and MEI.</w:t>
      </w:r>
    </w:p>
    <w:p>
      <w:pPr>
        <w:spacing w:after="0" w:line="169" w:lineRule="exact"/>
        <w:rPr>
          <w:sz w:val="20"/>
          <w:szCs w:val="20"/>
          <w:color w:val="auto"/>
        </w:rPr>
      </w:pPr>
    </w:p>
    <w:p>
      <w:pPr>
        <w:jc w:val="both"/>
        <w:ind w:left="60" w:right="16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governed by, and construed and enforced in accordance with, the substantive and procedural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California without regard to rules governing conflicts of law.</w:t>
      </w:r>
    </w:p>
    <w:p>
      <w:pPr>
        <w:spacing w:after="0" w:line="156" w:lineRule="exact"/>
        <w:rPr>
          <w:sz w:val="20"/>
          <w:szCs w:val="20"/>
          <w:color w:val="auto"/>
        </w:rPr>
      </w:pPr>
    </w:p>
    <w:p>
      <w:pPr>
        <w:jc w:val="both"/>
        <w:ind w:left="60" w:right="160"/>
        <w:spacing w:after="0" w:line="249" w:lineRule="auto"/>
        <w:rPr>
          <w:sz w:val="20"/>
          <w:szCs w:val="20"/>
          <w:color w:val="auto"/>
        </w:rPr>
      </w:pPr>
      <w:r>
        <w:rPr>
          <w:rFonts w:ascii="Times New Roman" w:cs="Times New Roman" w:eastAsia="Times New Roman" w:hAnsi="Times New Roman"/>
          <w:sz w:val="20"/>
          <w:szCs w:val="20"/>
          <w:color w:val="auto"/>
        </w:rPr>
        <w:t>By signing below and accepting this Agreement, you will acknowledge and agree that the length of employment, promotions, positive employment reviews, pay increases, bonuses, increases in job duties or responsibilities and other changes during employment will not change the at-will term of your employment with MEI and will not create any implied contract requiring cause for termination of employment.</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If you agree to the terms of this Agreement, please countersign below where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Sincerely,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MEI Pharma, Inc.</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By:</w:t>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1/16/2024</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Agreement accepted: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1/16/2024</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-24765</wp:posOffset>
            </wp:positionV>
            <wp:extent cx="1987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Release Agreement</w:t>
      </w:r>
    </w:p>
    <w:p>
      <w:pPr>
        <w:spacing w:after="0" w:line="216" w:lineRule="exact"/>
        <w:rPr>
          <w:sz w:val="20"/>
          <w:szCs w:val="20"/>
          <w:color w:val="auto"/>
        </w:rPr>
      </w:pPr>
    </w:p>
    <w:p>
      <w:pPr>
        <w:jc w:val="both"/>
        <w:ind w:left="60" w:right="160"/>
        <w:spacing w:after="0" w:line="247" w:lineRule="auto"/>
        <w:rPr>
          <w:sz w:val="20"/>
          <w:szCs w:val="20"/>
          <w:color w:val="auto"/>
        </w:rPr>
      </w:pPr>
      <w:r>
        <w:rPr>
          <w:rFonts w:ascii="Times New Roman" w:cs="Times New Roman" w:eastAsia="Times New Roman" w:hAnsi="Times New Roman"/>
          <w:sz w:val="20"/>
          <w:szCs w:val="20"/>
          <w:color w:val="auto"/>
        </w:rPr>
        <w:t>This Release Agreement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dated [ ]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is made by you, Dr. Richard Ghalie, in connection with your separation from employment with MEI Pharma, Inc. and its affiliates (“</w:t>
      </w:r>
      <w:r>
        <w:rPr>
          <w:rFonts w:ascii="Times New Roman" w:cs="Times New Roman" w:eastAsia="Times New Roman" w:hAnsi="Times New Roman"/>
          <w:sz w:val="20"/>
          <w:szCs w:val="20"/>
          <w:b w:val="1"/>
          <w:bCs w:val="1"/>
          <w:color w:val="auto"/>
        </w:rPr>
        <w:t>MEI</w:t>
      </w:r>
      <w:r>
        <w:rPr>
          <w:rFonts w:ascii="Times New Roman" w:cs="Times New Roman" w:eastAsia="Times New Roman" w:hAnsi="Times New Roman"/>
          <w:sz w:val="20"/>
          <w:szCs w:val="20"/>
          <w:color w:val="auto"/>
        </w:rPr>
        <w:t>”). Throughout this Release, the term the “</w:t>
      </w:r>
      <w:r>
        <w:rPr>
          <w:rFonts w:ascii="Times New Roman" w:cs="Times New Roman" w:eastAsia="Times New Roman" w:hAnsi="Times New Roman"/>
          <w:sz w:val="20"/>
          <w:szCs w:val="20"/>
          <w:b w:val="1"/>
          <w:bCs w:val="1"/>
          <w:color w:val="auto"/>
        </w:rPr>
        <w:t>MEI</w:t>
      </w:r>
      <w:r>
        <w:rPr>
          <w:rFonts w:ascii="Times New Roman" w:cs="Times New Roman" w:eastAsia="Times New Roman" w:hAnsi="Times New Roman"/>
          <w:sz w:val="20"/>
          <w:szCs w:val="20"/>
          <w:color w:val="auto"/>
        </w:rPr>
        <w:t>” includes all affiliates and related entities, and their current and former trustees, officers, agents, employees, insurers and attorneys, and all other employee benefit plans and arrangements and their administrators, trustees and other fiduciaries, and all successors and assigns of all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-614045</wp:posOffset>
            </wp:positionV>
            <wp:extent cx="2470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247015" cy="8890"/>
                    </a:xfrm>
                    <a:prstGeom prst="rect">
                      <a:avLst/>
                    </a:prstGeom>
                    <a:noFill/>
                  </pic:spPr>
                </pic:pic>
              </a:graphicData>
            </a:graphic>
          </wp:anchor>
        </w:drawing>
      </w:r>
    </w:p>
    <w:p>
      <w:pPr>
        <w:spacing w:after="0" w:line="160" w:lineRule="exact"/>
        <w:rPr>
          <w:sz w:val="20"/>
          <w:szCs w:val="20"/>
          <w:color w:val="auto"/>
        </w:rPr>
      </w:pPr>
    </w:p>
    <w:p>
      <w:pPr>
        <w:jc w:val="both"/>
        <w:ind w:left="60" w:right="160"/>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Release of Claims. </w:t>
      </w:r>
      <w:r>
        <w:rPr>
          <w:rFonts w:ascii="Times New Roman" w:cs="Times New Roman" w:eastAsia="Times New Roman" w:hAnsi="Times New Roman"/>
          <w:sz w:val="19"/>
          <w:szCs w:val="19"/>
          <w:color w:val="auto"/>
        </w:rPr>
        <w:t>In exchange for the severance benefits described in your employment agreement with MEI dated [ , 2024]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Employment Agreement</w:t>
      </w:r>
      <w:r>
        <w:rPr>
          <w:rFonts w:ascii="Times New Roman" w:cs="Times New Roman" w:eastAsia="Times New Roman" w:hAnsi="Times New Roman"/>
          <w:sz w:val="19"/>
          <w:szCs w:val="19"/>
          <w:color w:val="auto"/>
        </w:rPr>
        <w:t>”) and other valuable consideration, you, on behalf of yourself, your heirs, successors and assigns, voluntarily and of your own free will, hereby forever release, discharge and hold harmless, MEI and each of its respective current and former subsidiaries, affiliates, related entities and parent companies, and each of their respective trustees, officers, employees, directors, owners, investors, insurers, attorneys, representatives, joint employers, agents, benefit plans and the fiduciaries and administrators of the benefit plans, from any and all claims, rights, causes of action and demands of whatever nature, whether known or unknown, that you had, have or may have against MEI or the other released parties arising from any act, event or omission which has occurred up through the date you execute this Release. This Release includes, but is not limited to, all claims arising out of your employment with MEI or the termination of that employment, and all claims arising under your Employment Agreement or arising under the Age Discrimination in Employment Act of 1967 (“</w:t>
      </w:r>
      <w:r>
        <w:rPr>
          <w:rFonts w:ascii="Times New Roman" w:cs="Times New Roman" w:eastAsia="Times New Roman" w:hAnsi="Times New Roman"/>
          <w:sz w:val="19"/>
          <w:szCs w:val="19"/>
          <w:b w:val="1"/>
          <w:bCs w:val="1"/>
          <w:color w:val="auto"/>
        </w:rPr>
        <w:t>ADEA</w:t>
      </w:r>
      <w:r>
        <w:rPr>
          <w:rFonts w:ascii="Times New Roman" w:cs="Times New Roman" w:eastAsia="Times New Roman" w:hAnsi="Times New Roman"/>
          <w:sz w:val="19"/>
          <w:szCs w:val="19"/>
          <w:color w:val="auto"/>
        </w:rPr>
        <w:t>”), the Older Workers Benefit Protection Act, the Americans with Disabilities Act, the Civil Rights Act of 1991, the Rehabilitation Act of 1973, the Employee Retirement Income Security Act of 1974, the Worker Adjustment and Retraining Notification Act, the Uniformed Services Employment and Reemployment Rights Act, the Employee Separation Income Security Act, the Equal Pay Act, the Genetic Information Non-discrimination Act, the Family and Medical Leave Act, Section 1981 of U.S.C., Title VII of the Civil Rights Act of 1964, as amended, the Fair Labor Standards Act, California’s Fair Employment and Housing Act, the Unruh Civil Rights Act, the California Business and Professions Code, California Equal Pay Law, California Whistleblower Protection Laws, California Family Rights Act, California Pregnancy Disability Leave Law, California Paid Sick Days, California Labor Code, California WARN law, any applicable California Industrial Welfare Commission Wage Orders, the Private Attorneys General Act, wrongful termination in violation of public policy (</w:t>
      </w:r>
      <w:r>
        <w:rPr>
          <w:rFonts w:ascii="Times New Roman" w:cs="Times New Roman" w:eastAsia="Times New Roman" w:hAnsi="Times New Roman"/>
          <w:sz w:val="19"/>
          <w:szCs w:val="19"/>
          <w:i w:val="1"/>
          <w:iCs w:val="1"/>
          <w:color w:val="auto"/>
        </w:rPr>
        <w:t>Tameny</w:t>
      </w:r>
      <w:r>
        <w:rPr>
          <w:rFonts w:ascii="Times New Roman" w:cs="Times New Roman" w:eastAsia="Times New Roman" w:hAnsi="Times New Roman"/>
          <w:sz w:val="19"/>
          <w:szCs w:val="19"/>
          <w:color w:val="auto"/>
        </w:rPr>
        <w:t xml:space="preserve"> claims), the California Constitution or any common law, as well as any claims arising under any foreign, federal, state or local statutes, regulations, ordinances, orders, directives and common law based on any theory now or hereinafter recognized, wrongful termination claims, breach of contract claims, discrimination claims, harassment claims, retaliation claims, claims for unpaid wages or other compensation, whistleblower claims (to the fullest extent they may be released under applicable law), defamation or other tort claims, fraud or misrepresentation, and claims for attorneys’ fees and costs. Notwithstanding the foregoing general releases, you acknowledge that you have not made any claims or allegations related to sexual harassment or sexual abuse, and none of the payments set forth as consideration in this Release are related to sexual harassment or sexual abuse.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6198235</wp:posOffset>
            </wp:positionH>
            <wp:positionV relativeFrom="paragraph">
              <wp:posOffset>-3385820</wp:posOffset>
            </wp:positionV>
            <wp:extent cx="876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87630" cy="8890"/>
                    </a:xfrm>
                    <a:prstGeom prst="rect">
                      <a:avLst/>
                    </a:prstGeom>
                    <a:noFill/>
                  </pic:spPr>
                </pic:pic>
              </a:graphicData>
            </a:graphic>
          </wp:anchor>
        </w:drawing>
      </w:r>
    </w:p>
    <w:p>
      <w:pPr>
        <w:spacing w:after="0" w:line="159" w:lineRule="exact"/>
        <w:rPr>
          <w:sz w:val="20"/>
          <w:szCs w:val="20"/>
          <w:color w:val="auto"/>
        </w:rPr>
      </w:pPr>
    </w:p>
    <w:p>
      <w:pPr>
        <w:jc w:val="both"/>
        <w:ind w:left="60" w:right="160"/>
        <w:spacing w:after="0" w:line="249" w:lineRule="auto"/>
        <w:rPr>
          <w:sz w:val="20"/>
          <w:szCs w:val="20"/>
          <w:color w:val="auto"/>
        </w:rPr>
      </w:pPr>
      <w:r>
        <w:rPr>
          <w:rFonts w:ascii="Times New Roman" w:cs="Times New Roman" w:eastAsia="Times New Roman" w:hAnsi="Times New Roman"/>
          <w:sz w:val="20"/>
          <w:szCs w:val="20"/>
          <w:color w:val="auto"/>
        </w:rPr>
        <w:t>You specifically acknowledge that you are aware of and familiar with the provisions of CALIFORNIA CIVIL CODE SECTION 1542, which provides as follows: A GENERAL RELEASE DOES NOT EXTEND TO CLAIMS THAT THE CREDITOR OR RELEASING PARTY DOES NOT KNOW OR SUSPECT TO EXIST IN HIS OR HER FAVOR AT THE TIME OF EXECUTING THE RELEASE AND THAT, IF KNOWN BY HIM OR HER, WOULD HAVE MATERIALLY AFFECTED HIS OR 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SETTLEMENT WITH THE DEBTOR OR RELEASED PARTY.</w:t>
      </w:r>
    </w:p>
    <w:p>
      <w:pPr>
        <w:spacing w:after="0" w:line="67" w:lineRule="exact"/>
        <w:rPr>
          <w:sz w:val="20"/>
          <w:szCs w:val="20"/>
          <w:color w:val="auto"/>
        </w:rPr>
      </w:pPr>
    </w:p>
    <w:p>
      <w:pPr>
        <w:jc w:val="both"/>
        <w:ind w:left="60" w:right="160"/>
        <w:spacing w:after="0" w:line="249" w:lineRule="auto"/>
        <w:rPr>
          <w:sz w:val="20"/>
          <w:szCs w:val="20"/>
          <w:color w:val="auto"/>
        </w:rPr>
      </w:pPr>
      <w:r>
        <w:rPr>
          <w:rFonts w:ascii="Times New Roman" w:cs="Times New Roman" w:eastAsia="Times New Roman" w:hAnsi="Times New Roman"/>
          <w:sz w:val="20"/>
          <w:szCs w:val="20"/>
          <w:color w:val="auto"/>
        </w:rPr>
        <w:t>For the purpose of implementing a full and complete release, you hereby expressly waive all rights and benefits you may have under this provision, as well as under any other statutes or common law principle of similar effect which provides any remedy of any kind and acknowledge that the release set forth in this Release is intended to include the discharge of all claims which you do not know or suspect to exist at the time this Release is effective. You agree and acknowledge that this is a knowing and voluntary waiver.</w:t>
      </w:r>
    </w:p>
    <w:p>
      <w:pPr>
        <w:spacing w:after="0" w:line="180" w:lineRule="exact"/>
        <w:rPr>
          <w:sz w:val="20"/>
          <w:szCs w:val="20"/>
          <w:color w:val="auto"/>
        </w:rPr>
      </w:pPr>
    </w:p>
    <w:p>
      <w:pPr>
        <w:jc w:val="both"/>
        <w:ind w:left="60" w:right="160"/>
        <w:spacing w:after="0" w:line="242" w:lineRule="auto"/>
        <w:rPr>
          <w:sz w:val="20"/>
          <w:szCs w:val="20"/>
          <w:color w:val="auto"/>
        </w:rPr>
      </w:pPr>
      <w:r>
        <w:rPr>
          <w:rFonts w:ascii="Times New Roman" w:cs="Times New Roman" w:eastAsia="Times New Roman" w:hAnsi="Times New Roman"/>
          <w:sz w:val="20"/>
          <w:szCs w:val="20"/>
          <w:color w:val="auto"/>
        </w:rPr>
        <w:t>You understand and acknowledge that you are waiving and releasing any rights you may have under the ADEA, and that this waiver and release is knowing and voluntary. You understand and agree that this waiver and release does not apply to any rights or claims that may arise under the ADEA after the Effective Date of this Release. You understand and acknowledge that the consideration given for this waiver and release is in addition to anything of value to which you were already entitled. You further understand and acknowledge that you have been advised by this writing that: (a) you should consult with an attorney prior to executing this Release; (b) you have twenty-one (21) days within which to consider this Release; (c) you have seven (7) days following your execution of this Release to revoke this Release; and (d) this Release shall not be effective until after the revocation period has expired. In the event you sign this Release and return it to MEI in less than the twenty-one (21) day period identified above, you do so knowingly and voluntarily, and you agree that your decision was not induced by MEI through fraud, misrepresentation or threat to withdraw or alter the offer. To revoke the Release, you must timely contact MEI’s Chief People Officer.</w:t>
      </w:r>
    </w:p>
    <w:p>
      <w:pPr>
        <w:spacing w:after="0" w:line="192" w:lineRule="exact"/>
        <w:rPr>
          <w:sz w:val="20"/>
          <w:szCs w:val="20"/>
          <w:color w:val="auto"/>
        </w:rPr>
      </w:pPr>
    </w:p>
    <w:p>
      <w:pPr>
        <w:jc w:val="both"/>
        <w:ind w:left="60" w:right="160"/>
        <w:spacing w:after="0" w:line="246" w:lineRule="auto"/>
        <w:rPr>
          <w:sz w:val="20"/>
          <w:szCs w:val="20"/>
          <w:color w:val="auto"/>
        </w:rPr>
      </w:pPr>
      <w:r>
        <w:rPr>
          <w:rFonts w:ascii="Times New Roman" w:cs="Times New Roman" w:eastAsia="Times New Roman" w:hAnsi="Times New Roman"/>
          <w:sz w:val="20"/>
          <w:szCs w:val="20"/>
          <w:color w:val="auto"/>
        </w:rPr>
        <w:t>Notwithstanding the foregoing, you are not waiving your right to (i) the Accrued Benefits (as defined in the Employment Agreement), (ii) claims for unemployment or workers’ compensation benefits, (iii) any medical or disability claim incurred during your employment that is payable under an applicable MEI medical or disability plan, (iv) any rights to indemnification and defense under applicable law, MEI’s bylaws and under directors and officers insurance with respect to your service as an employee, officer or Board member of MEI, (v) claims to enforce this Release, or (vi) claims that are not otherwise waivable under applicable law.</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Continuing Obligations</w:t>
      </w:r>
      <w:r>
        <w:rPr>
          <w:rFonts w:ascii="Times New Roman" w:cs="Times New Roman" w:eastAsia="Times New Roman" w:hAnsi="Times New Roman"/>
          <w:sz w:val="20"/>
          <w:szCs w:val="20"/>
          <w:color w:val="auto"/>
        </w:rPr>
        <w:t>. Whether or not you execute the Release:</w:t>
      </w:r>
    </w:p>
    <w:p>
      <w:pPr>
        <w:spacing w:after="0" w:line="108" w:lineRule="exact"/>
        <w:rPr>
          <w:sz w:val="20"/>
          <w:szCs w:val="20"/>
          <w:color w:val="auto"/>
        </w:rPr>
      </w:pPr>
    </w:p>
    <w:p>
      <w:pPr>
        <w:jc w:val="both"/>
        <w:ind w:left="800" w:right="160" w:hanging="373"/>
        <w:spacing w:after="0" w:line="246" w:lineRule="auto"/>
        <w:tabs>
          <w:tab w:leader="none" w:pos="8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Obligations Under the Employee Proprietary Information and Inventions Agreement</w:t>
      </w:r>
      <w:r>
        <w:rPr>
          <w:rFonts w:ascii="Times New Roman" w:cs="Times New Roman" w:eastAsia="Times New Roman" w:hAnsi="Times New Roman"/>
          <w:sz w:val="20"/>
          <w:szCs w:val="20"/>
          <w:color w:val="auto"/>
        </w:rPr>
        <w:t>. You acknowledge, and agree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comply with, the restrictive covenants and obligations of your Employee Proprietary Information and Inventions Agreement dated March 7, 2016 (“</w:t>
      </w:r>
      <w:r>
        <w:rPr>
          <w:rFonts w:ascii="Times New Roman" w:cs="Times New Roman" w:eastAsia="Times New Roman" w:hAnsi="Times New Roman"/>
          <w:sz w:val="20"/>
          <w:szCs w:val="20"/>
          <w:b w:val="1"/>
          <w:bCs w:val="1"/>
          <w:color w:val="auto"/>
        </w:rPr>
        <w:t>Proprietary Information Agreement</w:t>
      </w:r>
      <w:r>
        <w:rPr>
          <w:rFonts w:ascii="Times New Roman" w:cs="Times New Roman" w:eastAsia="Times New Roman" w:hAnsi="Times New Roman"/>
          <w:sz w:val="20"/>
          <w:szCs w:val="20"/>
          <w:color w:val="auto"/>
        </w:rPr>
        <w:t>”), and the Employment Agreement, each as amended from time to time; provided that, in the case of the Proprietary Information Agreement, you and MEI agree that the second sentence of Section 4 of the Proprietary Information Agreement (titled “Additional Activities”) relating to post-termination inducement of employees is void and will not be enforced by MEI.</w:t>
      </w:r>
    </w:p>
    <w:p>
      <w:pPr>
        <w:spacing w:after="0" w:line="178" w:lineRule="exact"/>
        <w:rPr>
          <w:rFonts w:ascii="Times New Roman" w:cs="Times New Roman" w:eastAsia="Times New Roman" w:hAnsi="Times New Roman"/>
          <w:sz w:val="20"/>
          <w:szCs w:val="20"/>
          <w:color w:val="auto"/>
        </w:rPr>
      </w:pPr>
    </w:p>
    <w:p>
      <w:pPr>
        <w:jc w:val="both"/>
        <w:ind w:left="800" w:right="160" w:hanging="373"/>
        <w:spacing w:after="0" w:line="256" w:lineRule="auto"/>
        <w:tabs>
          <w:tab w:leader="none" w:pos="8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Limits on Adverse Comments</w:t>
      </w:r>
      <w:r>
        <w:rPr>
          <w:rFonts w:ascii="Times New Roman" w:cs="Times New Roman" w:eastAsia="Times New Roman" w:hAnsi="Times New Roman"/>
          <w:sz w:val="20"/>
          <w:szCs w:val="20"/>
          <w:color w:val="auto"/>
        </w:rPr>
        <w:t>. Except as provided below, you agree that you will not make or authorize any written or oral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that are false, disparaging or defamatory about MEI or its affiliates or their respective directors, officers or employees.</w:t>
      </w:r>
    </w:p>
    <w:p>
      <w:pPr>
        <w:spacing w:after="0" w:line="168" w:lineRule="exact"/>
        <w:rPr>
          <w:rFonts w:ascii="Times New Roman" w:cs="Times New Roman" w:eastAsia="Times New Roman" w:hAnsi="Times New Roman"/>
          <w:sz w:val="20"/>
          <w:szCs w:val="20"/>
          <w:color w:val="auto"/>
        </w:rPr>
      </w:pPr>
    </w:p>
    <w:p>
      <w:pPr>
        <w:jc w:val="both"/>
        <w:ind w:left="800" w:right="160" w:hanging="373"/>
        <w:spacing w:after="0" w:line="246" w:lineRule="auto"/>
        <w:tabs>
          <w:tab w:leader="none" w:pos="8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Duty of Cooperation</w:t>
      </w:r>
      <w:r>
        <w:rPr>
          <w:rFonts w:ascii="Times New Roman" w:cs="Times New Roman" w:eastAsia="Times New Roman" w:hAnsi="Times New Roman"/>
          <w:sz w:val="20"/>
          <w:szCs w:val="20"/>
          <w:color w:val="auto"/>
        </w:rPr>
        <w:t>. You agree to reasonably cooperate with MEI and its counsel after the termination date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matter (including any litigation, investigation, or governmental proceeding) which relates to your employment with MEI. This cooperation may include appearing from time-to-time for conferences and interviews at mutually agreeable times and providing the officers of MEI and its counsel with the full benefit of your knowledge with respect to any such matter. MEI agrees to reimburse you for any reasonable out-of-pocket expenses incurred by you in connection with such cooperation and mutually agreed upon in advance by you and MEI.</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Return of Records and Equipment</w:t>
      </w:r>
      <w:r>
        <w:rPr>
          <w:rFonts w:ascii="Times New Roman" w:cs="Times New Roman" w:eastAsia="Times New Roman" w:hAnsi="Times New Roman"/>
          <w:sz w:val="20"/>
          <w:szCs w:val="20"/>
          <w:color w:val="auto"/>
        </w:rPr>
        <w:t>. On or before your termination date, you will return to MEI all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344" w:lineRule="exact"/>
        <w:rPr>
          <w:sz w:val="20"/>
          <w:szCs w:val="20"/>
          <w:color w:val="auto"/>
        </w:rPr>
      </w:pPr>
    </w:p>
    <w:p>
      <w:pPr>
        <w:jc w:val="both"/>
        <w:ind w:left="60" w:right="160"/>
        <w:spacing w:after="0" w:line="242" w:lineRule="auto"/>
        <w:rPr>
          <w:sz w:val="20"/>
          <w:szCs w:val="20"/>
          <w:color w:val="auto"/>
        </w:rPr>
      </w:pPr>
      <w:r>
        <w:rPr>
          <w:rFonts w:ascii="Times New Roman" w:cs="Times New Roman" w:eastAsia="Times New Roman" w:hAnsi="Times New Roman"/>
          <w:sz w:val="20"/>
          <w:szCs w:val="20"/>
          <w:color w:val="auto"/>
        </w:rPr>
        <w:t>documents, manuals, office equipment, credit cards and other things belonging to MEI which you have borrowed or which you possess or control. To the extent that you have made use of your own personal computing devices (e.g., PDA, laptop, thumbdrive, etc.) during employment with MEI, you agree to delete all MEI property and information from such personal computing devices, and/or permit MEI to remotely delete all MEI property and information from such personal computing devices; provided that information necessary for your continuing service as a member of the Board or as a consultant need not be deleted, subject to review by MEI. You authorize MEI to deduct from your paycheck or amounts paid under this Release any money owed to MEI as a result of items which are not returned or for loans or advances you have received and which remain unpaid, if you agreed to allow such deductions at the time the loans or advances were made, and such offset is legally permissible and compliant with Section 409A of the Internal Revenue Code. The obligations described herein are in addition to your obligations to return MEI documents and other property as set forth in the Proprietary Information Agreement.</w:t>
      </w:r>
    </w:p>
    <w:p>
      <w:pPr>
        <w:spacing w:after="0" w:line="67" w:lineRule="exact"/>
        <w:rPr>
          <w:sz w:val="20"/>
          <w:szCs w:val="20"/>
          <w:color w:val="auto"/>
        </w:rPr>
      </w:pPr>
    </w:p>
    <w:p>
      <w:pPr>
        <w:jc w:val="both"/>
        <w:ind w:left="60" w:right="160"/>
        <w:spacing w:after="0" w:line="256" w:lineRule="auto"/>
        <w:rPr>
          <w:sz w:val="20"/>
          <w:szCs w:val="20"/>
          <w:color w:val="auto"/>
        </w:rPr>
      </w:pPr>
      <w:r>
        <w:rPr>
          <w:rFonts w:ascii="Times New Roman" w:cs="Times New Roman" w:eastAsia="Times New Roman" w:hAnsi="Times New Roman"/>
          <w:sz w:val="19"/>
          <w:szCs w:val="19"/>
          <w:b w:val="1"/>
          <w:bCs w:val="1"/>
          <w:color w:val="auto"/>
        </w:rPr>
        <w:t>Reports to Government Entities/Permitted Disclosures</w:t>
      </w:r>
      <w:r>
        <w:rPr>
          <w:rFonts w:ascii="Times New Roman" w:cs="Times New Roman" w:eastAsia="Times New Roman" w:hAnsi="Times New Roman"/>
          <w:sz w:val="19"/>
          <w:szCs w:val="19"/>
          <w:color w:val="auto"/>
        </w:rPr>
        <w:t>. Nothing in this Release restricts or prohibits you from initiating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without limitation the Equal Employment Opportunity Commission, or from making other disclosures that are protected under the whistleblower provisions of state or federal law or regulation. However, you are waiving your right to receive any individual monetary relief from MEI or any others covered by the Release of Claims resulting from such claims, regardless of whether you or another party has filed them, and in the event you obtain such monetary relief, MEI will be entitled to an offset for the payments made pursuant to this Release, except where such limitations are prohibited as a matter of law. In addition, nothing in this Release waives your right to testify in an administrative, legislative, or judicial proceeding concerning alleged criminal conduct or sexual harassment if required or requested to attend the proceeding pursuant to a court order, subpoena, or written request from an administrative agency or the legislature or prevents you from discussing or disclosing information about unlawful acts or conduct in the workplace, such as harassment or discrimination or any other conduct that you have reason to believe is unlawful.</w:t>
      </w:r>
    </w:p>
    <w:p>
      <w:pPr>
        <w:spacing w:after="0" w:line="70" w:lineRule="exact"/>
        <w:rPr>
          <w:sz w:val="20"/>
          <w:szCs w:val="20"/>
          <w:color w:val="auto"/>
        </w:rPr>
      </w:pPr>
    </w:p>
    <w:p>
      <w:pPr>
        <w:jc w:val="both"/>
        <w:ind w:left="60" w:right="160"/>
        <w:spacing w:after="0" w:line="249" w:lineRule="auto"/>
        <w:rPr>
          <w:sz w:val="20"/>
          <w:szCs w:val="20"/>
          <w:color w:val="auto"/>
        </w:rPr>
      </w:pPr>
      <w:r>
        <w:rPr>
          <w:rFonts w:ascii="Times New Roman" w:cs="Times New Roman" w:eastAsia="Times New Roman" w:hAnsi="Times New Roman"/>
          <w:sz w:val="20"/>
          <w:szCs w:val="20"/>
          <w:color w:val="auto"/>
        </w:rPr>
        <w:t>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54" w:lineRule="exact"/>
        <w:rPr>
          <w:sz w:val="20"/>
          <w:szCs w:val="20"/>
          <w:color w:val="auto"/>
        </w:rPr>
      </w:pPr>
    </w:p>
    <w:p>
      <w:pPr>
        <w:jc w:val="both"/>
        <w:ind w:left="60" w:right="180"/>
        <w:spacing w:after="0" w:line="273" w:lineRule="auto"/>
        <w:rPr>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Notices and all other communications provided for in this Release shall be delivered (a) to you, at the last address maintained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MEI’s records, and (b) to MEI, by delivering such notice or communications to the individual and at the address set forth below.</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MEI Pharma, Inc.</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11455 El Camino Real, Suite 250 San Diego, CA 92130</w:t>
      </w:r>
    </w:p>
    <w:p>
      <w:pPr>
        <w:jc w:val="center"/>
        <w:ind w:right="120"/>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203" w:lineRule="exact"/>
        <w:rPr>
          <w:sz w:val="20"/>
          <w:szCs w:val="20"/>
          <w:color w:val="auto"/>
        </w:rPr>
      </w:pPr>
    </w:p>
    <w:p>
      <w:pPr>
        <w:jc w:val="both"/>
        <w:ind w:left="60" w:right="1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Medicare Disclaimer. </w:t>
      </w:r>
      <w:r>
        <w:rPr>
          <w:rFonts w:ascii="Times New Roman" w:cs="Times New Roman" w:eastAsia="Times New Roman" w:hAnsi="Times New Roman"/>
          <w:sz w:val="20"/>
          <w:szCs w:val="20"/>
          <w:color w:val="auto"/>
        </w:rPr>
        <w:t>You represent that you are not a Medicare beneficiary as of the time you enter into this Release. To the extent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are a Medicare beneficiary, you agree to contact a MEI Human Resources Representative for further instruction.</w:t>
      </w:r>
    </w:p>
    <w:p>
      <w:pPr>
        <w:spacing w:after="0" w:line="3" w:lineRule="exact"/>
        <w:rPr>
          <w:sz w:val="20"/>
          <w:szCs w:val="20"/>
          <w:color w:val="auto"/>
        </w:rPr>
      </w:pPr>
    </w:p>
    <w:p>
      <w:pPr>
        <w:jc w:val="both"/>
        <w:ind w:left="60" w:right="1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Limit on Disclosures. </w:t>
      </w:r>
      <w:r>
        <w:rPr>
          <w:rFonts w:ascii="Times New Roman" w:cs="Times New Roman" w:eastAsia="Times New Roman" w:hAnsi="Times New Roman"/>
          <w:sz w:val="20"/>
          <w:szCs w:val="20"/>
          <w:color w:val="auto"/>
        </w:rPr>
        <w:t>You shall not disclose or cause to be disclosed the terms of this Release to any person (other than your spouse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domestic/civil union partner, attorney and tax advisor), except pursuant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344" w:lineRule="exact"/>
        <w:rPr>
          <w:sz w:val="20"/>
          <w:szCs w:val="20"/>
          <w:color w:val="auto"/>
        </w:rPr>
      </w:pPr>
    </w:p>
    <w:p>
      <w:pPr>
        <w:jc w:val="both"/>
        <w:ind w:left="60" w:right="160"/>
        <w:spacing w:after="0" w:line="254" w:lineRule="auto"/>
        <w:rPr>
          <w:sz w:val="20"/>
          <w:szCs w:val="20"/>
          <w:color w:val="auto"/>
        </w:rPr>
      </w:pPr>
      <w:r>
        <w:rPr>
          <w:rFonts w:ascii="Times New Roman" w:cs="Times New Roman" w:eastAsia="Times New Roman" w:hAnsi="Times New Roman"/>
          <w:sz w:val="20"/>
          <w:szCs w:val="20"/>
          <w:color w:val="auto"/>
        </w:rPr>
        <w:t>to a lawful subpoena, as set forth in the Reports to Government Entities clause above or as otherwise permitted by law or as reasonably necessary to enforce your rights under your Employment Agreement or equity arrangements with MEI. This provision is not intended to restrict your legal right to discuss the terms and conditions of your employment.</w:t>
      </w:r>
    </w:p>
    <w:p>
      <w:pPr>
        <w:spacing w:after="0" w:line="170" w:lineRule="exact"/>
        <w:rPr>
          <w:sz w:val="20"/>
          <w:szCs w:val="20"/>
          <w:color w:val="auto"/>
        </w:rPr>
      </w:pPr>
    </w:p>
    <w:p>
      <w:pPr>
        <w:jc w:val="both"/>
        <w:ind w:left="60" w:right="1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Nonadmission of Liability. </w:t>
      </w:r>
      <w:r>
        <w:rPr>
          <w:rFonts w:ascii="Times New Roman" w:cs="Times New Roman" w:eastAsia="Times New Roman" w:hAnsi="Times New Roman"/>
          <w:sz w:val="20"/>
          <w:szCs w:val="20"/>
          <w:color w:val="auto"/>
        </w:rPr>
        <w:t>You agree that this Release shall not be construed or used as, and is not evidence of, any admission by MEI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the other released parties of any violation of any federal, state or local statute, ordinance or regulation, any wrongdoing.</w:t>
      </w:r>
    </w:p>
    <w:p>
      <w:pPr>
        <w:spacing w:after="0" w:line="152" w:lineRule="exact"/>
        <w:rPr>
          <w:sz w:val="20"/>
          <w:szCs w:val="20"/>
          <w:color w:val="auto"/>
        </w:rPr>
      </w:pPr>
    </w:p>
    <w:p>
      <w:pPr>
        <w:jc w:val="both"/>
        <w:ind w:left="60" w:right="1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No Other Amounts Due. </w:t>
      </w:r>
      <w:r>
        <w:rPr>
          <w:rFonts w:ascii="Times New Roman" w:cs="Times New Roman" w:eastAsia="Times New Roman" w:hAnsi="Times New Roman"/>
          <w:sz w:val="20"/>
          <w:szCs w:val="20"/>
          <w:color w:val="auto"/>
        </w:rPr>
        <w:t>You acknowledge that MEI has paid you all wages, salaries, bonuses, benefits and other amounts earned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accrued, less applicable deductions as of the date of this Release, and that MEI has no obligation to pay any additional amounts to you, including pursuant to the Employment Agreement, or any MEI plan or program, or otherwise, other than the payment(s) described in the Consideration clause of this Release.</w:t>
      </w:r>
    </w:p>
    <w:p>
      <w:pPr>
        <w:spacing w:after="0" w:line="176" w:lineRule="exact"/>
        <w:rPr>
          <w:sz w:val="20"/>
          <w:szCs w:val="20"/>
          <w:color w:val="auto"/>
        </w:rPr>
      </w:pPr>
    </w:p>
    <w:p>
      <w:pPr>
        <w:jc w:val="both"/>
        <w:ind w:left="60" w:right="16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No Inducements/Waiver/Severability/Construction. </w:t>
      </w:r>
      <w:r>
        <w:rPr>
          <w:rFonts w:ascii="Times New Roman" w:cs="Times New Roman" w:eastAsia="Times New Roman" w:hAnsi="Times New Roman"/>
          <w:sz w:val="20"/>
          <w:szCs w:val="20"/>
          <w:color w:val="auto"/>
        </w:rPr>
        <w:t>You agree that no MEI representative has made any representation or inducement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you relating to this Release that is not expressed herein. The failure of either party to enforce any provision of this Release will not constitute a waiver of that party’s right to subsequently enforce such provision or any other provision in this Release. If any provision of this Release is held to be invalid, void, or unenforceable, in whole or in part, by a court of competent jurisdiction, the parties agree that such provision shall be reformed or modified by such court so as to be rendered enforceable, to the maximum extent permitted by law. If any such provision cannot be reformed or modified, such invalid, void or unenforceable provision will be severed from this Release, and the remaining provisions will nevertheless continue in full force and effect without being impaired or invalidated in any way. The language of this Release shall not be construed strictly for or against any party, but rather according to its fair meaning.</w:t>
      </w:r>
    </w:p>
    <w:p>
      <w:pPr>
        <w:spacing w:after="0" w:line="182" w:lineRule="exact"/>
        <w:rPr>
          <w:sz w:val="20"/>
          <w:szCs w:val="20"/>
          <w:color w:val="auto"/>
        </w:rPr>
      </w:pPr>
    </w:p>
    <w:p>
      <w:pPr>
        <w:jc w:val="both"/>
        <w:ind w:left="60" w:right="1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Successors and Assigns. </w:t>
      </w:r>
      <w:r>
        <w:rPr>
          <w:rFonts w:ascii="Times New Roman" w:cs="Times New Roman" w:eastAsia="Times New Roman" w:hAnsi="Times New Roman"/>
          <w:sz w:val="20"/>
          <w:szCs w:val="20"/>
          <w:color w:val="auto"/>
        </w:rPr>
        <w:t>This Release shall bind the heirs, administrators, executors, successors and assigns of each party,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releases herein shall inure to the benefit of MEI’s and the other released parties’ successors and assigns. You agree that you have not assigned any of the claims you are releasing herein to any third party.</w:t>
      </w:r>
    </w:p>
    <w:p>
      <w:pPr>
        <w:spacing w:after="0" w:line="169" w:lineRule="exact"/>
        <w:rPr>
          <w:sz w:val="20"/>
          <w:szCs w:val="20"/>
          <w:color w:val="auto"/>
        </w:rPr>
      </w:pPr>
    </w:p>
    <w:p>
      <w:pPr>
        <w:jc w:val="both"/>
        <w:ind w:left="60" w:right="1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Entire Agreement/No Oral Modification. </w:t>
      </w:r>
      <w:r>
        <w:rPr>
          <w:rFonts w:ascii="Times New Roman" w:cs="Times New Roman" w:eastAsia="Times New Roman" w:hAnsi="Times New Roman"/>
          <w:sz w:val="20"/>
          <w:szCs w:val="20"/>
          <w:color w:val="auto"/>
        </w:rPr>
        <w:t>This Release sets forth the entire understanding and agreement of the parties as to the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matter herein and fully supersedes all prior and contemporaneous understandings and agreements between the parties pertaining to the subject matter herein. This Release may not be modified, altered or changed except in a written document signed by you and an authorized representative of MEI.</w:t>
      </w:r>
    </w:p>
    <w:p>
      <w:pPr>
        <w:spacing w:after="0" w:line="176" w:lineRule="exact"/>
        <w:rPr>
          <w:sz w:val="20"/>
          <w:szCs w:val="20"/>
          <w:color w:val="auto"/>
        </w:rPr>
      </w:pPr>
    </w:p>
    <w:p>
      <w:pPr>
        <w:jc w:val="both"/>
        <w:ind w:left="60" w:right="1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Signature. </w:t>
      </w:r>
      <w:r>
        <w:rPr>
          <w:rFonts w:ascii="Times New Roman" w:cs="Times New Roman" w:eastAsia="Times New Roman" w:hAnsi="Times New Roman"/>
          <w:sz w:val="20"/>
          <w:szCs w:val="20"/>
          <w:color w:val="auto"/>
        </w:rPr>
        <w:t>You acknowledge that you have read this Release and you understand it, that you have had twenty-one (21) days to consider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of this Release and consult with an attorney if desired, and that you sign it with the intent to be legally bound.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tabs>
          <w:tab w:leader="none" w:pos="1620" w:val="left"/>
        </w:tabs>
        <w:rPr>
          <w:sz w:val="20"/>
          <w:szCs w:val="20"/>
          <w:color w:val="auto"/>
        </w:rPr>
      </w:pPr>
      <w:r>
        <w:rPr>
          <w:rFonts w:ascii="Times New Roman" w:cs="Times New Roman" w:eastAsia="Times New Roman" w:hAnsi="Times New Roman"/>
          <w:sz w:val="20"/>
          <w:szCs w:val="20"/>
          <w:color w:val="auto"/>
        </w:rPr>
        <w:t>Employee: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-10795</wp:posOffset>
            </wp:positionV>
            <wp:extent cx="2095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209550" cy="8890"/>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-10795</wp:posOffset>
            </wp:positionV>
            <wp:extent cx="1987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19875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3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Proprietary Information Agreement</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i w:val="1"/>
          <w:iCs w:val="1"/>
          <w:color w:val="auto"/>
        </w:rPr>
        <w:t>Attached</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507365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0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Urso, certify that:</w:t>
      </w:r>
    </w:p>
    <w:p>
      <w:pPr>
        <w:spacing w:after="0" w:line="117"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MEI Pharma,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312" w:lineRule="auto"/>
        <w:tabs>
          <w:tab w:leader="none" w:pos="5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ind w:left="520" w:right="26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000" w:val="left"/>
        </w:tabs>
        <w:rPr>
          <w:sz w:val="20"/>
          <w:szCs w:val="20"/>
          <w:color w:val="auto"/>
        </w:rPr>
      </w:pPr>
      <w:r>
        <w:rPr>
          <w:rFonts w:ascii="Times New Roman" w:cs="Times New Roman" w:eastAsia="Times New Roman" w:hAnsi="Times New Roman"/>
          <w:sz w:val="18"/>
          <w:szCs w:val="18"/>
          <w:color w:val="auto"/>
        </w:rPr>
        <w:t>Date: February 13, 2024</w:t>
      </w:r>
      <w:r>
        <w:rPr>
          <w:sz w:val="20"/>
          <w:szCs w:val="20"/>
          <w:color w:val="auto"/>
        </w:rPr>
        <w:tab/>
      </w:r>
      <w:r>
        <w:rPr>
          <w:rFonts w:ascii="Times New Roman" w:cs="Times New Roman" w:eastAsia="Times New Roman" w:hAnsi="Times New Roman"/>
          <w:sz w:val="17"/>
          <w:szCs w:val="17"/>
          <w:color w:val="auto"/>
        </w:rPr>
        <w:t>/s/ David M. Urso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089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David M. Urso</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MEI Pharma,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312" w:lineRule="auto"/>
        <w:tabs>
          <w:tab w:leader="none" w:pos="5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ind w:left="520" w:right="26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000" w:val="left"/>
        </w:tabs>
        <w:rPr>
          <w:sz w:val="20"/>
          <w:szCs w:val="20"/>
          <w:color w:val="auto"/>
        </w:rPr>
      </w:pPr>
      <w:r>
        <w:rPr>
          <w:rFonts w:ascii="Times New Roman" w:cs="Times New Roman" w:eastAsia="Times New Roman" w:hAnsi="Times New Roman"/>
          <w:sz w:val="18"/>
          <w:szCs w:val="18"/>
          <w:color w:val="auto"/>
        </w:rPr>
        <w:t>Date: February 13, 2024</w:t>
      </w:r>
      <w:r>
        <w:rPr>
          <w:sz w:val="20"/>
          <w:szCs w:val="20"/>
          <w:color w:val="auto"/>
        </w:rPr>
        <w:tab/>
      </w:r>
      <w:r>
        <w:rPr>
          <w:rFonts w:ascii="Times New Roman" w:cs="Times New Roman" w:eastAsia="Times New Roman" w:hAnsi="Times New Roman"/>
          <w:sz w:val="17"/>
          <w:szCs w:val="17"/>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08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Justin J. File</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and Section 1350 of Chapter 63 of Title 18 of the United States Code (18 U.S.C. § 1350), David M. Urso, the President and Chief Executive Officer of MEI Pharma, Inc. (the “Registrant”), and Justin J. File, the Chief Financial Officer of the Registrant, each hereby certifies that, to his knowledge:</w:t>
      </w:r>
    </w:p>
    <w:p>
      <w:pPr>
        <w:spacing w:after="0" w:line="68" w:lineRule="exact"/>
        <w:rPr>
          <w:sz w:val="20"/>
          <w:szCs w:val="20"/>
          <w:color w:val="auto"/>
        </w:rPr>
      </w:pPr>
    </w:p>
    <w:p>
      <w:pPr>
        <w:ind w:left="520" w:right="60" w:hanging="512"/>
        <w:spacing w:after="0" w:line="312" w:lineRule="auto"/>
        <w:tabs>
          <w:tab w:leader="none" w:pos="5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Quarterly Report on Form 10-Q for the period ended December 31, 2023, (the “Form 10-Q”) to which this Certification is attached as Exhibit 32.1, fully complies with the requirements of Section 13(a) or Section 15(d) of the Securities Exchange Act of 1934, as amended; and</w:t>
      </w:r>
    </w:p>
    <w:p>
      <w:pPr>
        <w:spacing w:after="0" w:line="31" w:lineRule="exact"/>
        <w:rPr>
          <w:rFonts w:ascii="Times New Roman" w:cs="Times New Roman" w:eastAsia="Times New Roman" w:hAnsi="Times New Roman"/>
          <w:sz w:val="17"/>
          <w:szCs w:val="17"/>
          <w:color w:val="auto"/>
        </w:rPr>
      </w:pPr>
    </w:p>
    <w:p>
      <w:pPr>
        <w:ind w:left="520" w:right="6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2024</w:t>
            </w:r>
          </w:p>
        </w:tc>
        <w:tc>
          <w:tcPr>
            <w:tcW w:w="6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6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 Urso</w:t>
            </w:r>
          </w:p>
        </w:tc>
        <w:tc>
          <w:tcPr>
            <w:tcW w:w="66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Justin J. File</w:t>
            </w:r>
          </w:p>
        </w:tc>
      </w:tr>
      <w:tr>
        <w:trPr>
          <w:trHeight w:val="211"/>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 Urso</w:t>
            </w:r>
          </w:p>
        </w:tc>
        <w:tc>
          <w:tcPr>
            <w:tcW w:w="6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Justin J. File</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6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08"/>
        </w:trPr>
        <w:tc>
          <w:tcPr>
            <w:tcW w:w="5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lvl w:ilvl="1">
      <w:lvlJc w:val="left"/>
      <w:lvlText w:val="(%2)"/>
      <w:numFmt w:val="decimal"/>
      <w:start w:val="1"/>
    </w:lvl>
  </w:abstractNum>
  <w:abstractNum w:abstractNumId="3">
    <w:nsid w:val="721DA317"/>
    <w:multiLevelType w:val="hybridMultilevel"/>
    <w:lvl w:ilvl="0">
      <w:lvlJc w:val="left"/>
      <w:lvlText w:val="%1."/>
      <w:numFmt w:val="decimal"/>
      <w:start w:val="4"/>
    </w:lvl>
    <w:lvl w:ilvl="1">
      <w:lvlJc w:val="left"/>
      <w:lvlText w:val="%2"/>
      <w:numFmt w:val="decimal"/>
      <w:start w:val="1"/>
    </w:lvl>
  </w:abstractNum>
  <w:abstractNum w:abstractNumId="4">
    <w:nsid w:val="2443A858"/>
    <w:multiLevelType w:val="hybridMultilevel"/>
    <w:lvl w:ilvl="0">
      <w:lvlJc w:val="left"/>
      <w:lvlText w:val="%1."/>
      <w:numFmt w:val="decimal"/>
      <w:start w:val="10"/>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04"/>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upperLetter"/>
      <w:start w:val="9"/>
    </w:lvl>
  </w:abstractNum>
  <w:abstractNum w:abstractNumId="21">
    <w:nsid w:val="7C3DBD3D"/>
    <w:multiLevelType w:val="hybridMultilevel"/>
    <w:lvl w:ilvl="0">
      <w:lvlJc w:val="left"/>
      <w:lvlText w:val="%1."/>
      <w:numFmt w:val="upperLetter"/>
      <w:start w:val="35"/>
    </w:lvl>
    <w:lvl w:ilvl="1">
      <w:lvlJc w:val="left"/>
      <w:lvlText w:val="%2"/>
      <w:numFmt w:val="upperLetter"/>
      <w:start w:val="1"/>
    </w:lvl>
  </w:abstractNum>
  <w:abstractNum w:abstractNumId="22">
    <w:nsid w:val="737B8DDC"/>
    <w:multiLevelType w:val="hybridMultilevel"/>
    <w:lvl w:ilvl="0">
      <w:lvlJc w:val="left"/>
      <w:lvlText w:val="%1."/>
      <w:numFmt w:val="upperLetter"/>
      <w:start w:val="61"/>
    </w:lvl>
    <w:lvl w:ilvl="1">
      <w:lvlJc w:val="left"/>
      <w:lvlText w:val="%2"/>
      <w:numFmt w:val="upperLetter"/>
      <w:start w:val="1"/>
    </w:lvl>
  </w:abstractNum>
  <w:abstractNum w:abstractNumId="23">
    <w:nsid w:val="6CEAF087"/>
    <w:multiLevelType w:val="hybridMultilevel"/>
    <w:lvl w:ilvl="0">
      <w:lvlJc w:val="left"/>
      <w:lvlText w:val="(%1)"/>
      <w:numFmt w:val="lowerRoman"/>
      <w:start w:val="4"/>
    </w:lvl>
  </w:abstractNum>
  <w:abstractNum w:abstractNumId="24">
    <w:nsid w:val="22221A70"/>
    <w:multiLevelType w:val="hybridMultilevel"/>
    <w:lvl w:ilvl="0">
      <w:lvlJc w:val="left"/>
      <w:lvlText w:val="(%1)"/>
      <w:numFmt w:val="lowerRoman"/>
      <w:start w:val="2"/>
    </w:lvl>
  </w:abstractNum>
  <w:abstractNum w:abstractNumId="25">
    <w:nsid w:val="4516DDE9"/>
    <w:multiLevelType w:val="hybridMultilevel"/>
    <w:lvl w:ilvl="0">
      <w:lvlJc w:val="left"/>
      <w:lvlText w:val="(%1)"/>
      <w:numFmt w:val="lowerLetter"/>
      <w:start w:val="5"/>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3"/>
    </w:lvl>
  </w:abstractNum>
  <w:abstractNum w:abstractNumId="28">
    <w:nsid w:val="419AC241"/>
    <w:multiLevelType w:val="hybridMultilevel"/>
    <w:lvl w:ilvl="0">
      <w:lvlJc w:val="left"/>
      <w:lvlText w:val="%1."/>
      <w:numFmt w:val="decimal"/>
      <w:start w:val="1"/>
    </w:lvl>
    <w:lvl w:ilvl="1">
      <w:lvlJc w:val="left"/>
      <w:lvlText w:val="%2."/>
      <w:numFmt w:val="lowerLetter"/>
      <w:start w:val="1"/>
    </w:lvl>
  </w:abstractNum>
  <w:abstractNum w:abstractNumId="29">
    <w:nsid w:val="5577F8E1"/>
    <w:multiLevelType w:val="hybridMultilevel"/>
    <w:lvl w:ilvl="0">
      <w:lvlJc w:val="left"/>
      <w:lvlText w:val="%1."/>
      <w:numFmt w:val="lowerLetter"/>
      <w:start w:val="3"/>
    </w:lvl>
  </w:abstractNum>
  <w:abstractNum w:abstractNumId="30">
    <w:nsid w:val="440BADFC"/>
    <w:multiLevelType w:val="hybridMultilevel"/>
    <w:lvl w:ilvl="0">
      <w:lvlJc w:val="left"/>
      <w:lvlText w:val="%1."/>
      <w:numFmt w:val="decimal"/>
      <w:start w:val="5"/>
    </w:lvl>
  </w:abstractNum>
  <w:abstractNum w:abstractNumId="31">
    <w:nsid w:val="5072367"/>
    <w:multiLevelType w:val="hybridMultilevel"/>
    <w:lvl w:ilvl="0">
      <w:lvlJc w:val="left"/>
      <w:lvlText w:val="%1."/>
      <w:numFmt w:val="decimal"/>
      <w:start w:val="1"/>
    </w:lvl>
    <w:lvl w:ilvl="1">
      <w:lvlJc w:val="left"/>
      <w:lvlText w:val="%2."/>
      <w:numFmt w:val="lowerLetter"/>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2"/>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jpe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08" Type="http://schemas.openxmlformats.org/officeDocument/2006/relationships/hyperlink" Target="https://www.sec.gov/Archives/edgar/data/1262104/000119312523249423/d559817dex31.htm" TargetMode="External"/><Relationship Id="rId209" Type="http://schemas.openxmlformats.org/officeDocument/2006/relationships/hyperlink" Target="https://www.sec.gov/Archives/edgar/data/1262104/000095017023072612/meip-ex3_1.htm" TargetMode="External"/><Relationship Id="rId210" Type="http://schemas.openxmlformats.org/officeDocument/2006/relationships/hyperlink" Target="https://www.sec.gov/Archives/edgar/data/1262104/000119312523249423/d559817dex41.htm" TargetMode="External"/><Relationship Id="rId211" Type="http://schemas.openxmlformats.org/officeDocument/2006/relationships/hyperlink" Target="https://www.sec.gov/Archives/edgar/data/1262104/000119312523189610/d529233dex101.htm" TargetMode="External"/><Relationship Id="rId212" Type="http://schemas.openxmlformats.org/officeDocument/2006/relationships/hyperlink" Target="https://www.sec.gov/Archives/edgar/data/1262104/000119312523191945/d442693dex101.htm" TargetMode="External"/><Relationship Id="rId213" Type="http://schemas.openxmlformats.org/officeDocument/2006/relationships/hyperlink" Target="https://www.sec.gov/Archives/edgar/data/1262104/000119312523268167/d5149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2024-02-13T16:52:27Z</dcterms:created>
  <dcterms:modified xsi:type="dcterms:W3CDTF">2024-02-13T16:52:27Z</dcterms:modified>
</cp:coreProperties>
</file>