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80" w:right="1620" w:hanging="3659"/>
        <w:spacing w:after="0" w:line="376" w:lineRule="auto"/>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December 31, 2021</w:t>
      </w:r>
    </w:p>
    <w:p>
      <w:pPr>
        <w:spacing w:after="0" w:line="27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8890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jc w:val="center"/>
              <w:ind w:left="202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60" w:type="dxa"/>
            <w:vAlign w:val="bottom"/>
          </w:tcPr>
          <w:p>
            <w:pPr>
              <w:jc w:val="center"/>
              <w:ind w:right="1468"/>
              <w:spacing w:after="0"/>
              <w:rPr>
                <w:sz w:val="20"/>
                <w:szCs w:val="20"/>
                <w:color w:val="auto"/>
              </w:rPr>
            </w:pPr>
            <w:r>
              <w:rPr>
                <w:rFonts w:ascii="Arial" w:cs="Arial" w:eastAsia="Arial" w:hAnsi="Arial"/>
                <w:sz w:val="16"/>
                <w:szCs w:val="16"/>
                <w:b w:val="1"/>
                <w:bCs w:val="1"/>
                <w:color w:val="auto"/>
                <w:w w:val="91"/>
              </w:rPr>
              <w:t>51-0407811</w:t>
            </w:r>
          </w:p>
        </w:tc>
        <w:tc>
          <w:tcPr>
            <w:tcW w:w="0" w:type="dxa"/>
            <w:vAlign w:val="bottom"/>
          </w:tcPr>
          <w:p>
            <w:pPr>
              <w:spacing w:after="0"/>
              <w:rPr>
                <w:sz w:val="1"/>
                <w:szCs w:val="1"/>
                <w:color w:val="auto"/>
              </w:rPr>
            </w:pPr>
          </w:p>
        </w:tc>
      </w:tr>
      <w:tr>
        <w:trPr>
          <w:trHeight w:val="126"/>
        </w:trPr>
        <w:tc>
          <w:tcPr>
            <w:tcW w:w="3860" w:type="dxa"/>
            <w:vAlign w:val="bottom"/>
          </w:tcPr>
          <w:p>
            <w:pPr>
              <w:jc w:val="center"/>
              <w:ind w:left="2008"/>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960" w:type="dxa"/>
            <w:vAlign w:val="bottom"/>
          </w:tcPr>
          <w:p>
            <w:pPr>
              <w:jc w:val="center"/>
              <w:ind w:right="1468"/>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860" w:type="dxa"/>
            <w:vAlign w:val="bottom"/>
          </w:tcPr>
          <w:p>
            <w:pPr>
              <w:jc w:val="center"/>
              <w:ind w:left="2028"/>
              <w:spacing w:after="0"/>
              <w:rPr>
                <w:sz w:val="20"/>
                <w:szCs w:val="20"/>
                <w:color w:val="auto"/>
              </w:rPr>
            </w:pPr>
            <w:r>
              <w:rPr>
                <w:rFonts w:ascii="Arial" w:cs="Arial" w:eastAsia="Arial" w:hAnsi="Arial"/>
                <w:sz w:val="13"/>
                <w:szCs w:val="13"/>
                <w:b w:val="1"/>
                <w:bCs w:val="1"/>
                <w:color w:val="auto"/>
                <w:w w:val="88"/>
              </w:rPr>
              <w:t>incorporation or organization)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44"/>
        </w:trPr>
        <w:tc>
          <w:tcPr>
            <w:tcW w:w="3860" w:type="dxa"/>
            <w:vAlign w:val="bottom"/>
          </w:tcPr>
          <w:p>
            <w:pPr>
              <w:spacing w:after="0"/>
              <w:rPr>
                <w:sz w:val="24"/>
                <w:szCs w:val="2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6"/>
                <w:szCs w:val="16"/>
                <w:b w:val="1"/>
                <w:bCs w:val="1"/>
                <w:color w:val="auto"/>
                <w:w w:val="92"/>
              </w:rPr>
              <w:t>11455 El Camino Real, San Diego, CA 92130</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46"/>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860" w:type="dxa"/>
            <w:vAlign w:val="bottom"/>
          </w:tcPr>
          <w:p>
            <w:pPr>
              <w:spacing w:after="0"/>
              <w:rPr>
                <w:sz w:val="22"/>
                <w:szCs w:val="22"/>
                <w:color w:val="auto"/>
              </w:rPr>
            </w:pPr>
          </w:p>
        </w:tc>
        <w:tc>
          <w:tcPr>
            <w:tcW w:w="2340" w:type="dxa"/>
            <w:vAlign w:val="bottom"/>
            <w:gridSpan w:val="5"/>
          </w:tcPr>
          <w:p>
            <w:pPr>
              <w:jc w:val="center"/>
              <w:ind w:left="1126"/>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1"/>
                <w:szCs w:val="21"/>
                <w:color w:val="auto"/>
              </w:rPr>
            </w:pPr>
          </w:p>
        </w:tc>
        <w:tc>
          <w:tcPr>
            <w:tcW w:w="7380" w:type="dxa"/>
            <w:vAlign w:val="bottom"/>
            <w:gridSpan w:val="8"/>
          </w:tcPr>
          <w:p>
            <w:pPr>
              <w:ind w:left="8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3"/>
        </w:trPr>
        <w:tc>
          <w:tcPr>
            <w:tcW w:w="38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7"/>
              </w:rPr>
              <w:t>Trading</w:t>
            </w:r>
          </w:p>
        </w:tc>
        <w:tc>
          <w:tcPr>
            <w:tcW w:w="3960" w:type="dxa"/>
            <w:vAlign w:val="bottom"/>
            <w:vMerge w:val="restart"/>
          </w:tcPr>
          <w:p>
            <w:pPr>
              <w:jc w:val="center"/>
              <w:ind w:right="10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1"/>
              </w:rPr>
              <w:t>Symbol(s)</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tcBorders>
              <w:top w:val="single" w:sz="8" w:color="auto"/>
            </w:tcBorders>
          </w:tcPr>
          <w:p>
            <w:pPr>
              <w:jc w:val="center"/>
              <w:ind w:left="368"/>
              <w:spacing w:after="0"/>
              <w:rPr>
                <w:sz w:val="20"/>
                <w:szCs w:val="20"/>
                <w:color w:val="auto"/>
              </w:rPr>
            </w:pPr>
            <w:r>
              <w:rPr>
                <w:rFonts w:ascii="Arial" w:cs="Arial" w:eastAsia="Arial" w:hAnsi="Arial"/>
                <w:sz w:val="16"/>
                <w:szCs w:val="16"/>
                <w:b w:val="1"/>
                <w:bCs w:val="1"/>
                <w:color w:val="auto"/>
                <w:w w:val="91"/>
              </w:rPr>
              <w:t>Common Stock, $0.00000002 par value</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17"/>
                <w:szCs w:val="17"/>
                <w:color w:val="auto"/>
              </w:rPr>
            </w:pPr>
          </w:p>
        </w:tc>
        <w:tc>
          <w:tcPr>
            <w:tcW w:w="3960" w:type="dxa"/>
            <w:vAlign w:val="bottom"/>
            <w:tcBorders>
              <w:top w:val="single" w:sz="8" w:color="auto"/>
            </w:tcBorders>
          </w:tcPr>
          <w:p>
            <w:pPr>
              <w:jc w:val="center"/>
              <w:ind w:right="1008"/>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both"/>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2"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8, 2022, the number of shares outstanding of the issuer’s common stock, $0.00000002 par value, was 132,985,545.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4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rPr>
              <w:t>MEI PHARMA, INC.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89"/>
              </w:rPr>
              <w:t>Table of Contents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9940" w:type="dxa"/>
            <w:vAlign w:val="bottom"/>
            <w:gridSpan w:val="22"/>
          </w:tcPr>
          <w:p>
            <w:pPr>
              <w:ind w:left="240"/>
              <w:spacing w:after="0"/>
              <w:rPr>
                <w:sz w:val="20"/>
                <w:szCs w:val="20"/>
                <w:color w:val="auto"/>
              </w:rPr>
            </w:pPr>
            <w:r>
              <w:rPr>
                <w:rFonts w:ascii="Arial" w:cs="Arial" w:eastAsia="Arial" w:hAnsi="Arial"/>
                <w:sz w:val="18"/>
                <w:szCs w:val="18"/>
                <w:b w:val="1"/>
                <w:bCs w:val="1"/>
                <w:color w:val="auto"/>
              </w:rPr>
              <w:t>PART I</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FF"/>
            </w:tcBorders>
            <w:gridSpan w:val="9"/>
          </w:tcPr>
          <w:p>
            <w:pPr>
              <w:spacing w:after="0"/>
              <w:rPr>
                <w:sz w:val="24"/>
                <w:szCs w:val="24"/>
                <w:color w:val="auto"/>
              </w:rPr>
            </w:pPr>
          </w:p>
        </w:tc>
        <w:tc>
          <w:tcPr>
            <w:tcW w:w="6260" w:type="dxa"/>
            <w:vAlign w:val="bottom"/>
            <w:gridSpan w:val="11"/>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Borders>
              <w:bottom w:val="single" w:sz="8" w:color="0000FF"/>
            </w:tcBorders>
            <w:gridSpan w:val="10"/>
          </w:tcPr>
          <w:p>
            <w:pPr>
              <w:spacing w:after="0" w:line="189"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20" w:type="dxa"/>
            <w:vAlign w:val="bottom"/>
            <w:tcBorders>
              <w:bottom w:val="single" w:sz="8" w:color="0000EE"/>
            </w:tcBorders>
          </w:tcPr>
          <w:p>
            <w:pPr>
              <w:spacing w:after="0"/>
              <w:rPr>
                <w:sz w:val="16"/>
                <w:szCs w:val="16"/>
                <w:color w:val="auto"/>
              </w:rPr>
            </w:pPr>
          </w:p>
        </w:tc>
        <w:tc>
          <w:tcPr>
            <w:tcW w:w="6200" w:type="dxa"/>
            <w:vAlign w:val="bottom"/>
            <w:gridSpan w:val="9"/>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December 31, 2021 and June 30, 2021</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Operations for the three and six months ended December 31, 2021 and 2020</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Statements of Stockholders’ Equity for the three and six months ended December 31, 2021 and 2020</w:t>
              </w:r>
            </w:hyperlink>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7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Statements of Cash Flows for the six months ended December 31, 2021 and 2020</w:t>
              </w:r>
            </w:hyperlink>
          </w:p>
        </w:tc>
        <w:tc>
          <w:tcPr>
            <w:tcW w:w="192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8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Financial Statements</w:t>
              </w:r>
            </w:hyperlink>
          </w:p>
        </w:tc>
        <w:tc>
          <w:tcPr>
            <w:tcW w:w="564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0"/>
        </w:trPr>
        <w:tc>
          <w:tcPr>
            <w:tcW w:w="9940" w:type="dxa"/>
            <w:vAlign w:val="bottom"/>
            <w:gridSpan w:val="22"/>
          </w:tcPr>
          <w:p>
            <w:pPr>
              <w:ind w:left="240"/>
              <w:spacing w:after="0"/>
              <w:rPr>
                <w:sz w:val="20"/>
                <w:szCs w:val="20"/>
                <w:color w:val="auto"/>
              </w:rPr>
            </w:pPr>
            <w:r>
              <w:rPr>
                <w:rFonts w:ascii="Arial" w:cs="Arial" w:eastAsia="Arial" w:hAnsi="Arial"/>
                <w:sz w:val="18"/>
                <w:szCs w:val="18"/>
                <w:color w:val="auto"/>
              </w:rPr>
              <w:t>Item 2:</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60" w:type="dxa"/>
            <w:vAlign w:val="bottom"/>
            <w:tcBorders>
              <w:bottom w:val="single" w:sz="8" w:color="0000FF"/>
            </w:tcBorders>
            <w:gridSpan w:val="16"/>
          </w:tcPr>
          <w:p>
            <w:pPr>
              <w:spacing w:after="0" w:line="189" w:lineRule="exact"/>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2180" w:type="dxa"/>
            <w:vAlign w:val="bottom"/>
            <w:gridSpan w:val="4"/>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940" w:type="dxa"/>
            <w:vAlign w:val="bottom"/>
            <w:gridSpan w:val="22"/>
          </w:tcPr>
          <w:p>
            <w:pPr>
              <w:ind w:left="240"/>
              <w:spacing w:after="0"/>
              <w:rPr>
                <w:sz w:val="20"/>
                <w:szCs w:val="20"/>
                <w:color w:val="auto"/>
              </w:rPr>
            </w:pPr>
            <w:r>
              <w:rPr>
                <w:rFonts w:ascii="Arial" w:cs="Arial" w:eastAsia="Arial" w:hAnsi="Arial"/>
                <w:sz w:val="18"/>
                <w:szCs w:val="18"/>
                <w:color w:val="auto"/>
              </w:rPr>
              <w:t>Item 3:</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3"/>
          </w:tcPr>
          <w:p>
            <w:pPr>
              <w:spacing w:after="0"/>
              <w:rPr>
                <w:sz w:val="24"/>
                <w:szCs w:val="24"/>
                <w:color w:val="auto"/>
              </w:rPr>
            </w:pPr>
          </w:p>
        </w:tc>
        <w:tc>
          <w:tcPr>
            <w:tcW w:w="4340" w:type="dxa"/>
            <w:vAlign w:val="bottom"/>
            <w:gridSpan w:val="7"/>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FF"/>
            </w:tcBorders>
            <w:gridSpan w:val="6"/>
          </w:tcPr>
          <w:p>
            <w:pPr>
              <w:spacing w:after="0"/>
              <w:rPr>
                <w:sz w:val="24"/>
                <w:szCs w:val="24"/>
                <w:color w:val="auto"/>
              </w:rPr>
            </w:pPr>
          </w:p>
        </w:tc>
        <w:tc>
          <w:tcPr>
            <w:tcW w:w="6880" w:type="dxa"/>
            <w:vAlign w:val="bottom"/>
            <w:gridSpan w:val="14"/>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OTHER INFORMATION</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7"/>
          </w:tcPr>
          <w:p>
            <w:pPr>
              <w:spacing w:after="0"/>
              <w:rPr>
                <w:sz w:val="24"/>
                <w:szCs w:val="24"/>
                <w:color w:val="auto"/>
              </w:rPr>
            </w:pPr>
          </w:p>
        </w:tc>
        <w:tc>
          <w:tcPr>
            <w:tcW w:w="6620" w:type="dxa"/>
            <w:vAlign w:val="bottom"/>
            <w:gridSpan w:val="13"/>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bottom w:val="single" w:sz="8" w:color="0000FF"/>
            </w:tcBorders>
            <w:gridSpan w:val="5"/>
          </w:tcPr>
          <w:p>
            <w:pPr>
              <w:spacing w:after="0" w:line="189" w:lineRule="exact"/>
              <w:rPr>
                <w:rFonts w:ascii="Arial" w:cs="Arial" w:eastAsia="Arial" w:hAnsi="Arial"/>
                <w:sz w:val="18"/>
                <w:szCs w:val="18"/>
                <w:color w:val="0000FF"/>
                <w:w w:val="88"/>
              </w:rPr>
            </w:pPr>
            <w:hyperlink w:anchor="page34">
              <w:r>
                <w:rPr>
                  <w:rFonts w:ascii="Arial" w:cs="Arial" w:eastAsia="Arial" w:hAnsi="Arial"/>
                  <w:sz w:val="18"/>
                  <w:szCs w:val="18"/>
                  <w:color w:val="0000FF"/>
                  <w:w w:val="88"/>
                </w:rPr>
                <w:t>Legal Proceedings</w:t>
              </w:r>
            </w:hyperlink>
          </w:p>
        </w:tc>
        <w:tc>
          <w:tcPr>
            <w:tcW w:w="7300" w:type="dxa"/>
            <w:vAlign w:val="bottom"/>
            <w:gridSpan w:val="15"/>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940" w:type="dxa"/>
            <w:vAlign w:val="bottom"/>
            <w:gridSpan w:val="22"/>
          </w:tcPr>
          <w:p>
            <w:pPr>
              <w:ind w:left="240"/>
              <w:spacing w:after="0"/>
              <w:rPr>
                <w:sz w:val="20"/>
                <w:szCs w:val="20"/>
                <w:color w:val="auto"/>
              </w:rPr>
            </w:pPr>
            <w:r>
              <w:rPr>
                <w:rFonts w:ascii="Arial" w:cs="Arial" w:eastAsia="Arial" w:hAnsi="Arial"/>
                <w:sz w:val="18"/>
                <w:szCs w:val="18"/>
                <w:color w:val="auto"/>
              </w:rPr>
              <w:t>Item 1A:</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900" w:type="dxa"/>
            <w:vAlign w:val="bottom"/>
            <w:tcBorders>
              <w:top w:val="single" w:sz="8" w:color="0000FF"/>
            </w:tcBorders>
            <w:gridSpan w:val="3"/>
          </w:tcPr>
          <w:p>
            <w:pPr>
              <w:spacing w:after="0"/>
              <w:rPr>
                <w:sz w:val="24"/>
                <w:szCs w:val="24"/>
                <w:color w:val="auto"/>
              </w:rPr>
            </w:pPr>
          </w:p>
        </w:tc>
        <w:tc>
          <w:tcPr>
            <w:tcW w:w="7740" w:type="dxa"/>
            <w:vAlign w:val="bottom"/>
            <w:gridSpan w:val="17"/>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rPr>
                <w:sz w:val="24"/>
                <w:szCs w:val="24"/>
                <w:color w:val="auto"/>
              </w:rPr>
            </w:pPr>
          </w:p>
        </w:tc>
        <w:tc>
          <w:tcPr>
            <w:tcW w:w="4300" w:type="dxa"/>
            <w:vAlign w:val="bottom"/>
            <w:gridSpan w:val="6"/>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2280" w:type="dxa"/>
            <w:vAlign w:val="bottom"/>
            <w:tcBorders>
              <w:top w:val="single" w:sz="8" w:color="0000FF"/>
            </w:tcBorders>
            <w:gridSpan w:val="8"/>
          </w:tcPr>
          <w:p>
            <w:pPr>
              <w:spacing w:after="0"/>
              <w:rPr>
                <w:sz w:val="24"/>
                <w:szCs w:val="24"/>
                <w:color w:val="auto"/>
              </w:rPr>
            </w:pPr>
          </w:p>
        </w:tc>
        <w:tc>
          <w:tcPr>
            <w:tcW w:w="6360" w:type="dxa"/>
            <w:vAlign w:val="bottom"/>
            <w:gridSpan w:val="12"/>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20"/>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4"/>
                <w:szCs w:val="24"/>
                <w:color w:val="auto"/>
              </w:rPr>
            </w:pPr>
          </w:p>
        </w:tc>
        <w:tc>
          <w:tcPr>
            <w:tcW w:w="6880" w:type="dxa"/>
            <w:vAlign w:val="bottom"/>
            <w:gridSpan w:val="14"/>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0000FF"/>
            </w:tcBorders>
            <w:gridSpan w:val="4"/>
          </w:tcPr>
          <w:p>
            <w:pPr>
              <w:spacing w:after="0" w:line="189" w:lineRule="exact"/>
              <w:rPr>
                <w:rFonts w:ascii="Arial" w:cs="Arial" w:eastAsia="Arial" w:hAnsi="Arial"/>
                <w:sz w:val="18"/>
                <w:szCs w:val="18"/>
                <w:color w:val="0000FF"/>
                <w:w w:val="92"/>
              </w:rPr>
            </w:pPr>
            <w:hyperlink w:anchor="page34">
              <w:r>
                <w:rPr>
                  <w:rFonts w:ascii="Arial" w:cs="Arial" w:eastAsia="Arial" w:hAnsi="Arial"/>
                  <w:sz w:val="18"/>
                  <w:szCs w:val="18"/>
                  <w:color w:val="0000FF"/>
                  <w:w w:val="92"/>
                </w:rPr>
                <w:t>Other Information</w:t>
              </w:r>
            </w:hyperlink>
          </w:p>
        </w:tc>
        <w:tc>
          <w:tcPr>
            <w:tcW w:w="7320" w:type="dxa"/>
            <w:vAlign w:val="bottom"/>
            <w:gridSpan w:val="16"/>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940" w:type="dxa"/>
            <w:vAlign w:val="bottom"/>
            <w:gridSpan w:val="22"/>
          </w:tcPr>
          <w:p>
            <w:pPr>
              <w:ind w:left="240"/>
              <w:spacing w:after="0"/>
              <w:rPr>
                <w:sz w:val="20"/>
                <w:szCs w:val="20"/>
                <w:color w:val="auto"/>
              </w:rPr>
            </w:pPr>
            <w:r>
              <w:rPr>
                <w:rFonts w:ascii="Arial" w:cs="Arial" w:eastAsia="Arial" w:hAnsi="Arial"/>
                <w:sz w:val="18"/>
                <w:szCs w:val="18"/>
                <w:color w:val="auto"/>
              </w:rPr>
              <w:t>Item 6:</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FF"/>
            </w:tcBorders>
          </w:tcPr>
          <w:p>
            <w:pPr>
              <w:spacing w:after="0" w:line="189" w:lineRule="exact"/>
              <w:rPr>
                <w:rFonts w:ascii="Arial" w:cs="Arial" w:eastAsia="Arial" w:hAnsi="Arial"/>
                <w:sz w:val="18"/>
                <w:szCs w:val="18"/>
                <w:color w:val="0000FF"/>
                <w:w w:val="91"/>
              </w:rPr>
            </w:pPr>
            <w:hyperlink w:anchor="page35">
              <w:r>
                <w:rPr>
                  <w:rFonts w:ascii="Arial" w:cs="Arial" w:eastAsia="Arial" w:hAnsi="Arial"/>
                  <w:sz w:val="18"/>
                  <w:szCs w:val="18"/>
                  <w:color w:val="0000FF"/>
                  <w:w w:val="91"/>
                </w:rPr>
                <w:t>Exhibits</w:t>
              </w:r>
            </w:hyperlink>
          </w:p>
        </w:tc>
        <w:tc>
          <w:tcPr>
            <w:tcW w:w="20" w:type="dxa"/>
            <w:vAlign w:val="bottom"/>
            <w:tcBorders>
              <w:bottom w:val="single" w:sz="8" w:color="0000EE"/>
            </w:tcBorders>
          </w:tcPr>
          <w:p>
            <w:pPr>
              <w:spacing w:after="0"/>
              <w:rPr>
                <w:sz w:val="16"/>
                <w:szCs w:val="16"/>
                <w:color w:val="auto"/>
              </w:rPr>
            </w:pPr>
          </w:p>
        </w:tc>
        <w:tc>
          <w:tcPr>
            <w:tcW w:w="8020" w:type="dxa"/>
            <w:vAlign w:val="bottom"/>
            <w:gridSpan w:val="18"/>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-635</wp:posOffset>
            </wp:positionV>
            <wp:extent cx="73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ind w:left="10800"/>
        <w:spacing w:after="0"/>
        <w:rPr>
          <w:sz w:val="20"/>
          <w:szCs w:val="20"/>
          <w:color w:val="auto"/>
        </w:rPr>
      </w:pPr>
      <w:r>
        <w:rPr>
          <w:rFonts w:ascii="Arial" w:cs="Arial" w:eastAsia="Arial" w:hAnsi="Arial"/>
          <w:sz w:val="16"/>
          <w:szCs w:val="16"/>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 w:right="5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color w:val="auto"/>
                <w:w w:val="95"/>
              </w:rPr>
              <w:t>(unaudited)</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4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12,551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173,200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144,883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185,751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153,426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10,151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7,582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4,823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3,809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200,725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164,817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7,325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209,464</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174,098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180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6,256</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6,355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13,515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14,609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30,523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30,294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long-term</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80,527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72,717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6,855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7,370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14,309</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22,355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132,214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$0.01 par value; 100 shares authorized; none outstanding</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$0.00000002 par value; 226,000 shares authorized; 132,905 and</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112,615 shares issued and outstanding at December 31, 2021 and June 30, 2021,</w:t>
            </w:r>
          </w:p>
        </w:tc>
        <w:tc>
          <w:tcPr>
            <w:tcW w:w="260" w:type="dxa"/>
            <w:vAlign w:val="bottom"/>
          </w:tcPr>
          <w:p>
            <w:pPr>
              <w:spacing w:after="0"/>
              <w:rPr>
                <w:sz w:val="15"/>
                <w:szCs w:val="15"/>
                <w:color w:val="auto"/>
              </w:rPr>
            </w:pP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422,705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369,171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(345,455 )</w:t>
            </w:r>
          </w:p>
        </w:tc>
        <w:tc>
          <w:tcPr>
            <w:tcW w:w="32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(327,809 )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77,250</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41,362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209,464</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-3288030</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-3288030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-2759710</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-2742565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-2759710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-2742565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-1959610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-1959610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-1436370</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-1436370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MEI PHARMA,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w:t>
      </w:r>
    </w:p>
    <w:p>
      <w:pPr>
        <w:jc w:val="center"/>
        <w:spacing w:after="0" w:line="228" w:lineRule="auto"/>
        <w:rPr>
          <w:sz w:val="20"/>
          <w:szCs w:val="20"/>
          <w:color w:val="auto"/>
        </w:rPr>
      </w:pPr>
      <w:r>
        <w:rPr>
          <w:rFonts w:ascii="Arial" w:cs="Arial" w:eastAsia="Arial" w:hAnsi="Arial"/>
          <w:sz w:val="16"/>
          <w:szCs w:val="16"/>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4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94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18,222</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9,167</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31,609</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13,001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2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80" w:type="dxa"/>
            <w:vAlign w:val="bottom"/>
            <w:shd w:val="clear" w:color="auto" w:fill="CFF0FC"/>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21,531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22,224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41,484</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35,220</w:t>
            </w:r>
          </w:p>
        </w:tc>
        <w:tc>
          <w:tcPr>
            <w:tcW w:w="80" w:type="dxa"/>
            <w:vAlign w:val="bottom"/>
          </w:tcPr>
          <w:p>
            <w:pPr>
              <w:spacing w:after="0"/>
              <w:rPr>
                <w:sz w:val="17"/>
                <w:szCs w:val="17"/>
                <w:color w:val="auto"/>
              </w:rPr>
            </w:pPr>
          </w:p>
        </w:tc>
      </w:tr>
      <w:tr>
        <w:trPr>
          <w:trHeight w:val="203"/>
        </w:trPr>
        <w:tc>
          <w:tcPr>
            <w:tcW w:w="42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7,926</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5,650</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15,835</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11,565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2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29,457</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28,368</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57,319</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47,788</w:t>
            </w:r>
          </w:p>
        </w:tc>
        <w:tc>
          <w:tcPr>
            <w:tcW w:w="80" w:type="dxa"/>
            <w:vAlign w:val="bottom"/>
          </w:tcPr>
          <w:p>
            <w:pPr>
              <w:spacing w:after="0"/>
              <w:rPr>
                <w:sz w:val="17"/>
                <w:szCs w:val="17"/>
                <w:color w:val="auto"/>
              </w:rPr>
            </w:pPr>
          </w:p>
        </w:tc>
      </w:tr>
      <w:tr>
        <w:trPr>
          <w:trHeight w:val="196"/>
        </w:trPr>
        <w:tc>
          <w:tcPr>
            <w:tcW w:w="42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(11,235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(19,201</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(25,710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(34,787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5,458</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7,083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8,046</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20,307</w:t>
            </w:r>
          </w:p>
        </w:tc>
        <w:tc>
          <w:tcPr>
            <w:tcW w:w="80" w:type="dxa"/>
            <w:vAlign w:val="bottom"/>
            <w:shd w:val="clear" w:color="auto" w:fill="CFF0FC"/>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 income</w:t>
            </w:r>
          </w:p>
        </w:tc>
        <w:tc>
          <w:tcPr>
            <w:tcW w:w="9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80" w:type="dxa"/>
            <w:vAlign w:val="bottom"/>
          </w:tcPr>
          <w:p>
            <w:pPr>
              <w:spacing w:after="0"/>
              <w:rPr>
                <w:sz w:val="17"/>
                <w:szCs w:val="17"/>
                <w:color w:val="auto"/>
              </w:rPr>
            </w:pPr>
          </w:p>
        </w:tc>
      </w:tr>
      <w:tr>
        <w:trPr>
          <w:trHeight w:val="223"/>
        </w:trPr>
        <w:tc>
          <w:tcPr>
            <w:tcW w:w="42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9"/>
        </w:trPr>
        <w:tc>
          <w:tcPr>
            <w:tcW w:w="4220" w:type="dxa"/>
            <w:vAlign w:val="bottom"/>
          </w:tcPr>
          <w:p>
            <w:pPr>
              <w:ind w:left="380"/>
              <w:spacing w:after="0" w:line="189" w:lineRule="exact"/>
              <w:rPr>
                <w:sz w:val="20"/>
                <w:szCs w:val="20"/>
                <w:color w:val="auto"/>
              </w:rPr>
            </w:pPr>
            <w:r>
              <w:rPr>
                <w:rFonts w:ascii="Arial" w:cs="Arial" w:eastAsia="Arial" w:hAnsi="Arial"/>
                <w:sz w:val="18"/>
                <w:szCs w:val="18"/>
                <w:color w:val="auto"/>
              </w:rPr>
              <w:t>Net loss</w:t>
            </w:r>
          </w:p>
        </w:tc>
        <w:tc>
          <w:tcPr>
            <w:tcW w:w="940" w:type="dxa"/>
            <w:vAlign w:val="bottom"/>
          </w:tcPr>
          <w:p>
            <w:pPr>
              <w:jc w:val="right"/>
              <w:ind w:right="753"/>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1"/>
              <w:spacing w:after="0" w:line="189" w:lineRule="exact"/>
              <w:rPr>
                <w:sz w:val="20"/>
                <w:szCs w:val="20"/>
                <w:color w:val="auto"/>
              </w:rPr>
            </w:pPr>
            <w:r>
              <w:rPr>
                <w:rFonts w:ascii="Arial" w:cs="Arial" w:eastAsia="Arial" w:hAnsi="Arial"/>
                <w:sz w:val="18"/>
                <w:szCs w:val="18"/>
                <w:color w:val="auto"/>
              </w:rPr>
              <w:t>(5,766 )</w:t>
            </w:r>
          </w:p>
        </w:tc>
        <w:tc>
          <w:tcPr>
            <w:tcW w:w="580" w:type="dxa"/>
            <w:vAlign w:val="bottom"/>
          </w:tcPr>
          <w:p>
            <w:pPr>
              <w:jc w:val="right"/>
              <w:ind w:right="39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(11,454 )</w:t>
            </w:r>
          </w:p>
        </w:tc>
        <w:tc>
          <w:tcPr>
            <w:tcW w:w="360" w:type="dxa"/>
            <w:vAlign w:val="bottom"/>
            <w:tcBorders>
              <w:top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(17,646</w:t>
            </w:r>
          </w:p>
        </w:tc>
        <w:tc>
          <w:tcPr>
            <w:tcW w:w="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ind w:right="310"/>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(13,546 )</w:t>
            </w:r>
          </w:p>
        </w:tc>
      </w:tr>
      <w:tr>
        <w:trPr>
          <w:trHeight w:val="20"/>
        </w:trPr>
        <w:tc>
          <w:tcPr>
            <w:tcW w:w="4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940" w:type="dxa"/>
            <w:vAlign w:val="bottom"/>
          </w:tcPr>
          <w:p>
            <w:pPr>
              <w:jc w:val="right"/>
              <w:ind w:right="753"/>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(5,766 )</w:t>
            </w: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(11,454 )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(17,646 )</w:t>
            </w:r>
          </w:p>
        </w:tc>
        <w:tc>
          <w:tcPr>
            <w:tcW w:w="52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(13,546 )</w:t>
            </w:r>
          </w:p>
        </w:tc>
      </w:tr>
      <w:tr>
        <w:trPr>
          <w:trHeight w:val="20"/>
        </w:trPr>
        <w:tc>
          <w:tcPr>
            <w:tcW w:w="4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2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FF0FC"/>
          </w:tcPr>
          <w:p>
            <w:pPr>
              <w:jc w:val="right"/>
              <w:ind w:right="753"/>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4"/>
              </w:rPr>
              <w:t>(11,224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auto"/>
            </w:tcBorders>
            <w:shd w:val="clear" w:color="auto" w:fill="CFF0FC"/>
          </w:tcPr>
          <w:p>
            <w:pPr>
              <w:jc w:val="right"/>
              <w:ind w:right="39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(18,537</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(25,692</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1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(33,853</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r>
        <w:trPr>
          <w:trHeight w:val="183"/>
        </w:trPr>
        <w:tc>
          <w:tcPr>
            <w:tcW w:w="422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2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940" w:type="dxa"/>
            <w:vAlign w:val="bottom"/>
            <w:shd w:val="clear" w:color="auto" w:fill="CFF0FC"/>
          </w:tcPr>
          <w:p>
            <w:pPr>
              <w:jc w:val="right"/>
              <w:ind w:right="753"/>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(0.05 )</w:t>
            </w:r>
          </w:p>
        </w:tc>
        <w:tc>
          <w:tcPr>
            <w:tcW w:w="5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(0.10 )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(0.15 )</w:t>
            </w: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(0.12 )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220" w:type="dxa"/>
            <w:vAlign w:val="bottom"/>
          </w:tcPr>
          <w:p>
            <w:pPr>
              <w:ind w:left="380"/>
              <w:spacing w:after="0" w:line="183" w:lineRule="exact"/>
              <w:rPr>
                <w:sz w:val="20"/>
                <w:szCs w:val="20"/>
                <w:color w:val="auto"/>
              </w:rPr>
            </w:pPr>
            <w:r>
              <w:rPr>
                <w:rFonts w:ascii="Arial" w:cs="Arial" w:eastAsia="Arial" w:hAnsi="Arial"/>
                <w:sz w:val="18"/>
                <w:szCs w:val="18"/>
                <w:color w:val="auto"/>
              </w:rPr>
              <w:t>Diluted</w:t>
            </w:r>
          </w:p>
        </w:tc>
        <w:tc>
          <w:tcPr>
            <w:tcW w:w="940" w:type="dxa"/>
            <w:vAlign w:val="bottom"/>
          </w:tcPr>
          <w:p>
            <w:pPr>
              <w:jc w:val="right"/>
              <w:ind w:right="753"/>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1"/>
              <w:spacing w:after="0" w:line="183" w:lineRule="exact"/>
              <w:rPr>
                <w:sz w:val="20"/>
                <w:szCs w:val="20"/>
                <w:color w:val="auto"/>
              </w:rPr>
            </w:pPr>
            <w:r>
              <w:rPr>
                <w:rFonts w:ascii="Arial" w:cs="Arial" w:eastAsia="Arial" w:hAnsi="Arial"/>
                <w:sz w:val="18"/>
                <w:szCs w:val="18"/>
                <w:color w:val="auto"/>
              </w:rPr>
              <w:t>(0.09 )</w:t>
            </w:r>
          </w:p>
        </w:tc>
        <w:tc>
          <w:tcPr>
            <w:tcW w:w="580" w:type="dxa"/>
            <w:vAlign w:val="bottom"/>
          </w:tcPr>
          <w:p>
            <w:pPr>
              <w:jc w:val="right"/>
              <w:ind w:right="39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(0.16 )</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(0.22 )</w:t>
            </w:r>
          </w:p>
        </w:tc>
        <w:tc>
          <w:tcPr>
            <w:tcW w:w="520" w:type="dxa"/>
            <w:vAlign w:val="bottom"/>
          </w:tcPr>
          <w:p>
            <w:pPr>
              <w:jc w:val="right"/>
              <w:ind w:right="31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(0.30 )</w:t>
            </w:r>
          </w:p>
        </w:tc>
      </w:tr>
      <w:tr>
        <w:trPr>
          <w:trHeight w:val="20"/>
        </w:trPr>
        <w:tc>
          <w:tcPr>
            <w:tcW w:w="4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used in computing net loss per share:</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126,725</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112,524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115,982</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112,480</w:t>
            </w:r>
          </w:p>
        </w:tc>
        <w:tc>
          <w:tcPr>
            <w:tcW w:w="8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2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89"/>
              </w:rPr>
              <w:t>128,160</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114,461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118,657</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114,709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-2790825</wp:posOffset>
            </wp:positionV>
            <wp:extent cx="60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-2790825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-2790825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-2790825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-2268220</wp:posOffset>
            </wp:positionV>
            <wp:extent cx="60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-2268220</wp:posOffset>
            </wp:positionV>
            <wp:extent cx="60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-2268220</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-2268220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-1479550</wp:posOffset>
            </wp:positionV>
            <wp:extent cx="603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-1479550</wp:posOffset>
            </wp:positionV>
            <wp:extent cx="603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-1479550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-899795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-882650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-899795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-882650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-899795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-882650</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-899795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-882650</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-616585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-599440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-599440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-616585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7"/>
              </w:rPr>
              <w:t>Common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112,615</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369,171</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(327,809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(11,880 )</w:t>
            </w:r>
          </w:p>
        </w:tc>
        <w:tc>
          <w:tcPr>
            <w:tcW w:w="1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(11,880 )</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for vested restricted stock units</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(194 )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112,678</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371,516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(339,689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(5,766 )</w:t>
            </w:r>
          </w:p>
        </w:tc>
        <w:tc>
          <w:tcPr>
            <w:tcW w:w="1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(5,766 )</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net of issuance costs of $3,672</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20,125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48,653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132,905</w:t>
            </w:r>
          </w:p>
        </w:tc>
        <w:tc>
          <w:tcPr>
            <w:tcW w:w="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422,705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(345,455 )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77,250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7"/>
              </w:rPr>
              <w:t>Common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111,514</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355,452</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(277,234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78,218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(2,092 )</w:t>
            </w:r>
          </w:p>
        </w:tc>
        <w:tc>
          <w:tcPr>
            <w:tcW w:w="1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(2,092 )</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net of issuance costs of $64</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3,136</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2,942</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2020</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112,522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361,654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(279,326 )</w:t>
            </w: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82,328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(11,454 )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(11,454 )</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2,609</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112,528</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364,278</w:t>
            </w:r>
          </w:p>
        </w:tc>
        <w:tc>
          <w:tcPr>
            <w:tcW w:w="18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(290,780 )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73,498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-1950720</wp:posOffset>
            </wp:positionV>
            <wp:extent cx="431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-1950720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-1950720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-1950720</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-681990</wp:posOffset>
            </wp:positionV>
            <wp:extent cx="431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-681990</wp:posOffset>
            </wp:positionV>
            <wp:extent cx="3429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-681990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-681990</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431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3429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514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(17,646 )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(13,546 )</w:t>
            </w: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(8,046 )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(20,307 )</w:t>
            </w: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5,551</w:t>
            </w: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w:t>
            </w: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20,420</w:t>
            </w: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380"/>
              <w:spacing w:after="0" w:line="202" w:lineRule="exact"/>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(2,569 )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(7,026 )</w:t>
            </w:r>
          </w:p>
        </w:tc>
      </w:tr>
      <w:tr>
        <w:trPr>
          <w:trHeight w:val="203"/>
        </w:trPr>
        <w:tc>
          <w:tcPr>
            <w:tcW w:w="7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(1,014 )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(1,268 )</w:t>
            </w:r>
          </w:p>
        </w:tc>
      </w:tr>
      <w:tr>
        <w:trPr>
          <w:trHeight w:val="203"/>
        </w:trPr>
        <w:tc>
          <w:tcPr>
            <w:tcW w:w="790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(99 )</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3,118</w:t>
            </w: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5,012</w:t>
            </w: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6,716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2,334</w:t>
            </w: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(456 )</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7"/>
                <w:szCs w:val="17"/>
                <w:color w:val="auto"/>
              </w:rPr>
            </w:pPr>
          </w:p>
        </w:tc>
      </w:tr>
      <w:tr>
        <w:trPr>
          <w:trHeight w:val="20"/>
        </w:trPr>
        <w:tc>
          <w:tcPr>
            <w:tcW w:w="7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(16,287 )</w:t>
            </w:r>
          </w:p>
        </w:tc>
        <w:tc>
          <w:tcPr>
            <w:tcW w:w="36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(5,061 )</w:t>
            </w: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(59 )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(700 )</w:t>
            </w: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(173,300 )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(215,176 )</w:t>
            </w:r>
          </w:p>
        </w:tc>
      </w:tr>
      <w:tr>
        <w:trPr>
          <w:trHeight w:val="202"/>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maturity of short-term investments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144,983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215,208</w:t>
            </w:r>
          </w:p>
        </w:tc>
        <w:tc>
          <w:tcPr>
            <w:tcW w:w="80" w:type="dxa"/>
            <w:vAlign w:val="bottom"/>
          </w:tcPr>
          <w:p>
            <w:pPr>
              <w:spacing w:after="0"/>
              <w:rPr>
                <w:sz w:val="17"/>
                <w:szCs w:val="17"/>
                <w:color w:val="auto"/>
              </w:rPr>
            </w:pPr>
          </w:p>
        </w:tc>
      </w:tr>
      <w:tr>
        <w:trPr>
          <w:trHeight w:val="196"/>
        </w:trPr>
        <w:tc>
          <w:tcPr>
            <w:tcW w:w="7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(28,376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RSU tax withholdings in exchange for common shares surrendered by RSU holders</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(194 )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80" w:type="dxa"/>
            <w:vAlign w:val="bottom"/>
          </w:tcPr>
          <w:p>
            <w:pPr>
              <w:spacing w:after="0"/>
              <w:rPr>
                <w:sz w:val="17"/>
                <w:szCs w:val="17"/>
                <w:color w:val="auto"/>
              </w:rPr>
            </w:pPr>
          </w:p>
        </w:tc>
      </w:tr>
      <w:tr>
        <w:trPr>
          <w:trHeight w:val="203"/>
        </w:trPr>
        <w:tc>
          <w:tcPr>
            <w:tcW w:w="7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gross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52,325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w:t>
            </w:r>
          </w:p>
        </w:tc>
        <w:tc>
          <w:tcPr>
            <w:tcW w:w="80" w:type="dxa"/>
            <w:vAlign w:val="bottom"/>
            <w:shd w:val="clear" w:color="auto" w:fill="CFF0FC"/>
          </w:tcPr>
          <w:p>
            <w:pPr>
              <w:spacing w:after="0"/>
              <w:rPr>
                <w:sz w:val="17"/>
                <w:szCs w:val="17"/>
                <w:color w:val="auto"/>
              </w:rPr>
            </w:pPr>
          </w:p>
        </w:tc>
      </w:tr>
      <w:tr>
        <w:trPr>
          <w:trHeight w:val="203"/>
        </w:trPr>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Payment of issuance costs</w:t>
            </w:r>
          </w:p>
        </w:tc>
        <w:tc>
          <w:tcPr>
            <w:tcW w:w="36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(3,672 )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(64 )</w:t>
            </w:r>
          </w:p>
        </w:tc>
      </w:tr>
      <w:tr>
        <w:trPr>
          <w:trHeight w:val="196"/>
        </w:trPr>
        <w:tc>
          <w:tcPr>
            <w:tcW w:w="7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48,671</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4,008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(2,454 )</w:t>
            </w:r>
          </w:p>
        </w:tc>
      </w:tr>
      <w:tr>
        <w:trPr>
          <w:trHeight w:val="203"/>
        </w:trPr>
        <w:tc>
          <w:tcPr>
            <w:tcW w:w="7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8,543</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12,331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12,551</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9,877</w:t>
            </w:r>
          </w:p>
        </w:tc>
        <w:tc>
          <w:tcPr>
            <w:tcW w:w="8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9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900" w:type="dxa"/>
            <w:vAlign w:val="bottom"/>
          </w:tcPr>
          <w:p>
            <w:pPr>
              <w:ind w:left="20"/>
              <w:spacing w:after="0" w:line="202" w:lineRule="exact"/>
              <w:rPr>
                <w:sz w:val="20"/>
                <w:szCs w:val="20"/>
                <w:color w:val="auto"/>
              </w:rPr>
            </w:pPr>
            <w:r>
              <w:rPr>
                <w:rFonts w:ascii="Arial" w:cs="Arial" w:eastAsia="Arial" w:hAnsi="Arial"/>
                <w:sz w:val="18"/>
                <w:szCs w:val="18"/>
                <w:color w:val="auto"/>
              </w:rPr>
              <w:t>Income taxes paid</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7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8,689</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-2396490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-2396490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-1599565</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-1599565</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-810895</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-810895</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-544830</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-544830</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6"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 xml:space="preserve">MEI Pharma, Inc. is a late-stage pharmaceutical company </w:t>
      </w:r>
      <w:r>
        <w:rPr>
          <w:rFonts w:ascii="Arial" w:cs="Arial" w:eastAsia="Arial" w:hAnsi="Arial"/>
          <w:sz w:val="17"/>
          <w:szCs w:val="17"/>
          <w:color w:val="333333"/>
        </w:rPr>
        <w:t>committed to the development and commercialization of novel cancer therapies intended</w:t>
      </w:r>
      <w:r>
        <w:rPr>
          <w:rFonts w:ascii="Arial" w:cs="Arial" w:eastAsia="Arial" w:hAnsi="Arial"/>
          <w:sz w:val="17"/>
          <w:szCs w:val="17"/>
          <w:color w:val="auto"/>
        </w:rPr>
        <w:t xml:space="preserve"> </w:t>
      </w:r>
      <w:r>
        <w:rPr>
          <w:rFonts w:ascii="Arial" w:cs="Arial" w:eastAsia="Arial" w:hAnsi="Arial"/>
          <w:sz w:val="17"/>
          <w:szCs w:val="17"/>
          <w:color w:val="333333"/>
        </w:rPr>
        <w:t xml:space="preserve">to improve 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w:t>
      </w:r>
      <w:r>
        <w:rPr>
          <w:rFonts w:ascii="Arial" w:cs="Arial" w:eastAsia="Arial" w:hAnsi="Arial"/>
          <w:sz w:val="17"/>
          <w:szCs w:val="17"/>
          <w:color w:val="000000"/>
        </w:rPr>
        <w:t>Our common stock is listed on the Nasdaq Capital Market under the symbol “MEIP.”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08"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(formerly known as ME-401), an oral phosphatidylinositol 3-kinase (“PI3K”) delta inhibitor;</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 and</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8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accumulated losses of $345.5 million since inception and expect to incur operating losses and generate negative cash flows from operations for the foreseeable future. As of December 31, 2021, we had $185.8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notes thereto as of and for the fiscal year ended June 30, 2021, included in our Annual Report on Form 10-K (“2021 Annual Report”) filed with the Securities and Exchange Commission on September 2, 2021. Interim results are not necessarily indicative of results for a full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08"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Certain reclassifications have been made to the prior year financial statements to conform to the current year financial statement presentation of contract assets and cash flows from financing activities. These changes did not impact previously reported net loss, loss per share, stockholders’ equity, total assets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Accounting Standards Codification ("ASC") Topic 606, Revenue from Contracts with Customers (“Topic 606” or the “new revenue standard”)</w:t>
      </w:r>
    </w:p>
    <w:p>
      <w:pPr>
        <w:spacing w:after="0" w:line="11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8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pacing w:after="0" w:line="6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8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materials, other direct costs and an allocation of indirect costs. We evaluate these cost estimates and the progress each reporting period and, as necessary, we adjust the measure of progress and related revenue recognition.</w:t>
      </w:r>
    </w:p>
    <w:p>
      <w:pPr>
        <w:spacing w:after="0" w:line="6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r>
      <w:tr>
        <w:trPr>
          <w:trHeight w:val="185"/>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4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KKC License Agreements</w:t>
            </w: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18,222</w:t>
            </w:r>
          </w:p>
        </w:tc>
        <w:tc>
          <w:tcPr>
            <w:tcW w:w="2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9,090</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31,609</w:t>
            </w:r>
          </w:p>
        </w:tc>
        <w:tc>
          <w:tcPr>
            <w:tcW w:w="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12,658</w:t>
            </w:r>
          </w:p>
        </w:tc>
        <w:tc>
          <w:tcPr>
            <w:tcW w:w="60" w:type="dxa"/>
            <w:vAlign w:val="bottom"/>
            <w:shd w:val="clear" w:color="auto" w:fill="CFF0FC"/>
          </w:tcPr>
          <w:p>
            <w:pPr>
              <w:spacing w:after="0"/>
              <w:rPr>
                <w:sz w:val="17"/>
                <w:szCs w:val="17"/>
                <w:color w:val="auto"/>
              </w:rPr>
            </w:pPr>
          </w:p>
        </w:tc>
      </w:tr>
      <w:tr>
        <w:trPr>
          <w:trHeight w:val="203"/>
        </w:trPr>
        <w:tc>
          <w:tcPr>
            <w:tcW w:w="4440" w:type="dxa"/>
            <w:vAlign w:val="bottom"/>
            <w:tcBorders>
              <w:bottom w:val="single" w:sz="8" w:color="CFF0FC"/>
            </w:tcBorders>
          </w:tcPr>
          <w:p>
            <w:pPr>
              <w:ind w:left="180"/>
              <w:spacing w:after="0" w:line="202" w:lineRule="exact"/>
              <w:rPr>
                <w:sz w:val="20"/>
                <w:szCs w:val="20"/>
                <w:color w:val="auto"/>
              </w:rPr>
            </w:pPr>
            <w:r>
              <w:rPr>
                <w:rFonts w:ascii="Arial" w:cs="Arial" w:eastAsia="Arial" w:hAnsi="Arial"/>
                <w:sz w:val="18"/>
                <w:szCs w:val="18"/>
                <w:color w:val="auto"/>
              </w:rPr>
              <w:t>Helsinn License Agreement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2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w:t>
            </w:r>
          </w:p>
        </w:tc>
        <w:tc>
          <w:tcPr>
            <w:tcW w:w="60" w:type="dxa"/>
            <w:vAlign w:val="bottom"/>
            <w:tcBorders>
              <w:bottom w:val="single" w:sz="8" w:color="CFF0FC"/>
            </w:tcBorders>
          </w:tcPr>
          <w:p>
            <w:pPr>
              <w:spacing w:after="0"/>
              <w:rPr>
                <w:sz w:val="17"/>
                <w:szCs w:val="17"/>
                <w:color w:val="auto"/>
              </w:rPr>
            </w:pPr>
          </w:p>
        </w:tc>
      </w:tr>
      <w:tr>
        <w:trPr>
          <w:trHeight w:val="236"/>
        </w:trPr>
        <w:tc>
          <w:tcPr>
            <w:tcW w:w="44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18,222</w:t>
            </w:r>
          </w:p>
        </w:tc>
        <w:tc>
          <w:tcPr>
            <w:tcW w:w="2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9,167</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31,609</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13,001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8"/>
                <w:szCs w:val="18"/>
                <w:color w:val="auto"/>
              </w:rPr>
              <w:t>Timing of Revenue Recognition: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4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Services performed over time</w:t>
            </w:r>
          </w:p>
        </w:tc>
        <w:tc>
          <w:tcPr>
            <w:tcW w:w="30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18,222</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9,167</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31,609</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13,001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44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18,222</w:t>
            </w:r>
          </w:p>
        </w:tc>
        <w:tc>
          <w:tcPr>
            <w:tcW w:w="1000" w:type="dxa"/>
            <w:vAlign w:val="bottom"/>
            <w:gridSpan w:val="2"/>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9,167</w:t>
            </w:r>
          </w:p>
        </w:tc>
        <w:tc>
          <w:tcPr>
            <w:tcW w:w="4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31,609</w:t>
            </w:r>
          </w:p>
        </w:tc>
        <w:tc>
          <w:tcPr>
            <w:tcW w:w="58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13,001</w:t>
            </w:r>
          </w:p>
        </w:tc>
        <w:tc>
          <w:tcPr>
            <w:tcW w:w="6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-445135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-427990</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-582295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-445135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-427990</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-582295</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-445135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-427990</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-582295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-445135</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-427990</wp:posOffset>
            </wp:positionV>
            <wp:extent cx="342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-582295</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-159385</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342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KKC Commercialization Agreement and KKC Japan License Agreement (Note 3) included other distinct performance obligations satisfied over time, and accordingly we recognized $31.6 million and $12.7 million related to our progress toward satisfying those obligations during the six months ended December 31, 2021 and 2020, respectively.</w:t>
      </w:r>
    </w:p>
    <w:p>
      <w:pPr>
        <w:spacing w:after="0" w:line="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Based on the characteristics of the Helsinn License Agreement (Note 3), we recognized revenue based on the extent of progress towards completion of the performance obligations. The Helsinn License Agreement was terminated in November 2021.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Contract liabilities are included in “Deferred revenue” and “Deferred revenue long-term”. The following table presents changes in contract assets and contract liabilities accounted for under Topic 606 during the six months ended December 31, 2021 and 2020 (in thousands):</w:t>
      </w:r>
    </w:p>
    <w:p>
      <w:pPr>
        <w:spacing w:after="0" w:line="17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beginning of period</w:t>
            </w:r>
          </w:p>
        </w:tc>
        <w:tc>
          <w:tcPr>
            <w:tcW w:w="102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Amounts billed</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35,757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8,355</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Payments received</w:t>
            </w:r>
          </w:p>
        </w:tc>
        <w:tc>
          <w:tcPr>
            <w:tcW w:w="102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1"/>
              </w:rPr>
              <w:t>(35,757 )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(8,037 )</w:t>
            </w:r>
          </w:p>
        </w:tc>
      </w:tr>
      <w:tr>
        <w:trPr>
          <w:trHeight w:val="236"/>
        </w:trPr>
        <w:tc>
          <w:tcPr>
            <w:tcW w:w="65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Accounts Receivable, end of period</w:t>
            </w:r>
          </w:p>
        </w:tc>
        <w:tc>
          <w:tcPr>
            <w:tcW w:w="1020" w:type="dxa"/>
            <w:vAlign w:val="bottom"/>
            <w:tcBorders>
              <w:top w:val="single" w:sz="8" w:color="auto"/>
              <w:bottom w:val="single" w:sz="8" w:color="auto"/>
            </w:tcBorders>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520" w:type="dxa"/>
            <w:vAlign w:val="bottom"/>
          </w:tcPr>
          <w:p>
            <w:pPr>
              <w:spacing w:after="0" w:line="183" w:lineRule="exact"/>
              <w:rPr>
                <w:sz w:val="20"/>
                <w:szCs w:val="20"/>
                <w:color w:val="auto"/>
              </w:rPr>
            </w:pPr>
            <w:r>
              <w:rPr>
                <w:rFonts w:ascii="Arial" w:cs="Arial" w:eastAsia="Arial" w:hAnsi="Arial"/>
                <w:sz w:val="18"/>
                <w:szCs w:val="18"/>
                <w:color w:val="auto"/>
              </w:rPr>
              <w:t>Contract assets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Contract assets, beginning of period</w:t>
            </w:r>
          </w:p>
        </w:tc>
        <w:tc>
          <w:tcPr>
            <w:tcW w:w="1020" w:type="dxa"/>
            <w:vAlign w:val="bottom"/>
            <w:shd w:val="clear" w:color="auto" w:fill="CFF0FC"/>
          </w:tcPr>
          <w:p>
            <w:pPr>
              <w:jc w:val="right"/>
              <w:ind w:right="813"/>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2,858</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Billable amounts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38,326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15,381</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Amounts billed</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1"/>
              </w:rPr>
              <w:t>(35,757 )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(8,355 )</w:t>
            </w:r>
          </w:p>
        </w:tc>
      </w:tr>
      <w:tr>
        <w:trPr>
          <w:trHeight w:val="196"/>
        </w:trPr>
        <w:tc>
          <w:tcPr>
            <w:tcW w:w="652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Contract assets, end of period</w:t>
            </w:r>
          </w:p>
        </w:tc>
        <w:tc>
          <w:tcPr>
            <w:tcW w:w="1020" w:type="dxa"/>
            <w:vAlign w:val="bottom"/>
            <w:tcBorders>
              <w:top w:val="single" w:sz="8" w:color="auto"/>
              <w:bottom w:val="single" w:sz="8" w:color="auto"/>
            </w:tcBorders>
          </w:tcPr>
          <w:p>
            <w:pPr>
              <w:jc w:val="right"/>
              <w:ind w:right="81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10,151</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9,884</w:t>
            </w:r>
          </w:p>
        </w:tc>
        <w:tc>
          <w:tcPr>
            <w:tcW w:w="10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Contract liabilities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Contract liabilities, beginning of period</w:t>
            </w:r>
          </w:p>
        </w:tc>
        <w:tc>
          <w:tcPr>
            <w:tcW w:w="102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22,781</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17,955</w:t>
            </w:r>
          </w:p>
        </w:tc>
        <w:tc>
          <w:tcPr>
            <w:tcW w:w="10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Net change</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6,716</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ind w:left="180"/>
              <w:spacing w:after="0" w:line="196" w:lineRule="exact"/>
              <w:rPr>
                <w:sz w:val="20"/>
                <w:szCs w:val="20"/>
                <w:color w:val="auto"/>
              </w:rPr>
            </w:pPr>
            <w:r>
              <w:rPr>
                <w:rFonts w:ascii="Arial" w:cs="Arial" w:eastAsia="Arial" w:hAnsi="Arial"/>
                <w:sz w:val="18"/>
                <w:szCs w:val="18"/>
                <w:color w:val="auto"/>
              </w:rPr>
              <w:t>Contract liabilities, end of period</w:t>
            </w:r>
          </w:p>
        </w:tc>
        <w:tc>
          <w:tcPr>
            <w:tcW w:w="1020" w:type="dxa"/>
            <w:vAlign w:val="bottom"/>
            <w:tcBorders>
              <w:bottom w:val="single" w:sz="8" w:color="auto"/>
            </w:tcBorders>
          </w:tcPr>
          <w:p>
            <w:pPr>
              <w:jc w:val="right"/>
              <w:ind w:right="81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29,497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20,289</w:t>
            </w:r>
          </w:p>
        </w:tc>
        <w:tc>
          <w:tcPr>
            <w:tcW w:w="10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-1250950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-1233805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-1250950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-708025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-708025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Condensed Balance Sheet relate to the KKC Commercialization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of December 31, 2021, we had $10.5 million of contract assets related to our remaining performance obligations under the KKC Commercialization Agreement. Our contract assets are comprised of amounts that are billable based on the contractual provisions of the license agreement but not yet billed.</w:t>
      </w:r>
    </w:p>
    <w:p>
      <w:pPr>
        <w:spacing w:after="0" w:line="74" w:lineRule="exact"/>
        <w:rPr>
          <w:sz w:val="20"/>
          <w:szCs w:val="20"/>
          <w:color w:val="auto"/>
        </w:rPr>
      </w:pPr>
    </w:p>
    <w:p>
      <w:pPr>
        <w:jc w:val="both"/>
        <w:ind w:right="480" w:firstLine="509"/>
        <w:spacing w:after="0" w:line="270" w:lineRule="auto"/>
        <w:rPr>
          <w:sz w:val="20"/>
          <w:szCs w:val="20"/>
          <w:color w:val="auto"/>
        </w:rPr>
      </w:pPr>
      <w:r>
        <w:rPr>
          <w:rFonts w:ascii="Arial" w:cs="Arial" w:eastAsia="Arial" w:hAnsi="Arial"/>
          <w:sz w:val="17"/>
          <w:szCs w:val="17"/>
          <w:color w:val="auto"/>
        </w:rPr>
        <w:t>As of December 31, 2021, we had $94.0 million of deferred revenue associated with the KKC Commercialization Agreement, of which $64.5 million relates to the U.S. license which is a unit of account under the scope of Topic 808 and is not a deliverable under Topic 606, and $29.5 million relates to the Ex-U.S. License and development services performance obligations which are under the scope of Topic 606.</w:t>
      </w:r>
    </w:p>
    <w:p>
      <w:pPr>
        <w:spacing w:after="0" w:line="5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research and development performance obligations as well as additional cost reimbursements in excess of revenue recognized. Contract liabilities are expected to be recognized over the duration of the performance obligations based on the costs incurred relative to total expected costs. Our contract liabilities may fluctuate due to changes in the total estimated cost of the performance obligations and our expected reimbursement of those costs. For the six months ended December 31, 2021, we recognized revenue of $10.5 million that was included in the contract liabilities balance at June 30, 2021 related to performance obligations under ASC 606.</w:t>
      </w:r>
    </w:p>
    <w:p>
      <w:pPr>
        <w:spacing w:after="0" w:line="81"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For the six months ended December 31, 2020, we recognized revenue of $7.9 million that was included in the contract liabilities balance at June 30, 2020 related to performance obligations under ASC 606. To date we have not recognized any amounts related to units of account under Topic 808.</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earn revenue in connection with collaboration agreements, which are described in Note 3, License Agreements.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At contract inception, we assess whether the collaboration arrangements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short-term or long-term deferred revenue based on our best estimate of when such amounts will be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08"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December 31, 2021,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3"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There have been no material changes in our unrecognized tax benefits since June 30, 2021, and, as such, the disclosures included in our 2021 Annual Report continue to be relevant for the six months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 xml:space="preserve">We account for our leases under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Leases which are identified within the scope of ASC 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84"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10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47"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03" w:lineRule="exact"/>
        <w:rPr>
          <w:rFonts w:ascii="Arial" w:cs="Arial" w:eastAsia="Arial" w:hAnsi="Arial"/>
          <w:sz w:val="18"/>
          <w:szCs w:val="18"/>
          <w:color w:val="auto"/>
        </w:rPr>
      </w:pPr>
    </w:p>
    <w:p>
      <w:pPr>
        <w:ind w:left="1020" w:right="4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r>
      <w:tr>
        <w:trPr>
          <w:trHeight w:val="196"/>
        </w:trPr>
        <w:tc>
          <w:tcPr>
            <w:tcW w:w="3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Warrant liability</w:t>
            </w:r>
          </w:p>
        </w:tc>
        <w:tc>
          <w:tcPr>
            <w:tcW w:w="820" w:type="dxa"/>
            <w:vAlign w:val="bottom"/>
            <w:tcBorders>
              <w:top w:val="single" w:sz="8" w:color="auto"/>
              <w:bottom w:val="single" w:sz="8" w:color="auto"/>
            </w:tcBorders>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14,309</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ind w:left="66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22,355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382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820" w:type="dxa"/>
            <w:vAlign w:val="bottom"/>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14,309</w:t>
            </w:r>
          </w:p>
        </w:tc>
        <w:tc>
          <w:tcPr>
            <w:tcW w:w="4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ind w:left="6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ind w:left="76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22,355</w:t>
            </w:r>
          </w:p>
        </w:tc>
        <w:tc>
          <w:tcPr>
            <w:tcW w:w="8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-159385</wp:posOffset>
            </wp:positionV>
            <wp:extent cx="514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-159385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431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-159385</wp:posOffset>
            </wp:positionV>
            <wp:extent cx="431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instruments which are readily convertible into cash, such as money market funds and U.S. government securities. Cash equivalents, where applicable, and short-term investments are classified as Level 1 as defined by the fair value hierarchy.</w:t>
      </w:r>
    </w:p>
    <w:p>
      <w:pPr>
        <w:spacing w:after="0" w:line="17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and six months ended December 31, 2021 and 2020, respectively.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2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5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0.5</w:t>
            </w:r>
          </w:p>
        </w:tc>
        <w:tc>
          <w:tcPr>
            <w:tcW w:w="3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Expected life (years)</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69.1 %</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88.5 %</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7"/>
                <w:szCs w:val="17"/>
                <w:color w:val="auto"/>
              </w:rPr>
            </w:pP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0.0 %</w:t>
            </w:r>
          </w:p>
        </w:tc>
        <w:tc>
          <w:tcPr>
            <w:tcW w:w="2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Black-Scholes Fair Value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0.89</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following table sets forth a summary of changes in the estimated fair value of our Level 3 warrant liability for the six months ended December 31, 2021 and 2020 (in thousands):</w:t>
      </w:r>
    </w:p>
    <w:p>
      <w:pPr>
        <w:spacing w:after="0" w:line="203"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Fair Value of Warrants Using Significant</w:t>
      </w:r>
    </w:p>
    <w:p>
      <w:pPr>
        <w:spacing w:after="0" w:line="4"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Unobservable Inputs (Level 3)</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July 1,</w:t>
            </w:r>
          </w:p>
        </w:tc>
        <w:tc>
          <w:tcPr>
            <w:tcW w:w="840" w:type="dxa"/>
            <w:vAlign w:val="bottom"/>
            <w:shd w:val="clear" w:color="auto" w:fill="CFF0FC"/>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22,355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40,483</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Change in estimated fair value of liability classified warrants</w:t>
            </w:r>
          </w:p>
        </w:tc>
        <w:tc>
          <w:tcPr>
            <w:tcW w:w="84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(8,046 )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(20,307 )</w:t>
            </w:r>
          </w:p>
        </w:tc>
      </w:tr>
      <w:tr>
        <w:trPr>
          <w:trHeight w:val="236"/>
        </w:trPr>
        <w:tc>
          <w:tcPr>
            <w:tcW w:w="5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840" w:type="dxa"/>
            <w:vAlign w:val="bottom"/>
            <w:tcBorders>
              <w:top w:val="single" w:sz="8" w:color="auto"/>
              <w:bottom w:val="single" w:sz="8" w:color="auto"/>
            </w:tcBorders>
            <w:shd w:val="clear" w:color="auto" w:fill="CFF0FC"/>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14,309</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20,176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License Agreements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we may earn up to approximately $582.5 million in potential development, regulatory and commercialization milestone payments, plus royalties on net sales of zandelisib in the Ex-U.S., which are tiered beginning in the teens. During the six months ended December 31, 2021, we reached two milestones triggering a total of $20.0 million, which was recorded as deferred revenue to be recognized as the performance obligations are met.</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3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67"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We determined, at the time of our initial assessment, that the total transaction price of $191.5 million is comprised of the upfront payment of $100.0 million, milestone payments of $20.0 million, estimated development cost-sharing of $66.3 million, and deferred revenue of $5.2 million from the KKC Japan License Agreement. During the six months ended December 31, 2021, we updated our estimate of variable consideration related to development cost sharing to $152.3 million. We increased our estimate primarily as a result of the removal of constraints on transaction price under ASC 606 as a result of higher probability that certain development projects will be undertaken in the future, as well as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63"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6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December 31, 2021 and 2020, we recorded deferred revenue of $29.5 million and $20.3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Helsinn License Agreement</w:t>
      </w:r>
    </w:p>
    <w:p>
      <w:pPr>
        <w:spacing w:after="0" w:line="104"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The Helsinn License Agreement was terminated in November 2021.</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BeiGene Collaboration</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and six months ended December 31, 2021 and 2020. Diluted net loss per share is computed based on the sum of the weighted average number of common shares and potentially dilutive common shares outstanding during the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 basic</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(5,766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(11,454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(17,646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(13,546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(5,458 )</w:t>
            </w:r>
          </w:p>
        </w:tc>
        <w:tc>
          <w:tcPr>
            <w:tcW w:w="520" w:type="dxa"/>
            <w:vAlign w:val="bottom"/>
          </w:tcPr>
          <w:p>
            <w:pPr>
              <w:spacing w:after="0"/>
              <w:rPr>
                <w:sz w:val="17"/>
                <w:szCs w:val="17"/>
                <w:color w:val="auto"/>
              </w:rPr>
            </w:pPr>
          </w:p>
        </w:tc>
        <w:tc>
          <w:tcPr>
            <w:tcW w:w="10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(7,083 )</w:t>
            </w:r>
          </w:p>
        </w:tc>
        <w:tc>
          <w:tcPr>
            <w:tcW w:w="320" w:type="dxa"/>
            <w:vAlign w:val="bottom"/>
          </w:tcPr>
          <w:p>
            <w:pPr>
              <w:spacing w:after="0"/>
              <w:rPr>
                <w:sz w:val="17"/>
                <w:szCs w:val="17"/>
                <w:color w:val="auto"/>
              </w:rPr>
            </w:pPr>
          </w:p>
        </w:tc>
        <w:tc>
          <w:tcPr>
            <w:tcW w:w="12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(8,046 )</w:t>
            </w:r>
          </w:p>
        </w:tc>
        <w:tc>
          <w:tcPr>
            <w:tcW w:w="4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(20,307 )</w:t>
            </w:r>
          </w:p>
        </w:tc>
      </w:tr>
      <w:tr>
        <w:trPr>
          <w:trHeight w:val="236"/>
        </w:trPr>
        <w:tc>
          <w:tcPr>
            <w:tcW w:w="4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 diluted</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(11,224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(18,537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(25,692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(33,853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 used in calculating net loss per share was determined as follows (in thousands):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used in calculating basic net loss per share</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126,725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112,524</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115,982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112,480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8"/>
                <w:szCs w:val="18"/>
                <w:color w:val="auto"/>
                <w:w w:val="98"/>
              </w:rPr>
              <w:t>Effect of potentially dilutive common shares from equity awards and liability-</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1,937</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classified warrants</w:t>
            </w: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used in calculating diluted net loss per share</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128,160</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114,461</w:t>
            </w: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118,657</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114,709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following table presents weighted-average potentially dilutive shares that have been excluded from the calculation of net loss per share because of their anti-dilutive effect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20,460</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15,128</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20,671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15,347</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60" w:type="dxa"/>
            <w:vAlign w:val="bottom"/>
          </w:tcPr>
          <w:p>
            <w:pPr>
              <w:spacing w:after="0"/>
              <w:rPr>
                <w:sz w:val="17"/>
                <w:szCs w:val="17"/>
                <w:color w:val="auto"/>
              </w:rPr>
            </w:pPr>
          </w:p>
        </w:tc>
      </w:tr>
      <w:tr>
        <w:trPr>
          <w:trHeight w:val="236"/>
        </w:trPr>
        <w:tc>
          <w:tcPr>
            <w:tcW w:w="5040" w:type="dxa"/>
            <w:vAlign w:val="bottom"/>
            <w:tcBorders>
              <w:top w:val="single" w:sz="8" w:color="CFF0FC"/>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anti-dilutive shares</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20,689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15,558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20,915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15,777</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-161925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43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-161925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-161925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December 31, 2021, we had not accrued any amounts for potential future payments.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8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Not only might the continuing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80"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Government stimulus programs enacted in response to the COVID-19 pandemic have not had a material impact on our financial condition, results of operations, or liquidity.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are party to a lease agreement for approximately 32,800 square feet of office space in San Diego, California. We have accounted for the lease as an operating lease. The contractual lease term is from July 2020 through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4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820" w:type="dxa"/>
            <w:vAlign w:val="bottom"/>
            <w:tcBorders>
              <w:top w:val="single" w:sz="8" w:color="auto"/>
            </w:tcBorders>
            <w:shd w:val="clear" w:color="auto" w:fill="CFF0FC"/>
          </w:tcPr>
          <w:p>
            <w:pPr>
              <w:jc w:val="right"/>
              <w:ind w:right="622"/>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w:t>
            </w:r>
          </w:p>
        </w:tc>
        <w:tc>
          <w:tcPr>
            <w:tcW w:w="2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w:t>
            </w:r>
          </w:p>
        </w:tc>
        <w:tc>
          <w:tcPr>
            <w:tcW w:w="1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w:t>
            </w:r>
          </w:p>
        </w:tc>
        <w:tc>
          <w:tcPr>
            <w:tcW w:w="6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36"/>
              <w:spacing w:after="0"/>
              <w:rPr>
                <w:sz w:val="20"/>
                <w:szCs w:val="20"/>
                <w:color w:val="auto"/>
              </w:rPr>
            </w:pPr>
            <w:r>
              <w:rPr>
                <w:rFonts w:ascii="Arial" w:cs="Arial" w:eastAsia="Arial" w:hAnsi="Arial"/>
                <w:sz w:val="14"/>
                <w:szCs w:val="14"/>
                <w:b w:val="1"/>
                <w:bCs w:val="1"/>
                <w:color w:val="auto"/>
                <w:w w:val="96"/>
              </w:rPr>
              <w:t>2020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8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right w:val="single" w:sz="8" w:color="CFF0FC"/>
            </w:tcBorders>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800" w:type="dxa"/>
            <w:vAlign w:val="bottom"/>
          </w:tcPr>
          <w:p>
            <w:pPr>
              <w:jc w:val="right"/>
              <w:ind w:right="619"/>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10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7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8"/>
              </w:rPr>
              <w:t>Right-of-use assets obtained in exchange for operating lease</w:t>
            </w:r>
          </w:p>
        </w:tc>
        <w:tc>
          <w:tcPr>
            <w:tcW w:w="80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obligations:</w:t>
            </w:r>
          </w:p>
        </w:tc>
        <w:tc>
          <w:tcPr>
            <w:tcW w:w="800" w:type="dxa"/>
            <w:vAlign w:val="bottom"/>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tcBorders>
              <w:right w:val="single" w:sz="8" w:color="CFF0FC"/>
            </w:tcBorders>
            <w:vMerge w:val="continue"/>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0" w:type="dxa"/>
            <w:vAlign w:val="bottom"/>
          </w:tcPr>
          <w:p>
            <w:pPr>
              <w:jc w:val="right"/>
              <w:ind w:right="359"/>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December 31, 2021 (in thousands):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r>
      <w:tr>
        <w:trPr>
          <w:trHeight w:val="196"/>
        </w:trPr>
        <w:tc>
          <w:tcPr>
            <w:tcW w:w="72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Remainder of fiscal year ending June 30, 2022</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Years ending June 30,</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72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1,612</w:t>
            </w:r>
          </w:p>
        </w:tc>
        <w:tc>
          <w:tcPr>
            <w:tcW w:w="240" w:type="dxa"/>
            <w:vAlign w:val="bottom"/>
          </w:tcPr>
          <w:p>
            <w:pPr>
              <w:spacing w:after="0"/>
              <w:rPr>
                <w:sz w:val="17"/>
                <w:szCs w:val="17"/>
                <w:color w:val="auto"/>
              </w:rPr>
            </w:pPr>
          </w:p>
        </w:tc>
      </w:tr>
      <w:tr>
        <w:trPr>
          <w:trHeight w:val="203"/>
        </w:trPr>
        <w:tc>
          <w:tcPr>
            <w:tcW w:w="72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240" w:type="dxa"/>
            <w:vAlign w:val="bottom"/>
          </w:tcPr>
          <w:p>
            <w:pPr>
              <w:spacing w:after="0"/>
              <w:rPr>
                <w:sz w:val="17"/>
                <w:szCs w:val="17"/>
                <w:color w:val="auto"/>
              </w:rPr>
            </w:pPr>
          </w:p>
        </w:tc>
      </w:tr>
      <w:tr>
        <w:trPr>
          <w:trHeight w:val="203"/>
        </w:trPr>
        <w:tc>
          <w:tcPr>
            <w:tcW w:w="72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1,761</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1,360</w:t>
            </w:r>
          </w:p>
        </w:tc>
        <w:tc>
          <w:tcPr>
            <w:tcW w:w="240" w:type="dxa"/>
            <w:vAlign w:val="bottom"/>
          </w:tcPr>
          <w:p>
            <w:pPr>
              <w:spacing w:after="0"/>
              <w:rPr>
                <w:sz w:val="17"/>
                <w:szCs w:val="17"/>
                <w:color w:val="auto"/>
              </w:rPr>
            </w:pPr>
          </w:p>
        </w:tc>
      </w:tr>
      <w:tr>
        <w:trPr>
          <w:trHeight w:val="196"/>
        </w:trPr>
        <w:tc>
          <w:tcPr>
            <w:tcW w:w="722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9,936</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Less: Present value discount</w:t>
            </w:r>
          </w:p>
        </w:tc>
        <w:tc>
          <w:tcPr>
            <w:tcW w:w="22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(2,094 )</w:t>
            </w:r>
          </w:p>
        </w:tc>
      </w:tr>
      <w:tr>
        <w:trPr>
          <w:trHeight w:val="236"/>
        </w:trPr>
        <w:tc>
          <w:tcPr>
            <w:tcW w:w="72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7,842</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183"/>
        </w:trPr>
        <w:tc>
          <w:tcPr>
            <w:tcW w:w="7220" w:type="dxa"/>
            <w:vAlign w:val="bottom"/>
          </w:tcPr>
          <w:p>
            <w:pPr>
              <w:spacing w:after="0" w:line="183" w:lineRule="exact"/>
              <w:rPr>
                <w:sz w:val="20"/>
                <w:szCs w:val="20"/>
                <w:color w:val="auto"/>
              </w:rPr>
            </w:pPr>
            <w:r>
              <w:rPr>
                <w:rFonts w:ascii="Arial" w:cs="Arial" w:eastAsia="Arial" w:hAnsi="Arial"/>
                <w:sz w:val="18"/>
                <w:szCs w:val="18"/>
                <w:b w:val="1"/>
                <w:bCs w:val="1"/>
                <w:color w:val="auto"/>
              </w:rPr>
              <w:t>Balance Sheet Classification – Operating Lease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72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w:t>
            </w:r>
          </w:p>
        </w:tc>
        <w:tc>
          <w:tcPr>
            <w:tcW w:w="240" w:type="dxa"/>
            <w:vAlign w:val="bottom"/>
            <w:shd w:val="clear" w:color="auto" w:fill="CFF0FC"/>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liability, long-term</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6,855</w:t>
            </w:r>
          </w:p>
        </w:tc>
        <w:tc>
          <w:tcPr>
            <w:tcW w:w="240" w:type="dxa"/>
            <w:vAlign w:val="bottom"/>
          </w:tcPr>
          <w:p>
            <w:pPr>
              <w:spacing w:after="0"/>
              <w:rPr>
                <w:sz w:val="17"/>
                <w:szCs w:val="17"/>
                <w:color w:val="auto"/>
              </w:rPr>
            </w:pPr>
          </w:p>
        </w:tc>
      </w:tr>
      <w:tr>
        <w:trPr>
          <w:trHeight w:val="236"/>
        </w:trPr>
        <w:tc>
          <w:tcPr>
            <w:tcW w:w="72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7,842</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183"/>
        </w:trPr>
        <w:tc>
          <w:tcPr>
            <w:tcW w:w="7220" w:type="dxa"/>
            <w:vAlign w:val="bottom"/>
          </w:tcPr>
          <w:p>
            <w:pPr>
              <w:spacing w:after="0" w:line="183" w:lineRule="exact"/>
              <w:rPr>
                <w:sz w:val="20"/>
                <w:szCs w:val="20"/>
                <w:color w:val="auto"/>
              </w:rPr>
            </w:pPr>
            <w:r>
              <w:rPr>
                <w:rFonts w:ascii="Arial" w:cs="Arial" w:eastAsia="Arial" w:hAnsi="Arial"/>
                <w:sz w:val="18"/>
                <w:szCs w:val="18"/>
                <w:b w:val="1"/>
                <w:bCs w:val="1"/>
                <w:color w:val="auto"/>
              </w:rPr>
              <w:t>Other Balance Sheet Information – Operating Lease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7"/>
                <w:szCs w:val="17"/>
                <w:color w:val="auto"/>
              </w:rPr>
            </w:pP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-977265</wp:posOffset>
            </wp:positionV>
            <wp:extent cx="1543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-960120</wp:posOffset>
            </wp:positionV>
            <wp:extent cx="1543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-428625</wp:posOffset>
            </wp:positionV>
            <wp:extent cx="1543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-411480</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Investments</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of December 31, 2021, and June 30, 2021, our short-term investments consisted of $173.2 million and $144.9 million, respectively, in U.S. government securities. The short-term investments held as of December 31, 2021 and June 30, 2021 had maturity dates of less than one year, are considered to be “held to maturity” and are carried at amortized cost. As of December 31, 2021, and June 30, 2021, the gross holding gains and losses were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04"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In December 2021, we completed an underwritten registered offering of 20,125,000 shares of common stock at a price per share of $2.60. We received net cash proceeds of $48.7 million associated with the offering, after costs of $3.7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December 31, 2021, there is $123.4 million aggregate value of securities available under the shelf registration statement, including up to $60.0 million remaining available under the 2020 ATM Sales Agreement described below.</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As of December 31, 2021, there is $60.0 million remaining available under the 2020 ATM Sales Agreement.</w:t>
      </w:r>
    </w:p>
    <w:p>
      <w:pPr>
        <w:spacing w:after="0" w:line="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During the six months ended December 31, 2020, we sold 958,083 shares under a previous ATM agreement for gross proceeds of $3.2 million. We received net cash proceeds of $3.1 million, after costs of $0.1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04"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As of December 31, 2021, we have outstanding warrants to purchase 16,058,985 shares of our common stock. The warrants are fully vested, exercisable at a price of $2.54 per share and expire in May 2023. Pursuant to the terms of the warrants, we could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required to settle the warrants in cash in the event of an acquisition of the Company and, as a result, the warrants are required to be measured at fair value and reported as a liability in the Condensed Balance Sheet. Therefore, we are required to account for the warrants as liabilities and record them at fair value. The warrants were revalued as of December 31, 2021 and June 30, 2021 at $14.3 million and $22.4 million, respectively; the changes in fair value were recorded in our Condensed Statement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employees and advisors. As of December 31, 2021, there were 7,748,157 shares available for future grant under the Omnibus Plan.</w:t>
      </w:r>
    </w:p>
    <w:p>
      <w:pPr>
        <w:spacing w:after="0" w:line="66"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December 31, 2021, there were 1,318,000 shares available for future grant under the Inducement Plan.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3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700" w:type="dxa"/>
            <w:vAlign w:val="bottom"/>
            <w:tcBorders>
              <w:top w:val="single" w:sz="8" w:color="auto"/>
            </w:tcBorders>
            <w:shd w:val="clear" w:color="auto" w:fill="CFF0FC"/>
          </w:tcPr>
          <w:p>
            <w:pPr>
              <w:jc w:val="right"/>
              <w:ind w:right="51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w:t>
            </w:r>
          </w:p>
        </w:tc>
        <w:tc>
          <w:tcPr>
            <w:tcW w:w="2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1,160</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1,280</w:t>
            </w: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2,289</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1,666</w:t>
            </w:r>
          </w:p>
        </w:tc>
        <w:tc>
          <w:tcPr>
            <w:tcW w:w="2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1,449</w:t>
            </w: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3,583</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3,262</w:t>
            </w:r>
          </w:p>
        </w:tc>
        <w:tc>
          <w:tcPr>
            <w:tcW w:w="60" w:type="dxa"/>
            <w:vAlign w:val="bottom"/>
            <w:tcBorders>
              <w:bottom w:val="single" w:sz="8" w:color="CFF0FC"/>
            </w:tcBorders>
          </w:tcPr>
          <w:p>
            <w:pPr>
              <w:spacing w:after="0"/>
              <w:rPr>
                <w:sz w:val="17"/>
                <w:szCs w:val="17"/>
                <w:color w:val="auto"/>
              </w:rPr>
            </w:pPr>
          </w:p>
        </w:tc>
      </w:tr>
      <w:tr>
        <w:trPr>
          <w:trHeight w:val="236"/>
        </w:trPr>
        <w:tc>
          <w:tcPr>
            <w:tcW w:w="50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share-based compensation</w:t>
            </w:r>
          </w:p>
        </w:tc>
        <w:tc>
          <w:tcPr>
            <w:tcW w:w="700" w:type="dxa"/>
            <w:vAlign w:val="bottom"/>
            <w:tcBorders>
              <w:bottom w:val="single" w:sz="8" w:color="auto"/>
            </w:tcBorders>
            <w:shd w:val="clear" w:color="auto" w:fill="CFF0FC"/>
          </w:tcPr>
          <w:p>
            <w:pPr>
              <w:jc w:val="right"/>
              <w:ind w:right="519"/>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2,324</w:t>
            </w:r>
          </w:p>
        </w:tc>
        <w:tc>
          <w:tcPr>
            <w:tcW w:w="2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2,609</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4,863</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5,551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425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-162560</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for the six months ended December 31, 2021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Intrinsic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June 30, 2021</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16,668,542</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w:t>
            </w:r>
          </w:p>
        </w:tc>
        <w:tc>
          <w:tcPr>
            <w:tcW w:w="1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5,573,734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(102,047 )</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Forfeited / Cancelled</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(1,778,214 )</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20,362,015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8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2.98</w:t>
            </w:r>
          </w:p>
        </w:tc>
        <w:tc>
          <w:tcPr>
            <w:tcW w:w="1380" w:type="dxa"/>
            <w:vAlign w:val="bottom"/>
            <w:tcBorders>
              <w:top w:val="single" w:sz="8" w:color="CFF0FC"/>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7.7</w:t>
            </w:r>
          </w:p>
        </w:tc>
        <w:tc>
          <w:tcPr>
            <w:tcW w:w="300" w:type="dxa"/>
            <w:vAlign w:val="bottom"/>
            <w:tcBorders>
              <w:top w:val="single" w:sz="8" w:color="CFF0FC"/>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3,439,237</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60" w:type="dxa"/>
            <w:vAlign w:val="bottom"/>
          </w:tcPr>
          <w:p>
            <w:pPr>
              <w:ind w:left="20"/>
              <w:spacing w:after="0"/>
              <w:rPr>
                <w:sz w:val="20"/>
                <w:szCs w:val="20"/>
                <w:color w:val="auto"/>
              </w:rPr>
            </w:pPr>
            <w:r>
              <w:rPr>
                <w:rFonts w:ascii="Arial" w:cs="Arial" w:eastAsia="Arial" w:hAnsi="Arial"/>
                <w:sz w:val="18"/>
                <w:szCs w:val="18"/>
                <w:color w:val="auto"/>
              </w:rPr>
              <w:t>Vested and exercisable at December 31, 2021</w:t>
            </w:r>
          </w:p>
        </w:tc>
        <w:tc>
          <w:tcPr>
            <w:tcW w:w="1180" w:type="dxa"/>
            <w:vAlign w:val="bottom"/>
          </w:tcPr>
          <w:p>
            <w:pPr>
              <w:jc w:val="right"/>
              <w:spacing w:after="0"/>
              <w:rPr>
                <w:sz w:val="20"/>
                <w:szCs w:val="20"/>
                <w:color w:val="auto"/>
              </w:rPr>
            </w:pPr>
            <w:r>
              <w:rPr>
                <w:rFonts w:ascii="Arial" w:cs="Arial" w:eastAsia="Arial" w:hAnsi="Arial"/>
                <w:sz w:val="18"/>
                <w:szCs w:val="18"/>
                <w:color w:val="auto"/>
              </w:rPr>
              <w:t>10,129,870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3,177,213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-154305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-308610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1" w:lineRule="exact"/>
        <w:rPr>
          <w:sz w:val="20"/>
          <w:szCs w:val="20"/>
          <w:color w:val="auto"/>
        </w:rPr>
      </w:pPr>
    </w:p>
    <w:p>
      <w:pPr>
        <w:ind w:right="260" w:firstLine="509"/>
        <w:spacing w:after="0" w:line="279" w:lineRule="auto"/>
        <w:rPr>
          <w:sz w:val="20"/>
          <w:szCs w:val="20"/>
          <w:color w:val="auto"/>
        </w:rPr>
      </w:pPr>
      <w:r>
        <w:rPr>
          <w:rFonts w:ascii="Arial" w:cs="Arial" w:eastAsia="Arial" w:hAnsi="Arial"/>
          <w:sz w:val="16"/>
          <w:szCs w:val="16"/>
          <w:color w:val="auto"/>
        </w:rPr>
        <w:t>The fair value of each stock option granted during the six months ended December 31, 2021 is estimated on the grant date under the fair value method using a Black-Scholes valuation model. Stock options granted to employees during the six months ended December 31, 2021 vest 25% one year from the date of grant and ratably each month thereafter for a period of 36 months and expire ten years from the date of grant. Stock options granted to directors during the six months ended December 31, 2021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44"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life (years)</w:t>
            </w:r>
          </w:p>
        </w:tc>
        <w:tc>
          <w:tcPr>
            <w:tcW w:w="8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6"/>
              </w:rPr>
              <w:t>68.0 %</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80.8 %</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17"/>
                <w:szCs w:val="17"/>
                <w:color w:val="auto"/>
              </w:rPr>
            </w:pP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0.0 %</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grant date fair value</w:t>
            </w:r>
          </w:p>
        </w:tc>
        <w:tc>
          <w:tcPr>
            <w:tcW w:w="820" w:type="dxa"/>
            <w:vAlign w:val="bottom"/>
            <w:shd w:val="clear" w:color="auto" w:fill="CFF0FC"/>
          </w:tcPr>
          <w:p>
            <w:pPr>
              <w:jc w:val="right"/>
              <w:ind w:right="639"/>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As of December 31, 2021, there was $10.9 million of unrecognized compensation expense related to the unvested portion of stock options. Such compensation expense is expected to be recognized over a weighted-average period of 1.7 years.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for the six months ended December 31, 2021 was as follows: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52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6"/>
                <w:szCs w:val="16"/>
                <w:color w:val="auto"/>
              </w:rPr>
            </w:pPr>
          </w:p>
        </w:tc>
        <w:tc>
          <w:tcPr>
            <w:tcW w:w="15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June 30, 2021</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400,650</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2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(130,000 )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 / Cancelled</w:t>
            </w:r>
          </w:p>
        </w:tc>
        <w:tc>
          <w:tcPr>
            <w:tcW w:w="2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(46,250 )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line="182" w:lineRule="exact"/>
              <w:rPr>
                <w:sz w:val="20"/>
                <w:szCs w:val="20"/>
                <w:color w:val="auto"/>
              </w:rPr>
            </w:pPr>
            <w:r>
              <w:rPr>
                <w:rFonts w:ascii="Arial" w:cs="Arial" w:eastAsia="Arial" w:hAnsi="Arial"/>
                <w:sz w:val="18"/>
                <w:szCs w:val="18"/>
                <w:color w:val="auto"/>
              </w:rPr>
              <w:t>Non-vested at December 31, 2021</w:t>
            </w:r>
          </w:p>
        </w:tc>
        <w:tc>
          <w:tcPr>
            <w:tcW w:w="1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224,400</w:t>
            </w:r>
          </w:p>
        </w:tc>
        <w:tc>
          <w:tcPr>
            <w:tcW w:w="24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Each RSU represents the contingent right to receive one share of our common stock. Under the terms of the Omnibus Plan, each of the RSUs is calculated as 1.25 shares of common stock for purposes of determining the number of shares available for future grant. During the six months ended December 31, 2021, 130,000 RSUs vested. We issued 63,855 shares of common stock to RSU holders; 66,145 shares were surrendered to us by RSU holders as payment for the employee portion of the required withholding of associated payroll taxes. As of December 31, 2021, unrecognized compensation expense related to the unvested portion of our RSUs was approximately $0.2 million and is expected to be recognized over approximately six months.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firstLine="509"/>
        <w:spacing w:after="0" w:line="271"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2021 Annual Report on Form 10-K, as filed with the Securities and Exchange Commission on September 2, 2021. Set forth below is a summary of the principal risks we face:</w:t>
      </w:r>
    </w:p>
    <w:p>
      <w:pPr>
        <w:spacing w:after="0" w:line="61" w:lineRule="exact"/>
        <w:rPr>
          <w:sz w:val="20"/>
          <w:szCs w:val="20"/>
          <w:color w:val="auto"/>
        </w:rPr>
      </w:pPr>
    </w:p>
    <w:p>
      <w:pPr>
        <w:ind w:left="1020" w:right="30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late stage clinical research and development stage company and are likely to incur operating losses for the foreseeable future;</w:t>
      </w:r>
    </w:p>
    <w:p>
      <w:pPr>
        <w:spacing w:after="0" w:line="18" w:lineRule="exact"/>
        <w:rPr>
          <w:rFonts w:ascii="Arial" w:cs="Arial" w:eastAsia="Arial" w:hAnsi="Arial"/>
          <w:sz w:val="16"/>
          <w:szCs w:val="16"/>
          <w:color w:val="auto"/>
        </w:rPr>
      </w:pPr>
    </w:p>
    <w:p>
      <w:pPr>
        <w:ind w:left="1020" w:right="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1" w:lineRule="exact"/>
        <w:rPr>
          <w:rFonts w:ascii="Arial" w:cs="Arial" w:eastAsia="Arial" w:hAnsi="Arial"/>
          <w:sz w:val="18"/>
          <w:szCs w:val="18"/>
          <w:color w:val="auto"/>
        </w:rPr>
      </w:pPr>
    </w:p>
    <w:p>
      <w:pPr>
        <w:ind w:left="1020" w:right="1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ind w:left="1020" w:right="8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2" w:lineRule="exact"/>
        <w:rPr>
          <w:rFonts w:ascii="Arial" w:cs="Arial" w:eastAsia="Arial" w:hAnsi="Arial"/>
          <w:sz w:val="18"/>
          <w:szCs w:val="18"/>
          <w:color w:val="auto"/>
        </w:rPr>
      </w:pPr>
    </w:p>
    <w:p>
      <w:pPr>
        <w:ind w:left="1020" w:right="16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2" w:lineRule="exact"/>
        <w:rPr>
          <w:rFonts w:ascii="Arial" w:cs="Arial" w:eastAsia="Arial" w:hAnsi="Arial"/>
          <w:sz w:val="18"/>
          <w:szCs w:val="18"/>
          <w:color w:val="auto"/>
        </w:rPr>
      </w:pPr>
    </w:p>
    <w:p>
      <w:pPr>
        <w:ind w:left="1020" w:right="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spacing w:after="0" w:line="1" w:lineRule="exact"/>
        <w:rPr>
          <w:rFonts w:ascii="Arial" w:cs="Arial" w:eastAsia="Arial" w:hAnsi="Arial"/>
          <w:sz w:val="18"/>
          <w:szCs w:val="18"/>
          <w:color w:val="auto"/>
        </w:rPr>
      </w:pPr>
    </w:p>
    <w:p>
      <w:pPr>
        <w:ind w:left="1020" w:right="5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spacing w:after="0" w:line="1" w:lineRule="exact"/>
        <w:rPr>
          <w:rFonts w:ascii="Arial" w:cs="Arial" w:eastAsia="Arial" w:hAnsi="Arial"/>
          <w:sz w:val="18"/>
          <w:szCs w:val="18"/>
          <w:color w:val="auto"/>
        </w:rPr>
      </w:pPr>
    </w:p>
    <w:p>
      <w:pPr>
        <w:ind w:left="1020" w:right="14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enrolment of patients in clinical trials, our completion of clinical trials and receipt of necessary regulatory approvals could be delayed or prevented;</w:t>
      </w:r>
    </w:p>
    <w:p>
      <w:pPr>
        <w:spacing w:after="0" w:line="1" w:lineRule="exact"/>
        <w:rPr>
          <w:rFonts w:ascii="Arial" w:cs="Arial" w:eastAsia="Arial" w:hAnsi="Arial"/>
          <w:sz w:val="18"/>
          <w:szCs w:val="18"/>
          <w:color w:val="auto"/>
        </w:rPr>
      </w:pPr>
    </w:p>
    <w:p>
      <w:pPr>
        <w:ind w:left="1020" w:right="18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ind w:left="1020" w:right="4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1" w:lineRule="exact"/>
        <w:rPr>
          <w:rFonts w:ascii="Arial" w:cs="Arial" w:eastAsia="Arial" w:hAnsi="Arial"/>
          <w:sz w:val="18"/>
          <w:szCs w:val="18"/>
          <w:color w:val="auto"/>
        </w:rPr>
      </w:pPr>
    </w:p>
    <w:p>
      <w:pPr>
        <w:ind w:left="1020" w:right="4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ind w:left="1020" w:right="26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left="1020" w:right="200" w:hanging="503"/>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jc w:val="both"/>
        <w:ind w:left="1020" w:right="1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ind w:left="1020" w:right="1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spacing w:after="0" w:line="1" w:lineRule="exact"/>
        <w:rPr>
          <w:rFonts w:ascii="Arial" w:cs="Arial" w:eastAsia="Arial" w:hAnsi="Arial"/>
          <w:sz w:val="18"/>
          <w:szCs w:val="18"/>
          <w:color w:val="auto"/>
        </w:rPr>
      </w:pPr>
    </w:p>
    <w:p>
      <w:pPr>
        <w:ind w:left="1020" w:right="10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spacing w:after="0" w:line="1" w:lineRule="exact"/>
        <w:rPr>
          <w:rFonts w:ascii="Arial" w:cs="Arial" w:eastAsia="Arial" w:hAnsi="Arial"/>
          <w:sz w:val="18"/>
          <w:szCs w:val="18"/>
          <w:color w:val="auto"/>
        </w:rPr>
      </w:pPr>
    </w:p>
    <w:p>
      <w:pPr>
        <w:ind w:left="1020" w:right="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third-party intellectual property infringement claims;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jc w:val="both"/>
        <w:ind w:left="1020" w:right="1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ind w:left="1020" w:right="4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spacing w:after="0" w:line="1" w:lineRule="exact"/>
        <w:rPr>
          <w:rFonts w:ascii="Arial" w:cs="Arial" w:eastAsia="Arial" w:hAnsi="Arial"/>
          <w:sz w:val="18"/>
          <w:szCs w:val="18"/>
          <w:color w:val="auto"/>
        </w:rPr>
      </w:pPr>
    </w:p>
    <w:p>
      <w:pPr>
        <w:ind w:left="1020" w:right="2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spacing w:after="0" w:line="1" w:lineRule="exact"/>
        <w:rPr>
          <w:rFonts w:ascii="Arial" w:cs="Arial" w:eastAsia="Arial" w:hAnsi="Arial"/>
          <w:sz w:val="18"/>
          <w:szCs w:val="18"/>
          <w:color w:val="auto"/>
        </w:rPr>
      </w:pPr>
    </w:p>
    <w:p>
      <w:pPr>
        <w:jc w:val="both"/>
        <w:ind w:left="1020" w:right="3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establish and maintain proper and effective internal controls, our ability to produce accurate financial statements on a timely basis could be impaired, which would adversely affect our operating results, our ability to operate our business, and our stock price, and could result in litigation or similar actions;</w:t>
      </w:r>
    </w:p>
    <w:p>
      <w:pPr>
        <w:spacing w:after="0" w:line="2" w:lineRule="exact"/>
        <w:rPr>
          <w:rFonts w:ascii="Arial" w:cs="Arial" w:eastAsia="Arial" w:hAnsi="Arial"/>
          <w:sz w:val="18"/>
          <w:szCs w:val="18"/>
          <w:color w:val="auto"/>
        </w:rPr>
      </w:pPr>
    </w:p>
    <w:p>
      <w:pPr>
        <w:ind w:left="1020" w:right="2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spacing w:after="0" w:line="1" w:lineRule="exact"/>
        <w:rPr>
          <w:rFonts w:ascii="Arial" w:cs="Arial" w:eastAsia="Arial" w:hAnsi="Arial"/>
          <w:sz w:val="18"/>
          <w:szCs w:val="18"/>
          <w:color w:val="auto"/>
        </w:rPr>
      </w:pPr>
    </w:p>
    <w:p>
      <w:pPr>
        <w:ind w:left="1020" w:right="5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deductibility of net operating losses could adversely affect our business and financial condition;</w:t>
      </w:r>
    </w:p>
    <w:p>
      <w:pPr>
        <w:ind w:left="1020" w:right="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ind w:left="1020" w:right="1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1" w:lineRule="exact"/>
        <w:rPr>
          <w:rFonts w:ascii="Arial" w:cs="Arial" w:eastAsia="Arial" w:hAnsi="Arial"/>
          <w:sz w:val="18"/>
          <w:szCs w:val="18"/>
          <w:color w:val="auto"/>
        </w:rPr>
      </w:pPr>
    </w:p>
    <w:p>
      <w:pPr>
        <w:ind w:left="1020" w:right="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5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2021 Annual Report, as filed with the SEC. Operating results are not necessarily indicative of results that may occur in future periods.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08" w:lineRule="exact"/>
        <w:rPr>
          <w:sz w:val="20"/>
          <w:szCs w:val="20"/>
          <w:color w:val="auto"/>
        </w:rPr>
      </w:pPr>
    </w:p>
    <w:p>
      <w:pPr>
        <w:jc w:val="both"/>
        <w:ind w:right="180" w:firstLine="509"/>
        <w:spacing w:after="0" w:line="243" w:lineRule="auto"/>
        <w:rPr>
          <w:sz w:val="20"/>
          <w:szCs w:val="20"/>
          <w:color w:val="auto"/>
        </w:rPr>
      </w:pPr>
      <w:r>
        <w:rPr>
          <w:rFonts w:ascii="Arial" w:cs="Arial" w:eastAsia="Arial" w:hAnsi="Arial"/>
          <w:sz w:val="18"/>
          <w:szCs w:val="18"/>
          <w:color w:val="auto"/>
        </w:rPr>
        <w:t>We are a late-stage pharmaceutical company committed to the development and commercialization of novel cancer therapies intended to improve outcomes for patients. Our portfolio of drug candidates has three clinical-stage assets, including zandelisib, currently in multiple ongoing clinical studies intended to support marketing applications with the U.S. Food and Drug Administration (“FDA”) and other regulatory authorities globally. Our common stock is listed on the Nasdaq Capital Market under the symbol “MEIP.”</w:t>
      </w:r>
    </w:p>
    <w:p>
      <w:pPr>
        <w:spacing w:after="0" w:line="80"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Our approach to building our pipeline is to license or acquire promising cancer agents and build value in programs through development, commercialization and strategic partnerships, as appropriate.</w:t>
      </w:r>
    </w:p>
    <w:p>
      <w:pPr>
        <w:spacing w:after="0" w:line="6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The COVID-19 virus may continue to mutate into different strains, which could be more contagious or severe or for which current vaccines and treatments are not effective or available.</w:t>
      </w:r>
    </w:p>
    <w:p>
      <w:pPr>
        <w:spacing w:after="0" w:line="8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While we continue to enroll and dose patients in our clinical trials, certain of our clinical trials evaluating zandelisib and voruciclib have been delayed due to COVID-19, and our clinical development program timelines may continue to be subject to potential negative impacts from the ongoing pandemic in the U.S. and globally. The extent to which the ongoing pandemic continues to impact our business, including our preclinical studies, chemistry, manufacturing and controls (“CMC”) studies, manufacturing, and clinical trials, will depend on future developments, which are highly uncertain and cannot be predicted with confidence including the fluctuating geographic distribution of the disease, the duration of the pandemic, the development, effectiveness and timing of distribution of treatments and vaccines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 including vaccination rates and effectiveness. See the section entitled "</w:t>
      </w:r>
      <w:r>
        <w:rPr>
          <w:rFonts w:ascii="Arial" w:cs="Arial" w:eastAsia="Arial" w:hAnsi="Arial"/>
          <w:sz w:val="18"/>
          <w:szCs w:val="18"/>
          <w:i w:val="1"/>
          <w:iCs w:val="1"/>
          <w:color w:val="auto"/>
        </w:rPr>
        <w:t>Results of Operations -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 COVID-19</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08"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Zandelisib (f/k/a ME-401), an oral phosphatidylinositol 3-kinase (“PI3K”) delta inhibitor;</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Voruciclib, an oral cyclin-dependent kinase 9 (“CDK9”) inhibitor; and</w:t>
      </w: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489065" cy="2571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890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 study intended to support accelerated approval marketing applications with the FDA.</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Study arm initiated under clinical collaboration with BeiGene, Ltd.</w:t>
      </w: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Investigator-initiated trial.</w:t>
      </w: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Initiation of clinical studies is subject to opening of a new Investigational New Drug Application ("IND") with the FDA.</w:t>
      </w:r>
    </w:p>
    <w:p>
      <w:pPr>
        <w:spacing w:after="0" w:line="1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Zandelisib (f/k/a ME-401): PI3Kδ Inhibitor in Multiple Trials Intended to Support Marketing Approvals in Relapsed or Refractory Follicular and Marginal Zone Lymphomas</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Zandelisib is an oral, once-daily, selective PI3Kδ inhibitor in clinical development for the treatment of B-cell malignancies. In March 2020, the FDA granted zandelisib Fast Track designation for the treatment of adult patients with relapsed or refractory (“r/r”) follicular lymphoma (“FL”) who have received at least two prior systemic therapies. In November 2021 the FDA granted orphan-drug designation to zandelisib for the treatment of follicular lymphoma. In April 2020, we entered into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81"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are conducting multiple ongoing studies evaluating zandelisib. Our studies include TIDAL, a Phase 2 study evaluating zandelisib as a monotherapy in patients with r/r FL and marginal zone lymphoma (“MZL”) patients who have received at least two prior lines of treatment. Enrollment in the FL cohort of the study is complete. Enrollment of the MZL cohort remains ongoing. In November 2021 TIDAL data was reported for the cohort of patients with FL, including an overall response rate of 70.3% in the primary efficacy population as determined by Independent Review Committee assessment in the primary efficacy population of 91 patients; the complete response rate was 35.2%. It was also reported that zandelisib was generally well tolerated in the TIDAL study; with 9.4 months (range: 0.8-24) median duration of follow-up in the total study population of 121 patients with FL, interim data demonstrated a discontinuation rate due to any drug related adverse event of 9.9%. Patients enrolled in the study continue to be followed for safety as well as duration of response. Subject to final results, data from TIDAL are intended to support submissions for accelerated approval marketing applications with the FDA in r/r FL and MZL patients receiving at least two prior lines of treatment.</w:t>
      </w:r>
    </w:p>
    <w:p>
      <w:pPr>
        <w:spacing w:after="0" w:line="7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Also ongoing is COASTAL, a Phase 3 study evaluating zandelisib in combination with rituximab in patients with r/r FL and MZL who have received at least one prior line of treatment. COASTAL is intended to support full marketing applications in the U.S. and globally in r/r FL and MZL patients receiving at least one prior line of treatment. COASTAL is also intended (subject to FDA agreement) to act as the required confirmatory study for the potential U.S. accelerated approvals of zandelisib based on the TIDAL study.</w:t>
      </w:r>
    </w:p>
    <w:p>
      <w:pPr>
        <w:spacing w:after="0" w:line="80"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malignancies pursuant to our agreement with KKC.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04" w:lineRule="exact"/>
        <w:rPr>
          <w:sz w:val="20"/>
          <w:szCs w:val="20"/>
          <w:color w:val="auto"/>
        </w:rPr>
      </w:pPr>
    </w:p>
    <w:p>
      <w:pPr>
        <w:ind w:right="160" w:firstLine="509"/>
        <w:spacing w:after="0" w:line="216" w:lineRule="auto"/>
        <w:rPr>
          <w:sz w:val="20"/>
          <w:szCs w:val="20"/>
          <w:color w:val="auto"/>
        </w:rPr>
      </w:pPr>
      <w:r>
        <w:rPr>
          <w:rFonts w:ascii="Arial" w:cs="Arial" w:eastAsia="Arial" w:hAnsi="Arial"/>
          <w:sz w:val="18"/>
          <w:szCs w:val="18"/>
          <w:color w:val="auto"/>
        </w:rPr>
        <w:t>While PI3Kδ inhibitors as a group are a clinically validated class for the treatment of B-cell malignancies, the FDA approved orally administered products, idelalisib (marketed as Zydelig</w:t>
      </w:r>
      <w:r>
        <w:rPr>
          <w:rFonts w:ascii="Arial" w:cs="Arial" w:eastAsia="Arial" w:hAnsi="Arial"/>
          <w:sz w:val="24"/>
          <w:szCs w:val="24"/>
          <w:color w:val="auto"/>
          <w:vertAlign w:val="superscript"/>
        </w:rPr>
        <w:t>®</w:t>
      </w:r>
      <w:r>
        <w:rPr>
          <w:rFonts w:ascii="Arial" w:cs="Arial" w:eastAsia="Arial" w:hAnsi="Arial"/>
          <w:sz w:val="18"/>
          <w:szCs w:val="18"/>
          <w:color w:val="auto"/>
        </w:rPr>
        <w:t>), duvelisib (marketed as COPIKTRA®), umbralisib (marketed as UKONIQ™), and the intravenously administered PI3Kδ/α inhibitor copanlisib (marketed as ALIQOPA</w:t>
      </w:r>
      <w:r>
        <w:rPr>
          <w:rFonts w:ascii="Arial" w:cs="Arial" w:eastAsia="Arial" w:hAnsi="Arial"/>
          <w:sz w:val="24"/>
          <w:szCs w:val="24"/>
          <w:color w:val="auto"/>
          <w:vertAlign w:val="superscript"/>
        </w:rPr>
        <w:t>®</w:t>
      </w:r>
      <w:r>
        <w:rPr>
          <w:rFonts w:ascii="Arial" w:cs="Arial" w:eastAsia="Arial" w:hAnsi="Arial"/>
          <w:sz w:val="18"/>
          <w:szCs w:val="18"/>
          <w:color w:val="auto"/>
        </w:rPr>
        <w:t>), are challenged by dose-limiting toxicities, modest efficacy and/or inconvenience of administration route. We believe this provides an opportunity for the development of a next-generation candidate with pharmaceutical properties that may better maximize the therapeutic potential of PI3Kδ inhibition by limiting toxicities and improving upon modest efficacy, which together hinder clinical utility.</w:t>
      </w:r>
    </w:p>
    <w:p>
      <w:pPr>
        <w:spacing w:after="0" w:line="8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The molecular structure and pharmacodynamic characteristics of zandelisib are distinct from the FDA approved PI3Kδ inhibitors. Clinical and preclinical data demonstrate that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the evaluation of an innovative dosing regimen, known as Intermittent Dosing Therapy (“IDT”). The IDT consists of daily dosing only in the first seven days of each 28-day dosing cycle. The unique zandelisib IDT is hypothesized to allow for the recovery of regulatory T cells, which in turn may lead to fewer and/or less severe immune-related adverse events. This may provide long-term disease control through maintenance therapy, without the need for dose reductions or premature discontinuations. Clinical evaluation of the IDT to date has demonstrated the potential to maintain clinical benefit while minimizing immune-related toxicities common to other PI3Kδ agents, either as a monotherapy or in combination with other therapies.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0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6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 During the six months ended December 31, 2021, two $10 million milestones were earned in connection with the initiation of the Phase 3 COASTAL study.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7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 Overview</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conducting multiple ongoing studies evaluating zandelisib including TIDAL, a global Phase 2 trial evaluating patients with r/r FL and MZL with at least two prior of lines of therapy that is intended to support FDA marketing applications for accelerated approval. Also ongoing is COASTAL, a global Phase 3 study evaluating patients with r/r FL and MZL with at least one prior line of therapy that is intended to support full marketing authorization with the FDA as well as regulatory authorities globally.</w:t>
      </w:r>
    </w:p>
    <w:p>
      <w:pPr>
        <w:spacing w:after="0" w:line="8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Additionally, we are conducting a multi-arm, open-label, Phase 1b dose escalation and expansion trial as a monotherapy and in combination with rituximab or zanubrutinib in patients with FL and other B-cell malignancies. The Phase 1b trial continues enrollment in the study arm exploring zandelisib in combination with zanubrutinib (marketed as BRUKINSA®), an inhibitor of Bruton’s tyrosine kinase developed by BeiGene, Ltd. (“BeiGene”). This study arm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5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6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addition to other planned clinical studies sponsored by us, such as initiation of a Phase 2 study evaluating zandelisib in combination with venetoclax plus rituximab in patients with chronic lymphocytic leukemia ("CLL") in the first half of calendar year 2022, we also plan to support select investigator-initiated studies, including one being conducted at the Cleveland Clinic evaluating zandelisib combined with standard of care in patients with newly diagnosed diffuse large B-cell lymphoma (“DLBCL”).</w:t>
      </w:r>
    </w:p>
    <w:p>
      <w:pPr>
        <w:spacing w:after="0" w:line="8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All ongoing studies, as well as planned studies, utilize zandelisib’s unique IDT intended to optimize zandelisib’s therapeutic profile and also support its potential as a backbone for combination approaches with other modalities in the treatment of B-cell malignances.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Multi-arm Trial</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May 2021, we reported updated data from the Phase 1b clinical trial evaluating zandelisib as a monotherapy and in combination with rituximab or zanubrutinib in patients with r/r FL and other B-cell malignancies as featured in poster discussions at the American Society of Clinical Oncology ("ASCO") 2021 annual meeting.</w:t>
      </w:r>
    </w:p>
    <w:p>
      <w:pPr>
        <w:spacing w:after="0" w:line="7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Data were reported from 37 patients with r/r FL administered zandelisib 60 mg once daily for two 28-day cycles and then on an intermittent schedule (“IS”) of once daily dosing for the first seven days of each subsequent 28-day cycle. The objective of this data presentation was to evaluate the safety, tolerability and efficacy of zandelisib as monotherapy or in combination with rituximab in patients with FL who had disease progression within 24 months after initial chemoimmunotherapy ("POD24") or disease progression beyond 24 months ("non-POD24").</w:t>
      </w:r>
    </w:p>
    <w:p>
      <w:pPr>
        <w:spacing w:after="0" w:line="6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overall response rate in the 37 patients with r/r FL was 87%, with 27% achieving a complete response. The overall response rate was 78% in 18 patients administered zandelisib as a monotherapy and 95% in 19 patients administered zandelisib in combination with rituximab. The overall response rate in nine evaluable patients with CLL, previously reported separately, was 89%.</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2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Overall Response Rates (“ORR”)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0"/>
        </w:trPr>
        <w:tc>
          <w:tcPr>
            <w:tcW w:w="2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gridSpan w:val="3"/>
          </w:tcPr>
          <w:p>
            <w:pPr>
              <w:jc w:val="center"/>
              <w:ind w:right="140"/>
              <w:spacing w:after="0" w:line="181" w:lineRule="exact"/>
              <w:rPr>
                <w:sz w:val="20"/>
                <w:szCs w:val="20"/>
                <w:color w:val="auto"/>
              </w:rPr>
            </w:pPr>
            <w:r>
              <w:rPr>
                <w:rFonts w:ascii="Arial" w:cs="Arial" w:eastAsia="Arial" w:hAnsi="Arial"/>
                <w:sz w:val="18"/>
                <w:szCs w:val="18"/>
                <w:b w:val="1"/>
                <w:bCs w:val="1"/>
                <w:color w:val="auto"/>
                <w:w w:val="94"/>
              </w:rPr>
              <w:t>POD24</w:t>
            </w:r>
          </w:p>
        </w:tc>
        <w:tc>
          <w:tcPr>
            <w:tcW w:w="1260" w:type="dxa"/>
            <w:vAlign w:val="bottom"/>
          </w:tcPr>
          <w:p>
            <w:pPr>
              <w:jc w:val="right"/>
              <w:ind w:right="70"/>
              <w:spacing w:after="0" w:line="181" w:lineRule="exact"/>
              <w:rPr>
                <w:sz w:val="20"/>
                <w:szCs w:val="20"/>
                <w:color w:val="auto"/>
              </w:rPr>
            </w:pPr>
            <w:r>
              <w:rPr>
                <w:rFonts w:ascii="Arial" w:cs="Arial" w:eastAsia="Arial" w:hAnsi="Arial"/>
                <w:sz w:val="18"/>
                <w:szCs w:val="18"/>
                <w:b w:val="1"/>
                <w:bCs w:val="1"/>
                <w:color w:val="auto"/>
              </w:rPr>
              <w:t>Non-POD24</w:t>
            </w:r>
          </w:p>
        </w:tc>
        <w:tc>
          <w:tcPr>
            <w:tcW w:w="140" w:type="dxa"/>
            <w:vAlign w:val="bottom"/>
          </w:tcPr>
          <w:p>
            <w:pPr>
              <w:spacing w:after="0"/>
              <w:rPr>
                <w:sz w:val="15"/>
                <w:szCs w:val="15"/>
                <w:color w:val="auto"/>
              </w:rPr>
            </w:pPr>
          </w:p>
        </w:tc>
        <w:tc>
          <w:tcPr>
            <w:tcW w:w="1260" w:type="dxa"/>
            <w:vAlign w:val="bottom"/>
            <w:gridSpan w:val="2"/>
          </w:tcPr>
          <w:p>
            <w:pPr>
              <w:jc w:val="right"/>
              <w:ind w:right="210"/>
              <w:spacing w:after="0" w:line="181" w:lineRule="exact"/>
              <w:rPr>
                <w:sz w:val="20"/>
                <w:szCs w:val="20"/>
                <w:color w:val="auto"/>
              </w:rPr>
            </w:pPr>
            <w:r>
              <w:rPr>
                <w:rFonts w:ascii="Arial" w:cs="Arial" w:eastAsia="Arial" w:hAnsi="Arial"/>
                <w:sz w:val="18"/>
                <w:szCs w:val="18"/>
                <w:b w:val="1"/>
                <w:bCs w:val="1"/>
                <w:color w:val="auto"/>
              </w:rPr>
              <w:t>Total FL</w:t>
            </w:r>
          </w:p>
        </w:tc>
      </w:tr>
      <w:tr>
        <w:trPr>
          <w:trHeight w:val="216"/>
        </w:trPr>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 = 22</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n = 15</w:t>
            </w:r>
          </w:p>
        </w:tc>
        <w:tc>
          <w:tcPr>
            <w:tcW w:w="140" w:type="dxa"/>
            <w:vAlign w:val="bottom"/>
          </w:tcPr>
          <w:p>
            <w:pPr>
              <w:spacing w:after="0"/>
              <w:rPr>
                <w:sz w:val="18"/>
                <w:szCs w:val="18"/>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 = 37</w:t>
            </w:r>
          </w:p>
        </w:tc>
      </w:tr>
      <w:tr>
        <w:trPr>
          <w:trHeight w:val="196"/>
        </w:trPr>
        <w:tc>
          <w:tcPr>
            <w:tcW w:w="2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Overall response rate (ORR)</w:t>
            </w:r>
          </w:p>
        </w:tc>
        <w:tc>
          <w:tcPr>
            <w:tcW w:w="1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(82%)</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 (93%)</w:t>
            </w:r>
          </w:p>
        </w:tc>
        <w:tc>
          <w:tcPr>
            <w:tcW w:w="14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(87%)</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b w:val="1"/>
                <w:bCs w:val="1"/>
                <w:color w:val="auto"/>
              </w:rPr>
              <w:t>Regimen</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25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Monotherapy</w:t>
            </w:r>
          </w:p>
        </w:tc>
        <w:tc>
          <w:tcPr>
            <w:tcW w:w="25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8/11 (73%)</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 (86%)</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14/18 (78%)</w:t>
            </w:r>
          </w:p>
        </w:tc>
      </w:tr>
      <w:tr>
        <w:trPr>
          <w:trHeight w:val="203"/>
        </w:trPr>
        <w:tc>
          <w:tcPr>
            <w:tcW w:w="2540" w:type="dxa"/>
            <w:vAlign w:val="bottom"/>
          </w:tcPr>
          <w:p>
            <w:pPr>
              <w:ind w:left="360"/>
              <w:spacing w:after="0" w:line="202" w:lineRule="exact"/>
              <w:rPr>
                <w:sz w:val="20"/>
                <w:szCs w:val="20"/>
                <w:color w:val="auto"/>
              </w:rPr>
            </w:pPr>
            <w:r>
              <w:rPr>
                <w:rFonts w:ascii="Arial" w:cs="Arial" w:eastAsia="Arial" w:hAnsi="Arial"/>
                <w:sz w:val="18"/>
                <w:szCs w:val="18"/>
                <w:color w:val="auto"/>
                <w:w w:val="99"/>
              </w:rPr>
              <w:t>Combination with rituximab</w:t>
            </w:r>
          </w:p>
        </w:tc>
        <w:tc>
          <w:tcPr>
            <w:tcW w:w="2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10/11 (91%)</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8/8 (100%)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18/19 (95%)</w:t>
            </w:r>
          </w:p>
        </w:tc>
      </w:tr>
      <w:tr>
        <w:trPr>
          <w:trHeight w:val="203"/>
        </w:trPr>
        <w:tc>
          <w:tcPr>
            <w:tcW w:w="25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Prior lines of therapy</w:t>
            </w:r>
          </w:p>
        </w:tc>
        <w:tc>
          <w:tcPr>
            <w:tcW w:w="1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r>
      <w:tr>
        <w:trPr>
          <w:trHeight w:val="203"/>
        </w:trPr>
        <w:tc>
          <w:tcPr>
            <w:tcW w:w="2540" w:type="dxa"/>
            <w:vAlign w:val="bottom"/>
          </w:tcPr>
          <w:p>
            <w:pPr>
              <w:ind w:left="360"/>
              <w:spacing w:after="0" w:line="202" w:lineRule="exact"/>
              <w:rPr>
                <w:sz w:val="20"/>
                <w:szCs w:val="20"/>
                <w:color w:val="auto"/>
              </w:rPr>
            </w:pPr>
            <w:r>
              <w:rPr>
                <w:rFonts w:ascii="Arial" w:cs="Arial" w:eastAsia="Arial" w:hAnsi="Arial"/>
                <w:sz w:val="18"/>
                <w:szCs w:val="18"/>
                <w:color w:val="auto"/>
              </w:rPr>
              <w:t>1 prior</w:t>
            </w:r>
          </w:p>
        </w:tc>
        <w:tc>
          <w:tcPr>
            <w:tcW w:w="2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 (71%)</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9/9 (100%)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14/16 (88%)</w:t>
            </w:r>
          </w:p>
        </w:tc>
      </w:tr>
      <w:tr>
        <w:trPr>
          <w:trHeight w:val="203"/>
        </w:trPr>
        <w:tc>
          <w:tcPr>
            <w:tcW w:w="25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 2 prior</w:t>
            </w:r>
          </w:p>
        </w:tc>
        <w:tc>
          <w:tcPr>
            <w:tcW w:w="25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13/15 (87%)</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 (83%)</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18/21 (86%)</w:t>
            </w:r>
          </w:p>
        </w:tc>
      </w:tr>
      <w:tr>
        <w:trPr>
          <w:trHeight w:val="202"/>
        </w:trPr>
        <w:tc>
          <w:tcPr>
            <w:tcW w:w="2540" w:type="dxa"/>
            <w:vAlign w:val="bottom"/>
          </w:tcPr>
          <w:p>
            <w:pPr>
              <w:spacing w:after="0"/>
              <w:rPr>
                <w:sz w:val="17"/>
                <w:szCs w:val="17"/>
                <w:color w:val="auto"/>
              </w:rPr>
            </w:pPr>
          </w:p>
        </w:tc>
        <w:tc>
          <w:tcPr>
            <w:tcW w:w="25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gridSpan w:val="3"/>
          </w:tcPr>
          <w:p>
            <w:pPr>
              <w:spacing w:after="0"/>
              <w:rPr>
                <w:sz w:val="17"/>
                <w:szCs w:val="17"/>
                <w:color w:val="auto"/>
              </w:rPr>
            </w:pPr>
          </w:p>
        </w:tc>
      </w:tr>
      <w:tr>
        <w:trPr>
          <w:trHeight w:val="203"/>
        </w:trPr>
        <w:tc>
          <w:tcPr>
            <w:tcW w:w="25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CR rate, n (%)</w:t>
            </w:r>
          </w:p>
        </w:tc>
        <w:tc>
          <w:tcPr>
            <w:tcW w:w="25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 (18%)</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(40%)</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 (27%)</w:t>
            </w:r>
          </w:p>
        </w:tc>
      </w:tr>
    </w:tbl>
    <w:p>
      <w:pPr>
        <w:spacing w:after="0" w:line="202"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Median duration of response in the 37 patients with FL, as reported in a poster presentation at the 16th International Conference on Malignant Lymphoma, has not yet been reached, and median follow-up was 16.9 months (range: 1.2 to 33.1 months). Responses appeared durable across patient subsets analyzed (prior lines of therapy (1 vs ≥ 2), treatment group (i.e., monotherapy or in combination with rituximab) or tumor bulk (&lt; 5 cm vs ≥5 cm)).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Duration of Response: Follicular Lymphoma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8890</wp:posOffset>
            </wp:positionV>
            <wp:extent cx="3917315" cy="2649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1731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Zandelisib was generally well-tolerated. The rate of drug related grade 3 Adverse Events of Special Interest (“AESI”) in the 37 patients with r/r FL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was: diarrhea 5% (2/37); colitis 5% (2/37); rash 8% (3/37); alanine aminotransferase (“ALT”)/ aspartate aminotransferase (“AST”) elevation 8% (3/37);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discontinuation rate due to adverse events was 8% (3/37).</w:t>
      </w:r>
    </w:p>
    <w:p>
      <w:pPr>
        <w:spacing w:after="0" w:line="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Data from the arm of the Phase 1b study evaluating 20 patients receiving zandelisib in combination with zanubrutinib was also reported in a poster session at the ASCO 2021 Annual Meeting. In this arm of the study two treatment dosing regimens were explored: Group A received zandelisib 60 mg, oral, daily continuously for eight weeks followed by days 1-7 of each subsequent 28-day cycle, and zanubrutinib, 160 mg oral, twice daily; Group B received zandelisib 60 mg, oral, daily on days 1-7 of each 28-day cycle starting Cycle 1 and zanubrutinib 80 mg, oral, twice daily. Group A enrolled a total of seven patients: one FL, three CLL, one MZL, one mantle cell lymphoma ("MCL"), and one diffuse large B-cell lymphoma/high grade B-cell lymphoma ("DLBCL/HGBCL"). Group B enrolled a total of 13 patients: seven FL, two CLL, one MZL, and three DLBCL/HGBCL. Treatment was continued until disease progression, intolerance or withdrawal of consent.</w:t>
      </w:r>
    </w:p>
    <w:p>
      <w:pPr>
        <w:spacing w:after="0" w:line="7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overall response rate in all evaluable patients with r/r indolent B-cell malignancies and CLL was 100%. No response was noted in the two patients with DLBCL/HGBCL. Responses were durable with median follow up for all patients was 6.6 months (0.6 to 21.3 months) with the majority of responders still on treatment.</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3"/>
          </w:tcPr>
          <w:p>
            <w:pPr>
              <w:ind w:left="640"/>
              <w:spacing w:after="0"/>
              <w:rPr>
                <w:sz w:val="20"/>
                <w:szCs w:val="20"/>
                <w:color w:val="auto"/>
              </w:rPr>
            </w:pPr>
            <w:r>
              <w:rPr>
                <w:rFonts w:ascii="Arial" w:cs="Arial" w:eastAsia="Arial" w:hAnsi="Arial"/>
                <w:sz w:val="18"/>
                <w:szCs w:val="18"/>
                <w:b w:val="1"/>
                <w:bCs w:val="1"/>
                <w:color w:val="auto"/>
              </w:rPr>
              <w:t>Overall Response Rate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3"/>
        </w:trPr>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Evaluable</w:t>
            </w:r>
          </w:p>
        </w:tc>
        <w:tc>
          <w:tcPr>
            <w:tcW w:w="12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FL</w:t>
            </w:r>
          </w:p>
        </w:tc>
        <w:tc>
          <w:tcPr>
            <w:tcW w:w="12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CLL/SLL</w:t>
            </w:r>
          </w:p>
        </w:tc>
        <w:tc>
          <w:tcPr>
            <w:tcW w:w="1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MZL</w:t>
            </w:r>
          </w:p>
        </w:tc>
        <w:tc>
          <w:tcPr>
            <w:tcW w:w="1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MCL</w:t>
            </w: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DLBCL/HGBCL</w:t>
            </w:r>
          </w:p>
        </w:tc>
      </w:tr>
      <w:tr>
        <w:trPr>
          <w:trHeight w:val="21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 = 18</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8)</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 = 5)</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1)</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r>
      <w:tr>
        <w:trPr>
          <w:trHeight w:val="196"/>
        </w:trPr>
        <w:tc>
          <w:tcPr>
            <w:tcW w:w="1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ORR*, n (%)</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8 (100%)</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5 (100%)</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2 (100%)</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1 (100%)</w:t>
            </w:r>
          </w:p>
        </w:tc>
        <w:tc>
          <w:tcPr>
            <w:tcW w:w="10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0 (0%)</w:t>
            </w:r>
          </w:p>
        </w:tc>
      </w:tr>
      <w:tr>
        <w:trPr>
          <w:trHeight w:val="203"/>
        </w:trPr>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Group A</w:t>
            </w:r>
          </w:p>
        </w:tc>
        <w:tc>
          <w:tcPr>
            <w:tcW w:w="182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3"/>
              </w:rPr>
              <w:t>1 (100%)</w:t>
            </w:r>
          </w:p>
        </w:tc>
        <w:tc>
          <w:tcPr>
            <w:tcW w:w="152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3"/>
              </w:rPr>
              <w:t>3 (100%)</w:t>
            </w:r>
          </w:p>
        </w:tc>
        <w:tc>
          <w:tcPr>
            <w:tcW w:w="162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3"/>
              </w:rPr>
              <w:t>1 (100%)</w:t>
            </w:r>
          </w:p>
        </w:tc>
        <w:tc>
          <w:tcPr>
            <w:tcW w:w="15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3"/>
              </w:rPr>
              <w:t>1 (100%)</w:t>
            </w:r>
          </w:p>
        </w:tc>
        <w:tc>
          <w:tcPr>
            <w:tcW w:w="2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4"/>
              </w:rPr>
              <w:t>0 (0%)</w:t>
            </w:r>
          </w:p>
        </w:tc>
      </w:tr>
      <w:tr>
        <w:trPr>
          <w:trHeight w:val="203"/>
        </w:trPr>
        <w:tc>
          <w:tcPr>
            <w:tcW w:w="1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Group B</w:t>
            </w:r>
          </w:p>
        </w:tc>
        <w:tc>
          <w:tcPr>
            <w:tcW w:w="182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3"/>
              </w:rPr>
              <w:t>7 (100%)</w:t>
            </w:r>
          </w:p>
        </w:tc>
        <w:tc>
          <w:tcPr>
            <w:tcW w:w="152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3"/>
              </w:rPr>
              <w:t>2 (100%)</w:t>
            </w:r>
          </w:p>
        </w:tc>
        <w:tc>
          <w:tcPr>
            <w:tcW w:w="162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3"/>
              </w:rPr>
              <w:t>1 (100%)</w:t>
            </w:r>
          </w:p>
        </w:tc>
        <w:tc>
          <w:tcPr>
            <w:tcW w:w="15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4"/>
              </w:rPr>
              <w:t>0 (0%)</w:t>
            </w:r>
          </w:p>
        </w:tc>
        <w:tc>
          <w:tcPr>
            <w:tcW w:w="224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4"/>
              </w:rPr>
              <w:t>0 (0%)</w:t>
            </w:r>
          </w:p>
        </w:tc>
      </w:tr>
    </w:tbl>
    <w:p>
      <w:pPr>
        <w:ind w:left="520"/>
        <w:spacing w:after="0"/>
        <w:rPr>
          <w:sz w:val="20"/>
          <w:szCs w:val="20"/>
          <w:color w:val="auto"/>
        </w:rPr>
      </w:pPr>
      <w:r>
        <w:rPr>
          <w:rFonts w:ascii="Arial" w:cs="Arial" w:eastAsia="Arial" w:hAnsi="Arial"/>
          <w:sz w:val="18"/>
          <w:szCs w:val="18"/>
          <w:color w:val="auto"/>
        </w:rPr>
        <w:t>*CR/CRi in two of eight patients with FL (25%) and in two of five patients with CLL (40%).</w:t>
      </w:r>
    </w:p>
    <w:p>
      <w:pPr>
        <w:spacing w:after="0" w:line="19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Imaging scans were taken at months 3, 7, 13, and then every six months until disease progression. Response reported based on Lugano criteria and International Workshop on Chronic Lymphocytic Leukemia ("iwCLL"). Two of 20 patients (one in DLBCL and one in HGBCL) did not have on-therapy scans. One patient had clinical progressive disease ("PD") and one patient had adverse events ("AE") due to prior therapy and discontinued early. Median follow-up time was 6.6 months for all patients (range 0.6 to 21.3 months), 3.6 months for Group A (range 0.6 to 21.3 months), and 6.6 months for Group B (range 1.9 to 14.1 months).</w:t>
      </w:r>
    </w:p>
    <w:p>
      <w:pPr>
        <w:spacing w:after="0" w:line="8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Group B, which received zandelisib 60 mg orally, daily on days 1-7 of each 28-day cycle starting Cycle 1 and zanubrutinib 80 mg, orally, twice daily, was well tolerated across the various B-cell malignancies in the completed part of the study. The combination administered on the optimized, Group B, dosing regimen did not result in additive toxicity to each agent alone. One of the two patients with Grade 3 AST/ALT increases in Group B was successfully retreated and continued therapy.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8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4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5320" w:type="dxa"/>
            <w:vAlign w:val="bottom"/>
            <w:gridSpan w:val="4"/>
          </w:tcPr>
          <w:p>
            <w:pPr>
              <w:ind w:left="640"/>
              <w:spacing w:after="0"/>
              <w:rPr>
                <w:sz w:val="20"/>
                <w:szCs w:val="20"/>
                <w:color w:val="auto"/>
              </w:rPr>
            </w:pPr>
            <w:r>
              <w:rPr>
                <w:rFonts w:ascii="Arial" w:cs="Arial" w:eastAsia="Arial" w:hAnsi="Arial"/>
                <w:sz w:val="18"/>
                <w:szCs w:val="18"/>
                <w:b w:val="1"/>
                <w:bCs w:val="1"/>
                <w:color w:val="auto"/>
                <w:w w:val="97"/>
              </w:rPr>
              <w:t>Treatment-Emergent Adverse Events of Special Interest</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2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Grade 3-4 AESI, n (%)</w:t>
            </w: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4"/>
              </w:rPr>
              <w:t>Group A</w:t>
            </w:r>
          </w:p>
        </w:tc>
        <w:tc>
          <w:tcPr>
            <w:tcW w:w="100" w:type="dxa"/>
            <w:vAlign w:val="bottom"/>
          </w:tcPr>
          <w:p>
            <w:pPr>
              <w:spacing w:after="0"/>
              <w:rPr>
                <w:sz w:val="15"/>
                <w:szCs w:val="15"/>
                <w:color w:val="auto"/>
              </w:rPr>
            </w:pPr>
          </w:p>
        </w:tc>
        <w:tc>
          <w:tcPr>
            <w:tcW w:w="2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Group B</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(n = 7)</w:t>
            </w:r>
          </w:p>
        </w:tc>
        <w:tc>
          <w:tcPr>
            <w:tcW w:w="10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 = 13)</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ALT / ALT increased</w:t>
            </w:r>
          </w:p>
        </w:tc>
        <w:tc>
          <w:tcPr>
            <w:tcW w:w="2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2 (29%)</w:t>
            </w:r>
          </w:p>
        </w:tc>
        <w:tc>
          <w:tcPr>
            <w:tcW w:w="100" w:type="dxa"/>
            <w:vAlign w:val="bottom"/>
            <w:shd w:val="clear" w:color="auto" w:fill="CFF0FC"/>
          </w:tcPr>
          <w:p>
            <w:pPr>
              <w:spacing w:after="0"/>
              <w:rPr>
                <w:sz w:val="17"/>
                <w:szCs w:val="17"/>
                <w:color w:val="auto"/>
              </w:rPr>
            </w:pPr>
          </w:p>
        </w:tc>
        <w:tc>
          <w:tcPr>
            <w:tcW w:w="25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2 (15%)</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Rash</w:t>
            </w:r>
          </w:p>
        </w:tc>
        <w:tc>
          <w:tcPr>
            <w:tcW w:w="5320" w:type="dxa"/>
            <w:vAlign w:val="bottom"/>
            <w:gridSpan w:val="4"/>
          </w:tcPr>
          <w:p>
            <w:pPr>
              <w:jc w:val="center"/>
              <w:ind w:left="2890"/>
              <w:spacing w:after="0" w:line="202" w:lineRule="exact"/>
              <w:rPr>
                <w:sz w:val="20"/>
                <w:szCs w:val="20"/>
                <w:color w:val="auto"/>
              </w:rPr>
            </w:pPr>
            <w:r>
              <w:rPr>
                <w:rFonts w:ascii="Arial" w:cs="Arial" w:eastAsia="Arial" w:hAnsi="Arial"/>
                <w:sz w:val="18"/>
                <w:szCs w:val="18"/>
                <w:color w:val="auto"/>
                <w:w w:val="91"/>
              </w:rPr>
              <w:t>1 (14%)</w:t>
            </w:r>
          </w:p>
        </w:tc>
        <w:tc>
          <w:tcPr>
            <w:tcW w:w="26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24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CMV colitis</w:t>
            </w:r>
          </w:p>
        </w:tc>
        <w:tc>
          <w:tcPr>
            <w:tcW w:w="5320" w:type="dxa"/>
            <w:vAlign w:val="bottom"/>
            <w:gridSpan w:val="4"/>
            <w:shd w:val="clear" w:color="auto" w:fill="CFF0FC"/>
          </w:tcPr>
          <w:p>
            <w:pPr>
              <w:jc w:val="center"/>
              <w:ind w:left="2890"/>
              <w:spacing w:after="0" w:line="202" w:lineRule="exact"/>
              <w:rPr>
                <w:sz w:val="20"/>
                <w:szCs w:val="20"/>
                <w:color w:val="auto"/>
              </w:rPr>
            </w:pPr>
            <w:r>
              <w:rPr>
                <w:rFonts w:ascii="Arial" w:cs="Arial" w:eastAsia="Arial" w:hAnsi="Arial"/>
                <w:sz w:val="18"/>
                <w:szCs w:val="18"/>
                <w:color w:val="auto"/>
                <w:w w:val="91"/>
              </w:rPr>
              <w:t>1 (14%)</w:t>
            </w:r>
          </w:p>
        </w:tc>
        <w:tc>
          <w:tcPr>
            <w:tcW w:w="26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Pneumonia</w:t>
            </w:r>
          </w:p>
        </w:tc>
        <w:tc>
          <w:tcPr>
            <w:tcW w:w="4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w:t>
            </w:r>
          </w:p>
        </w:tc>
        <w:tc>
          <w:tcPr>
            <w:tcW w:w="130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26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4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Diarrhea</w:t>
            </w:r>
          </w:p>
        </w:tc>
        <w:tc>
          <w:tcPr>
            <w:tcW w:w="40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1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(0%)</w:t>
            </w:r>
          </w:p>
        </w:tc>
        <w:tc>
          <w:tcPr>
            <w:tcW w:w="26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420" w:type="dxa"/>
            <w:vAlign w:val="bottom"/>
            <w:gridSpan w:val="2"/>
          </w:tcPr>
          <w:p>
            <w:pPr>
              <w:spacing w:after="0" w:line="204" w:lineRule="exact"/>
              <w:rPr>
                <w:sz w:val="20"/>
                <w:szCs w:val="20"/>
                <w:color w:val="auto"/>
              </w:rPr>
            </w:pPr>
            <w:r>
              <w:rPr>
                <w:rFonts w:ascii="Arial" w:cs="Arial" w:eastAsia="Arial" w:hAnsi="Arial"/>
                <w:sz w:val="18"/>
                <w:szCs w:val="18"/>
                <w:color w:val="auto"/>
              </w:rPr>
              <w:t>Atrial fibrillation</w:t>
            </w:r>
          </w:p>
        </w:tc>
        <w:tc>
          <w:tcPr>
            <w:tcW w:w="402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0</w:t>
            </w:r>
          </w:p>
        </w:tc>
        <w:tc>
          <w:tcPr>
            <w:tcW w:w="1300" w:type="dxa"/>
            <w:vAlign w:val="bottom"/>
          </w:tcPr>
          <w:p>
            <w:pPr>
              <w:ind w:left="20"/>
              <w:spacing w:after="0" w:line="204" w:lineRule="exact"/>
              <w:rPr>
                <w:sz w:val="20"/>
                <w:szCs w:val="20"/>
                <w:color w:val="auto"/>
              </w:rPr>
            </w:pPr>
            <w:r>
              <w:rPr>
                <w:rFonts w:ascii="Arial" w:cs="Arial" w:eastAsia="Arial" w:hAnsi="Arial"/>
                <w:sz w:val="18"/>
                <w:szCs w:val="18"/>
                <w:color w:val="auto"/>
              </w:rPr>
              <w:t>(0%)</w:t>
            </w:r>
          </w:p>
        </w:tc>
        <w:tc>
          <w:tcPr>
            <w:tcW w:w="2680" w:type="dxa"/>
            <w:vAlign w:val="bottom"/>
            <w:gridSpan w:val="2"/>
          </w:tcPr>
          <w:p>
            <w:pPr>
              <w:jc w:val="center"/>
              <w:ind w:left="10"/>
              <w:spacing w:after="0" w:line="204" w:lineRule="exact"/>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8"/>
          <w:szCs w:val="18"/>
          <w:color w:val="auto"/>
        </w:rPr>
        <w:t>* 1 DLBCL patient had several Grade 3 AEs on Day 1 attributed to prior therapy and discontinued treatment on Day 17.</w:t>
      </w:r>
    </w:p>
    <w:p>
      <w:pPr>
        <w:spacing w:after="0" w:line="196"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Phase 1b study is continuing to enroll expansion cohorts in r/r FL and r/r MCL to further evaluate the combination of zandelisib 60 mg administered on days 1-7 starting Cycle 1 and zanubrutinib administered at 80 mg twice daily.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TIDAL: A Phase 2 Trial Intended to Support Accelerated Approval of Marketing Applications</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TIDAL is a global Phase 2 trial evaluating zandelisib as a monotherapy across two study cohorts: the first study cohort for the treatment of adults with r/r FL and the second study cohort for r/r MZL, in both cases after failure of at least two prior systemic therapies including chemotherapy and an anti-CD20 antibody. Subject to the results and discussions with the FDA, data from each study cohort are intended to be submitted to the FDA to support marketing applications for accelerated approval. The study is evaluating zandelisib administered once daily at 60 mg for two 28-day cycles and then on an intermittent schedule of once daily dosing for the first seven days of each subsequent 28-day cycle (i.e., IS). The primary efficacy endpoint is the rate of objective responses to therapy and other endpoints include duration of response and tolerability of zandelisib. The primary efficacy population sample size for r/r FL is 91 patients and the primary efficacy population sample size for r/r MZL is 64 patients. Total study enrollment in the FL cohort is 121 patients administered zandelisib on the IDT after 2 cycles (56 days) of daily dosing to provide additional safety data for the registration application. Enrollment of the FL cohort of the TIDAL study is complete.</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In November 2021 we reported data from the Phase 2 TIDAL study demonstrating a 70.3% objective response rate ("ORR") as determined by Independent Review Committee assessment after a minimum follow-up of six months in the primary efficacy population (n=91); 35.2% of patients achieved a complete response. The reported ORR represents the primary endpoint of the TIDAL study. As of the data cutoff date, the data were insufficiently mature to accurately estimate duration of response ("DOR"). However, with a median follow-up time for response of 8.4 months, the median DOR had not been reached. The data cutoff date is approximately 6 months after the last patient in the primary efficacy population received their first dose of zandelisib. In the FL cohort of TIDAL, zandelisib demonstrated a tolerability profile consistent with the Phase IB study. With </w:t>
      </w:r>
      <w:r>
        <w:rPr>
          <w:rFonts w:ascii="Arial" w:cs="Arial" w:eastAsia="Arial" w:hAnsi="Arial"/>
          <w:sz w:val="17"/>
          <w:szCs w:val="17"/>
          <w:color w:val="202124"/>
        </w:rPr>
        <w:t>9.4 months (range: 0.8-24)</w:t>
      </w:r>
      <w:r>
        <w:rPr>
          <w:rFonts w:ascii="Arial" w:cs="Arial" w:eastAsia="Arial" w:hAnsi="Arial"/>
          <w:sz w:val="17"/>
          <w:szCs w:val="17"/>
          <w:color w:val="auto"/>
        </w:rPr>
        <w:t xml:space="preserve"> median duration of follow-up in the total study population (n=121), interim data demonstrated a discontinuation rate due to any drug related adverse event of 9.9%. Patients enrolled in the study will continue to be followed for safety and DOR.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COASTAL: A Phase 3 Trial Intended to Support Full FDA and Global Marketing Authorizations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COASTAL is a global, randomized, two-arm Phase 3 trial comparing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8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COASTAL is intended to support full marketing applications in the U.S. and globally in r/r FL and MZL patients who have received at least one prior line of treatment. COASTAL is also intended (subject to FDA agreement) to act as the required confirmatory study for the potential U.S. accelerated approval of zandelisib based on the ongoing Phase 2 TIDAL study evaluating patients with r/r FL and MZL patients who have received two or more prior lines of treatment.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TIDAL and COASTAL Studies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extent to which the COVID-19 pandemic will impact the progress of the zandelisib development program, including the enrollment and completion of the COASTAL and TIDAL studies, is subject to future developments, which are highly uncertain and cannot be predicted with confidence. Currently, we believe that the integrity of the program and individual studies remains intact; however, the pandemic did have a negative impact on the rate of enrollment in the TIDAL study. Enrollment in the FL cohort of the TIDAL study was completed in August 2021, and data was reported in November 2021; enrollment in the MZL cohort is ongoing. The COASTAL study was initiated in 2021, with the first patient enrolled in July 2021. There is a potential that the COVID-19 pandemic could have a negative impact on the execution of the COASTAL study but that is unclear at this time because of the continuing nature of the pandemic and because all planned clinical trial sites are not yet active. We will continue to closely monitor for potential negative impacts on the development program related to the ongoing COVID-19 pandemic. We will also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Potent Orally Administered CDK9 Inhibitor in Phase 1 Studies</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Voruciclib is a potent orally administered CDK9 inhibitor.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04" w:lineRule="exact"/>
        <w:rPr>
          <w:sz w:val="20"/>
          <w:szCs w:val="20"/>
          <w:color w:val="auto"/>
        </w:rPr>
      </w:pPr>
    </w:p>
    <w:p>
      <w:pPr>
        <w:jc w:val="both"/>
        <w:ind w:left="1020" w:right="120" w:hanging="503"/>
        <w:spacing w:after="0" w:line="22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ind w:left="1020" w:right="320" w:hanging="503"/>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104"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pre-clinical models.</w:t>
      </w:r>
    </w:p>
    <w:p>
      <w:pPr>
        <w:spacing w:after="0" w:line="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spacing w:after="0" w:line="8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104"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4"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in a rapid decrease in the phosphorylation of proteins that promote MYC transcription;</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Rapidly decreases phosphorylation of MYC protein on Ser62, a site implicated in stabilizing MYC in KRAS mutant cancers;</w:t>
      </w: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Possesses single agent activity against multiple KRAS mutant cancer cell lines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research presented suggests that voruciclib could be an attractive therapeutic agent for cancers, including solid tumors, dependent on the activity of MYC.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 refractory B-cell malignancies and AML after failure of prior standard therapies to determine the safety, preliminary efficacy and maximum tolerated dose. Once dose levels and schedules have been explored and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81"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As reported at the American Society of Hematology 2021 annual meeting in a poster presentation, data to date from the Phase 1b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 A protocol amendment is planned to evaluate voruciclib in combination with venetoclax in patients with relapsed AML.</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7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We are exploring opportunities to clinically evaluate voruciclib in solid tumors where MYC may play an important role in tumor growth. We also plan to initiate a Phase 1b study evaluating voruciclib in combination with venetoclax in patients with AML by mid calendar year 2022.</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04" w:lineRule="exact"/>
        <w:rPr>
          <w:sz w:val="20"/>
          <w:szCs w:val="20"/>
          <w:color w:val="auto"/>
        </w:rPr>
      </w:pPr>
    </w:p>
    <w:p>
      <w:pPr>
        <w:ind w:right="180" w:firstLine="509"/>
        <w:spacing w:after="0" w:line="224" w:lineRule="auto"/>
        <w:rPr>
          <w:sz w:val="20"/>
          <w:szCs w:val="20"/>
          <w:color w:val="auto"/>
        </w:rPr>
      </w:pPr>
      <w:r>
        <w:rPr>
          <w:rFonts w:ascii="Arial" w:cs="Arial" w:eastAsia="Arial" w:hAnsi="Arial"/>
          <w:sz w:val="18"/>
          <w:szCs w:val="18"/>
          <w:color w:val="auto"/>
        </w:rPr>
        <w:t>ME-344 is our novel and tumor selective, isoflavone-derived mitochondrial inhibitor drug candidate. It directly targets the OXPHOS complex 1, a pathway involved in adenosine triphosphate ("ATP") production in the mitochondria. ME-344 was studied in an investigator-initiated, multi-center, randomized clinical trial in combination with the vascular endothelial growth factor (“VEGF”) inhibitor bevacizumab (marketed as Avastin</w:t>
      </w:r>
      <w:r>
        <w:rPr>
          <w:rFonts w:ascii="Arial" w:cs="Arial" w:eastAsia="Arial" w:hAnsi="Arial"/>
          <w:sz w:val="24"/>
          <w:szCs w:val="24"/>
          <w:color w:val="auto"/>
          <w:vertAlign w:val="superscript"/>
        </w:rPr>
        <w:t>®</w:t>
      </w:r>
      <w:r>
        <w:rPr>
          <w:rFonts w:ascii="Arial" w:cs="Arial" w:eastAsia="Arial" w:hAnsi="Arial"/>
          <w:sz w:val="18"/>
          <w:szCs w:val="18"/>
          <w:color w:val="auto"/>
        </w:rPr>
        <w:t>) in a total of 42 patients with human epidermal growth factor receptor 2 (“HER2”) negative breast cancer.</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04"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proteins and lipids.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0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6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6"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7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80" w:lineRule="exact"/>
        <w:rPr>
          <w:sz w:val="20"/>
          <w:szCs w:val="20"/>
          <w:color w:val="auto"/>
        </w:rPr>
      </w:pPr>
    </w:p>
    <w:p>
      <w:pPr>
        <w:ind w:left="1020" w:right="80" w:hanging="503"/>
        <w:spacing w:after="0" w:line="24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ind w:left="1020" w:right="400" w:hanging="503"/>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1" w:lineRule="exact"/>
        <w:rPr>
          <w:rFonts w:ascii="Arial" w:cs="Arial" w:eastAsia="Arial" w:hAnsi="Arial"/>
          <w:sz w:val="18"/>
          <w:szCs w:val="18"/>
          <w:color w:val="auto"/>
        </w:rPr>
      </w:pPr>
    </w:p>
    <w:p>
      <w:pPr>
        <w:jc w:val="both"/>
        <w:ind w:left="1020" w:right="180" w:hanging="503"/>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8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6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Results from our earlier, first-in-human, single-agent Phase 1 clinical trial of ME-344 in patients with refractory solid tumors were published in the April 1, 2015 issue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1b study evaluating patients with relapsed colorectal cancer in mid calendar year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December 31, 2021 and 2020</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had a loss from operations of $11.2 million for the three months ended December 31, 2021 compared to a loss from operations of $19.2 million for the three months ended December 31, 2020.</w:t>
      </w:r>
    </w:p>
    <w:p>
      <w:pPr>
        <w:spacing w:after="0" w:line="171"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$18.2 million for the three months ended December 31, 2021 compared to $9.2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Revenue increased as a result of increased research and development activity related to zandelisib and the partial satisfaction of our research and development obligations under our license agreement with KKC.</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Zandelisib</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14,620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16,519</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Voruciclib</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1,545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737</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ME-344</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4,222</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4,812</w:t>
            </w:r>
          </w:p>
        </w:tc>
        <w:tc>
          <w:tcPr>
            <w:tcW w:w="6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21,531</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22,224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43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$21.5 million for the three months ended December 31, 2021 compared to $22.2 million for the three months ended December 31, 2020. Costs related to zandelisib decreased primarily as a result of higher start-up costs for the COASTAL study during the prior period and decreased costs related to the TIDAL study. Costs related to voruciclib increased for the three months ended December 31, 2021 compared with the three months ended December 31, 2020, due to increased drug manufacturing costs. Costs related to ME-344 increased for the three months ended December 31, 2021 compared with the three months ended December 31, 2020, due to increased drug manufacturing costs and start-up costs for the Phase 2 study.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general and administrative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tbl>
      <w:tblPr>
        <w:tblLayout w:type="fixed"/>
        <w:tblInd w:w="1700" w:type="dxa"/>
        <w:tblCellMar>
          <w:top w:w="0" w:type="dxa"/>
          <w:left w:w="0" w:type="dxa"/>
          <w:bottom w:w="0" w:type="dxa"/>
          <w:right w:w="0" w:type="dxa"/>
        </w:tblCellMar>
      </w:tblPr>
      <w:tr>
        <w:trPr>
          <w:trHeight w:val="133"/>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60" w:type="dxa"/>
            <w:vAlign w:val="bottom"/>
            <w:gridSpan w:val="4"/>
          </w:tcPr>
          <w:p>
            <w:pPr>
              <w:jc w:val="right"/>
              <w:ind w:right="595"/>
              <w:spacing w:after="0" w:line="133"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1"/>
                <w:szCs w:val="11"/>
                <w:color w:val="auto"/>
              </w:rPr>
            </w:pPr>
          </w:p>
        </w:tc>
      </w:tr>
      <w:tr>
        <w:trPr>
          <w:trHeight w:val="18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5,191</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1,116</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w:t>
            </w:r>
          </w:p>
        </w:tc>
        <w:tc>
          <w:tcPr>
            <w:tcW w:w="60" w:type="dxa"/>
            <w:vAlign w:val="bottom"/>
            <w:tcBorders>
              <w:bottom w:val="single" w:sz="8" w:color="CFF0FC"/>
            </w:tcBorders>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7,926</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5,650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General and administrative expenses increased by $2.3 million to $7.9 million for the three months ended December 31, 2021 compared to $5.7 million for the three months ended December 31, 2020. The increase is primarily due to increased personnel costs ($1.0 million), external professional services and legal costs ($0.7 million), share-based compensation ($0.2 million), and corporate overhead costs ($0.3 million) to support our commercial launch of zandelisib.</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$5.5 million during the three months ended December 31, 2021 due to a change in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warrant liability. The change in the warrant liability is primarily due to changes in our stock price. Additionally, we received interest and dividend income of $11,000 for the three months ended December 31, 2021 compared to $0.2 million for the three months ended December 31, 2020. The decrease was primarily due to lower yields during the three months ended December 31, 2021 compared to the three months ended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2021 and 2020</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had a loss from operations of $25.7 million for the six months ended December 31, 2021 compared to a loss from operations of $34.8 million for the six months ended December 31, 2020.</w:t>
      </w:r>
    </w:p>
    <w:p>
      <w:pPr>
        <w:spacing w:after="0" w:line="17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$31.6 million for the six months ended December 31, 2021 compared to $13.0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Revenue increased as a result of increased research and development activity related to zandelisib and the partial satisfaction of our research and development obligations under our license agreement with KKC.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Zandelisib</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27,012</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24,515</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Voruciclib</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2,586</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1,521</w:t>
            </w:r>
          </w:p>
        </w:tc>
        <w:tc>
          <w:tcPr>
            <w:tcW w:w="60" w:type="dxa"/>
            <w:vAlign w:val="bottom"/>
          </w:tcPr>
          <w:p>
            <w:pPr>
              <w:spacing w:after="0"/>
              <w:rPr>
                <w:sz w:val="17"/>
                <w:szCs w:val="17"/>
                <w:color w:val="auto"/>
              </w:rPr>
            </w:pPr>
          </w:p>
        </w:tc>
      </w:tr>
      <w:tr>
        <w:trPr>
          <w:trHeight w:val="202"/>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ME-344</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1,784</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10,102</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8,963</w:t>
            </w:r>
          </w:p>
        </w:tc>
        <w:tc>
          <w:tcPr>
            <w:tcW w:w="6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41,484</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35,220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$41.5 million for the six months ended December 31, 2021 compared to $35.2 million for the six months ended December 31, 2020. Costs related to zandelisib increased for the six months ended December 31, 2021 primarily due to an increase in drug manufacturing costs ($2.8 million). Costs related to voruciclib increased for the six months ended December 31, 2021 compared with the six months ended December 31, 2020, due to increased drug manufacturing costs. Costs related to ME-344 increased for the six months ended December 31, 2021 compared with the six months ended December 31, 2020, due to increased drug manufacturing costs and start-up costs for the Phase 2 study. Other research and development costs increased for the six months ended December 31, 2021 due to higher levels of personnel costs ($1.2 million) associated with increased headcount to support our clinical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general and administrative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tbl>
      <w:tblPr>
        <w:tblLayout w:type="fixed"/>
        <w:tblInd w:w="1700" w:type="dxa"/>
        <w:tblCellMar>
          <w:top w:w="0" w:type="dxa"/>
          <w:left w:w="0" w:type="dxa"/>
          <w:bottom w:w="0" w:type="dxa"/>
          <w:right w:w="0" w:type="dxa"/>
        </w:tblCellMar>
      </w:tblPr>
      <w:tr>
        <w:trPr>
          <w:trHeight w:val="133"/>
        </w:trPr>
        <w:tc>
          <w:tcPr>
            <w:tcW w:w="5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13,452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10,944</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2,383</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621</w:t>
            </w:r>
          </w:p>
        </w:tc>
        <w:tc>
          <w:tcPr>
            <w:tcW w:w="60" w:type="dxa"/>
            <w:vAlign w:val="bottom"/>
            <w:tcBorders>
              <w:bottom w:val="single" w:sz="8" w:color="CFF0FC"/>
            </w:tcBorders>
          </w:tcPr>
          <w:p>
            <w:pPr>
              <w:spacing w:after="0"/>
              <w:rPr>
                <w:sz w:val="17"/>
                <w:szCs w:val="17"/>
                <w:color w:val="auto"/>
              </w:rPr>
            </w:pPr>
          </w:p>
        </w:tc>
      </w:tr>
      <w:tr>
        <w:trPr>
          <w:trHeight w:val="236"/>
        </w:trPr>
        <w:tc>
          <w:tcPr>
            <w:tcW w:w="51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15,835</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11,565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342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General and administrative expenses increased by $4.3 million to $15.8 million for the six months ended December 31, 2021 compared to $11.6 million for the six months ended December 31, 2020. The increase is primarily due to increased personnel costs ($2.0 million), external professional services and legal costs ($1.5 million), share-based compensation ($0.3 million), and corporate overhead costs ($0.5 million) to support our preparation for commercial launch of zandelisib.</w:t>
      </w:r>
    </w:p>
    <w:p>
      <w:pPr>
        <w:spacing w:after="0" w:line="18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 xml:space="preserve">Other income or expense: </w:t>
      </w:r>
      <w:r>
        <w:rPr>
          <w:rFonts w:ascii="Arial" w:cs="Arial" w:eastAsia="Arial" w:hAnsi="Arial"/>
          <w:sz w:val="18"/>
          <w:szCs w:val="18"/>
          <w:color w:val="auto"/>
        </w:rPr>
        <w:t>We recorded a non-cash gain of $8.0 million during the six months ended December 31, 2021 due to a change in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warrant liability. Additionally, we received interest and dividend income of $18,000 for the six months ended December 31, 2021 compared to $0.4 million for the six months ended December 31, 2020. The decrease was primarily due to lower yields during the six months ended December 31, 2021 compared to the six months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have accumulated losses of $345.5 million since inception and expect to incur operating losses and generate negative cash flows from operations for the foreseeable future. As of December 31, 2021, we had $185.8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73"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Net cash used in operating activities for the six months ended December 31, 2021 was $16.3 million. Net cash used in operating activities for the six months ended December 31, 2020 was $5.1 million. The increase in cash used in operating activities year over year reflects increased development activities and changes in working capital.</w:t>
      </w:r>
    </w:p>
    <w:p>
      <w:pPr>
        <w:spacing w:after="0" w:line="74"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Net cash used in investing activities for the six months ended December 31, 2021 was $28.4 million compared to $0.7 million used in investing activities for the six months ended December 31, 2020. The change was primarily due to increased purchases of short-term investments in 2021, net of maturities.</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Net cash provided by financing activities during the six months ended December 31, 2021 was $48.7 million compared with $3.3 million provided by financing activities during the six months ended December 31, 2020. Cash raised during the six months ended December 31, 2021 reflected $48.7 million of net proceeds from the issuance of common stock. Cash raised during the six months ended December 31, 2020 reflected $3.1 million of net proceeds from the issuance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6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 over the remaining term of the lease is $1.6 million, plus a pro rata share of certain building expenses. Our total contractual obligation over the remaining term of the lease is $9.9 million.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December 31, 2021, we had not accrued any amounts for potential future payments.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In addition, although the FDA authorized vaccines for the treatment of COVID-19, and although a significant portion of the U.S. population has been vaccinated, the vaccination rate of the population and the effectiveness of the vaccines, particularly with respect to the COVID-19 Delta and Omicron variants, as well as other variants, continues to create uncertainty. Furthermore, the COVID-19 virus may continue to mutate into different strains, which could be more contagious or severe or for which current vaccines and treatments are not effective or available.</w:t>
      </w:r>
    </w:p>
    <w:p>
      <w:pPr>
        <w:spacing w:after="0" w:line="8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80"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effects, and may delay regulatory authority meetings, inspections, or the regulatory review of marketing or investigational applications or submissions.</w:t>
      </w:r>
    </w:p>
    <w:p>
      <w:pPr>
        <w:spacing w:after="0" w:line="11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4" w:lineRule="exact"/>
        <w:rPr>
          <w:sz w:val="20"/>
          <w:szCs w:val="20"/>
          <w:color w:val="auto"/>
        </w:rPr>
      </w:pPr>
    </w:p>
    <w:p>
      <w:pPr>
        <w:ind w:right="380" w:firstLine="509"/>
        <w:spacing w:after="0" w:line="241"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describe our significant accounting policies in Note 1, The Company and Summary of Significant Accounting Policies, of the notes to the financial statements included in our 2021 Annual Report. We discuss our critical accounting estimates in Item 7, Management’s Discussion and Analysis of Financial Condition and Results of Operations, in our 2021 Annual Report. There have been no changes in our significant accounting policies or critical accounting estimates since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spacing w:after="0" w:line="194"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have materially affected, or are reasonably likely to materially affect, our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included in our 2021 Annual Report.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60" w:type="dxa"/>
            <w:vAlign w:val="bottom"/>
            <w:gridSpan w:val="8"/>
          </w:tcPr>
          <w:p>
            <w:pPr>
              <w:ind w:left="40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5"/>
                <w:szCs w:val="15"/>
                <w:color w:val="auto"/>
              </w:rPr>
            </w:pPr>
          </w:p>
        </w:tc>
        <w:tc>
          <w:tcPr>
            <w:tcW w:w="10060" w:type="dxa"/>
            <w:vAlign w:val="bottom"/>
            <w:tcBorders>
              <w:bottom w:val="single" w:sz="8" w:color="0000FF"/>
            </w:tcBorders>
            <w:gridSpan w:val="8"/>
          </w:tcPr>
          <w:p>
            <w:pPr>
              <w:spacing w:after="0" w:line="182" w:lineRule="exact"/>
              <w:rPr>
                <w:rFonts w:ascii="Arial" w:cs="Arial" w:eastAsia="Arial" w:hAnsi="Arial"/>
                <w:sz w:val="18"/>
                <w:szCs w:val="18"/>
                <w:color w:val="0000FF"/>
                <w:w w:val="91"/>
              </w:rPr>
            </w:pPr>
            <w:hyperlink r:id="rId255">
              <w:r>
                <w:rPr>
                  <w:rFonts w:ascii="Arial" w:cs="Arial" w:eastAsia="Arial" w:hAnsi="Arial"/>
                  <w:sz w:val="18"/>
                  <w:szCs w:val="18"/>
                  <w:color w:val="0000FF"/>
                  <w:w w:val="91"/>
                </w:rPr>
                <w:t>Fourth Amended and Restated By-Laws of MEI Pharma, Inc., effective as of December 16, 2021, (incorporated by reference to Exhibit 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3"/>
                <w:szCs w:val="13"/>
                <w:color w:val="auto"/>
              </w:rPr>
            </w:pPr>
          </w:p>
        </w:tc>
        <w:tc>
          <w:tcPr>
            <w:tcW w:w="10060" w:type="dxa"/>
            <w:vAlign w:val="bottom"/>
            <w:gridSpan w:val="8"/>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to the Registrant’s Current Report on Form 8-K filed on December 17, 2021 (File No 000-50484)).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120" w:type="dxa"/>
            <w:vAlign w:val="bottom"/>
            <w:tcBorders>
              <w:top w:val="single" w:sz="8" w:color="0000FF"/>
            </w:tcBorders>
            <w:gridSpan w:val="5"/>
          </w:tcPr>
          <w:p>
            <w:pPr>
              <w:spacing w:after="0" w:line="182" w:lineRule="exact"/>
              <w:rPr>
                <w:rFonts w:ascii="Arial" w:cs="Arial" w:eastAsia="Arial" w:hAnsi="Arial"/>
                <w:sz w:val="18"/>
                <w:szCs w:val="18"/>
                <w:color w:val="0000FF"/>
                <w:w w:val="90"/>
              </w:rPr>
            </w:pPr>
            <w:hyperlink r:id="rId256">
              <w:r>
                <w:rPr>
                  <w:rFonts w:ascii="Arial" w:cs="Arial" w:eastAsia="Arial" w:hAnsi="Arial"/>
                  <w:sz w:val="18"/>
                  <w:szCs w:val="18"/>
                  <w:color w:val="0000FF"/>
                  <w:w w:val="90"/>
                </w:rPr>
                <w:t>Transition and Retirement Agreement between Brian G. Drazba and MEI Pharma, Inc., dated as of</w:t>
              </w:r>
            </w:hyperlink>
          </w:p>
        </w:tc>
        <w:tc>
          <w:tcPr>
            <w:tcW w:w="2940" w:type="dxa"/>
            <w:vAlign w:val="bottom"/>
            <w:gridSpan w:val="3"/>
          </w:tcPr>
          <w:p>
            <w:pPr>
              <w:ind w:left="20"/>
              <w:spacing w:after="0" w:line="182" w:lineRule="exact"/>
              <w:rPr>
                <w:rFonts w:ascii="Arial" w:cs="Arial" w:eastAsia="Arial" w:hAnsi="Arial"/>
                <w:sz w:val="18"/>
                <w:szCs w:val="18"/>
                <w:color w:val="0000FF"/>
                <w:w w:val="97"/>
              </w:rPr>
            </w:pPr>
            <w:hyperlink r:id="rId256">
              <w:r>
                <w:rPr>
                  <w:rFonts w:ascii="Arial" w:cs="Arial" w:eastAsia="Arial" w:hAnsi="Arial"/>
                  <w:sz w:val="18"/>
                  <w:szCs w:val="18"/>
                  <w:color w:val="0000FF"/>
                  <w:w w:val="97"/>
                </w:rPr>
                <w:t>December 21, 2021. (incorporated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3"/>
                <w:szCs w:val="13"/>
                <w:color w:val="auto"/>
              </w:rPr>
            </w:pPr>
          </w:p>
        </w:tc>
        <w:tc>
          <w:tcPr>
            <w:tcW w:w="99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56">
              <w:r>
                <w:rPr>
                  <w:rFonts w:ascii="Arial" w:cs="Arial" w:eastAsia="Arial" w:hAnsi="Arial"/>
                  <w:sz w:val="18"/>
                  <w:szCs w:val="18"/>
                  <w:color w:val="0000FF"/>
                </w:rPr>
                <w:t>reference to Exhibit 10.1 to the Registrant’s Current Report on Form 8-K filed on December 23, 2021 (File No. 000-50484)).</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Rule 13a-14(a) or Rule 15d-14(a) Certification of Principal Executive Officer.</w:t>
              </w:r>
            </w:hyperlink>
          </w:p>
        </w:tc>
        <w:tc>
          <w:tcPr>
            <w:tcW w:w="10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5"/>
                <w:szCs w:val="15"/>
                <w:color w:val="auto"/>
              </w:rPr>
            </w:pPr>
          </w:p>
        </w:tc>
        <w:tc>
          <w:tcPr>
            <w:tcW w:w="5620" w:type="dxa"/>
            <w:vAlign w:val="bottom"/>
            <w:tcBorders>
              <w:top w:val="single" w:sz="8" w:color="0000FF"/>
            </w:tcBorders>
            <w:gridSpan w:val="4"/>
          </w:tcPr>
          <w:p>
            <w:pPr>
              <w:spacing w:after="0" w:line="182" w:lineRule="exact"/>
              <w:rPr>
                <w:rFonts w:ascii="Arial" w:cs="Arial" w:eastAsia="Arial" w:hAnsi="Arial"/>
                <w:sz w:val="18"/>
                <w:szCs w:val="18"/>
                <w:color w:val="0000FF"/>
                <w:w w:val="93"/>
              </w:rPr>
            </w:pPr>
            <w:hyperlink w:anchor="page38">
              <w:r>
                <w:rPr>
                  <w:rFonts w:ascii="Arial" w:cs="Arial" w:eastAsia="Arial" w:hAnsi="Arial"/>
                  <w:sz w:val="18"/>
                  <w:szCs w:val="18"/>
                  <w:color w:val="0000FF"/>
                  <w:w w:val="93"/>
                </w:rPr>
                <w:t>Rule 13a-14(a) or Rule 15d-14(a) Certification of Principal Financial Officer.</w:t>
              </w:r>
            </w:hyperlink>
          </w:p>
        </w:tc>
        <w:tc>
          <w:tcPr>
            <w:tcW w:w="44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Principal Executive Officer and Principal Financial Officer required by Rule 13a-14(b) or Rule 15d-14(b) and Section 1350</w:t>
              </w:r>
            </w:hyperlink>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3"/>
                <w:szCs w:val="13"/>
                <w:color w:val="auto"/>
              </w:rPr>
            </w:pPr>
          </w:p>
        </w:tc>
        <w:tc>
          <w:tcPr>
            <w:tcW w:w="4960" w:type="dxa"/>
            <w:vAlign w:val="bottom"/>
            <w:tcBorders>
              <w:bottom w:val="single" w:sz="8" w:color="0000FF"/>
            </w:tcBorders>
          </w:tcPr>
          <w:p>
            <w:pPr>
              <w:spacing w:after="0" w:line="156"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of Chapter 63 of Title 18 of the United States Code (18 U.S.C 1350).</w:t>
              </w:r>
            </w:hyperlink>
          </w:p>
        </w:tc>
        <w:tc>
          <w:tcPr>
            <w:tcW w:w="20" w:type="dxa"/>
            <w:vAlign w:val="bottom"/>
            <w:tcBorders>
              <w:bottom w:val="single" w:sz="8" w:color="0000EE"/>
            </w:tcBorders>
          </w:tcPr>
          <w:p>
            <w:pPr>
              <w:spacing w:after="0"/>
              <w:rPr>
                <w:sz w:val="13"/>
                <w:szCs w:val="13"/>
                <w:color w:val="auto"/>
              </w:rPr>
            </w:pPr>
          </w:p>
        </w:tc>
        <w:tc>
          <w:tcPr>
            <w:tcW w:w="50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gridSpan w:val="2"/>
          </w:tcPr>
          <w:p>
            <w:pPr>
              <w:spacing w:after="0" w:line="169" w:lineRule="exact"/>
              <w:rPr>
                <w:sz w:val="20"/>
                <w:szCs w:val="20"/>
                <w:color w:val="auto"/>
              </w:rPr>
            </w:pPr>
            <w:r>
              <w:rPr>
                <w:rFonts w:ascii="Arial" w:cs="Arial" w:eastAsia="Arial" w:hAnsi="Arial"/>
                <w:sz w:val="18"/>
                <w:szCs w:val="18"/>
                <w:color w:val="auto"/>
                <w:w w:val="93"/>
              </w:rPr>
              <w:t>Inline XBRL Instance Document – the instance document does not</w:t>
            </w:r>
          </w:p>
        </w:tc>
        <w:tc>
          <w:tcPr>
            <w:tcW w:w="5080" w:type="dxa"/>
            <w:vAlign w:val="bottom"/>
            <w:gridSpan w:val="6"/>
          </w:tcPr>
          <w:p>
            <w:pPr>
              <w:spacing w:after="0" w:line="169" w:lineRule="exact"/>
              <w:rPr>
                <w:sz w:val="20"/>
                <w:szCs w:val="20"/>
                <w:color w:val="auto"/>
              </w:rPr>
            </w:pPr>
            <w:r>
              <w:rPr>
                <w:rFonts w:ascii="Arial" w:cs="Arial" w:eastAsia="Arial" w:hAnsi="Arial"/>
                <w:sz w:val="18"/>
                <w:szCs w:val="18"/>
                <w:color w:val="auto"/>
                <w:w w:val="91"/>
              </w:rPr>
              <w:t>appear in the Interactive Data File because XBRL tags are embedded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8"/>
          </w:tcPr>
          <w:p>
            <w:pPr>
              <w:spacing w:after="0" w:line="201" w:lineRule="exact"/>
              <w:rPr>
                <w:sz w:val="20"/>
                <w:szCs w:val="20"/>
                <w:color w:val="auto"/>
              </w:rPr>
            </w:pPr>
            <w:r>
              <w:rPr>
                <w:rFonts w:ascii="Arial" w:cs="Arial" w:eastAsia="Arial" w:hAnsi="Arial"/>
                <w:sz w:val="18"/>
                <w:szCs w:val="18"/>
                <w:color w:val="auto"/>
              </w:rPr>
              <w:t>within the Inline XBRL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100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100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100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7"/>
                <w:szCs w:val="17"/>
                <w:color w:val="auto"/>
              </w:rPr>
            </w:pPr>
          </w:p>
        </w:tc>
        <w:tc>
          <w:tcPr>
            <w:tcW w:w="100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540" w:right="4300" w:hanging="5519"/>
        <w:spacing w:after="0" w:line="72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line="232" w:lineRule="auto"/>
        <w:rPr>
          <w:sz w:val="20"/>
          <w:szCs w:val="20"/>
          <w:color w:val="auto"/>
        </w:rPr>
      </w:pPr>
      <w:r>
        <w:rPr>
          <w:rFonts w:ascii="Arial" w:cs="Arial" w:eastAsia="Arial" w:hAnsi="Arial"/>
          <w:sz w:val="18"/>
          <w:szCs w:val="18"/>
          <w:color w:val="auto"/>
        </w:rPr>
        <w:t>Daniel P. Gold</w:t>
      </w: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15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10, 2022</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03" w:lineRule="exact"/>
        <w:rPr>
          <w:rFonts w:ascii="Arial" w:cs="Arial" w:eastAsia="Arial" w:hAnsi="Arial"/>
          <w:sz w:val="18"/>
          <w:szCs w:val="18"/>
          <w:color w:val="auto"/>
        </w:rPr>
      </w:pPr>
    </w:p>
    <w:p>
      <w:pPr>
        <w:jc w:val="both"/>
        <w:ind w:left="520" w:right="100" w:hanging="512"/>
        <w:spacing w:after="0" w:line="24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4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ind w:left="20"/>
              <w:spacing w:after="0"/>
              <w:rPr>
                <w:sz w:val="20"/>
                <w:szCs w:val="20"/>
                <w:color w:val="auto"/>
              </w:rPr>
            </w:pPr>
            <w:r>
              <w:rPr>
                <w:rFonts w:ascii="Arial" w:cs="Arial" w:eastAsia="Arial" w:hAnsi="Arial"/>
                <w:sz w:val="18"/>
                <w:szCs w:val="18"/>
                <w:color w:val="auto"/>
              </w:rPr>
              <w:t>Date: February 10,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Gold</w:t>
            </w:r>
          </w:p>
        </w:tc>
        <w:tc>
          <w:tcPr>
            <w:tcW w:w="20" w:type="dxa"/>
            <w:vAlign w:val="bottom"/>
          </w:tcPr>
          <w:p>
            <w:pPr>
              <w:spacing w:after="0"/>
              <w:rPr>
                <w:sz w:val="18"/>
                <w:szCs w:val="18"/>
                <w:color w:val="auto"/>
              </w:rPr>
            </w:pPr>
          </w:p>
        </w:tc>
      </w:tr>
      <w:tr>
        <w:trPr>
          <w:trHeight w:val="156"/>
        </w:trPr>
        <w:tc>
          <w:tcPr>
            <w:tcW w:w="6020" w:type="dxa"/>
            <w:vAlign w:val="bottom"/>
          </w:tcPr>
          <w:p>
            <w:pPr>
              <w:spacing w:after="0"/>
              <w:rPr>
                <w:sz w:val="13"/>
                <w:szCs w:val="13"/>
                <w:color w:val="auto"/>
              </w:rPr>
            </w:pPr>
          </w:p>
        </w:tc>
        <w:tc>
          <w:tcPr>
            <w:tcW w:w="5200" w:type="dxa"/>
            <w:vAlign w:val="bottom"/>
          </w:tcPr>
          <w:p>
            <w:pPr>
              <w:spacing w:after="0" w:line="156" w:lineRule="exact"/>
              <w:rPr>
                <w:sz w:val="20"/>
                <w:szCs w:val="20"/>
                <w:color w:val="auto"/>
              </w:rPr>
            </w:pPr>
            <w:r>
              <w:rPr>
                <w:rFonts w:ascii="Arial" w:cs="Arial" w:eastAsia="Arial" w:hAnsi="Arial"/>
                <w:sz w:val="18"/>
                <w:szCs w:val="18"/>
                <w:color w:val="auto"/>
              </w:rPr>
              <w:t>Daniel P. Gold</w:t>
            </w:r>
          </w:p>
        </w:tc>
        <w:tc>
          <w:tcPr>
            <w:tcW w:w="20" w:type="dxa"/>
            <w:vAlign w:val="bottom"/>
          </w:tcPr>
          <w:p>
            <w:pPr>
              <w:spacing w:after="0"/>
              <w:rPr>
                <w:sz w:val="13"/>
                <w:szCs w:val="13"/>
                <w:color w:val="auto"/>
              </w:rPr>
            </w:pPr>
          </w:p>
        </w:tc>
      </w:tr>
      <w:tr>
        <w:trPr>
          <w:trHeight w:val="175"/>
        </w:trPr>
        <w:tc>
          <w:tcPr>
            <w:tcW w:w="6020" w:type="dxa"/>
            <w:vAlign w:val="bottom"/>
          </w:tcPr>
          <w:p>
            <w:pPr>
              <w:spacing w:after="0"/>
              <w:rPr>
                <w:sz w:val="15"/>
                <w:szCs w:val="15"/>
                <w:color w:val="auto"/>
              </w:rPr>
            </w:pPr>
          </w:p>
        </w:tc>
        <w:tc>
          <w:tcPr>
            <w:tcW w:w="5200" w:type="dxa"/>
            <w:vAlign w:val="bottom"/>
          </w:tcPr>
          <w:p>
            <w:pPr>
              <w:spacing w:after="0" w:line="176" w:lineRule="exact"/>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5"/>
                <w:szCs w:val="15"/>
                <w:color w:val="auto"/>
              </w:rPr>
            </w:pPr>
          </w:p>
        </w:tc>
      </w:tr>
      <w:tr>
        <w:trPr>
          <w:trHeight w:val="230"/>
        </w:trPr>
        <w:tc>
          <w:tcPr>
            <w:tcW w:w="6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546"/>
        </w:trPr>
        <w:tc>
          <w:tcPr>
            <w:tcW w:w="60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03" w:lineRule="exact"/>
        <w:rPr>
          <w:rFonts w:ascii="Arial" w:cs="Arial" w:eastAsia="Arial" w:hAnsi="Arial"/>
          <w:sz w:val="18"/>
          <w:szCs w:val="18"/>
          <w:color w:val="auto"/>
        </w:rPr>
      </w:pPr>
    </w:p>
    <w:p>
      <w:pPr>
        <w:jc w:val="both"/>
        <w:ind w:left="520" w:right="10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ind w:left="20"/>
              <w:spacing w:after="0"/>
              <w:rPr>
                <w:sz w:val="20"/>
                <w:szCs w:val="20"/>
                <w:color w:val="auto"/>
              </w:rPr>
            </w:pPr>
            <w:r>
              <w:rPr>
                <w:rFonts w:ascii="Arial" w:cs="Arial" w:eastAsia="Arial" w:hAnsi="Arial"/>
                <w:sz w:val="18"/>
                <w:szCs w:val="18"/>
                <w:color w:val="auto"/>
              </w:rPr>
              <w:t>Date: February 10,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18"/>
                <w:szCs w:val="18"/>
                <w:color w:val="auto"/>
              </w:rPr>
            </w:pPr>
          </w:p>
        </w:tc>
      </w:tr>
      <w:tr>
        <w:trPr>
          <w:trHeight w:val="155"/>
        </w:trPr>
        <w:tc>
          <w:tcPr>
            <w:tcW w:w="6020" w:type="dxa"/>
            <w:vAlign w:val="bottom"/>
          </w:tcPr>
          <w:p>
            <w:pPr>
              <w:spacing w:after="0"/>
              <w:rPr>
                <w:sz w:val="13"/>
                <w:szCs w:val="13"/>
                <w:color w:val="auto"/>
              </w:rPr>
            </w:pPr>
          </w:p>
        </w:tc>
        <w:tc>
          <w:tcPr>
            <w:tcW w:w="5200" w:type="dxa"/>
            <w:vAlign w:val="bottom"/>
          </w:tcPr>
          <w:p>
            <w:pPr>
              <w:spacing w:after="0" w:line="156" w:lineRule="exact"/>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3"/>
                <w:szCs w:val="13"/>
                <w:color w:val="auto"/>
              </w:rPr>
            </w:pPr>
          </w:p>
        </w:tc>
      </w:tr>
      <w:tr>
        <w:trPr>
          <w:trHeight w:val="176"/>
        </w:trPr>
        <w:tc>
          <w:tcPr>
            <w:tcW w:w="6020" w:type="dxa"/>
            <w:vAlign w:val="bottom"/>
          </w:tcPr>
          <w:p>
            <w:pPr>
              <w:spacing w:after="0"/>
              <w:rPr>
                <w:sz w:val="15"/>
                <w:szCs w:val="15"/>
                <w:color w:val="auto"/>
              </w:rPr>
            </w:pPr>
          </w:p>
        </w:tc>
        <w:tc>
          <w:tcPr>
            <w:tcW w:w="520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r>
      <w:tr>
        <w:trPr>
          <w:trHeight w:val="230"/>
        </w:trPr>
        <w:tc>
          <w:tcPr>
            <w:tcW w:w="6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46"/>
        </w:trPr>
        <w:tc>
          <w:tcPr>
            <w:tcW w:w="60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56" w:lineRule="exact"/>
        <w:rPr>
          <w:sz w:val="20"/>
          <w:szCs w:val="20"/>
          <w:color w:val="auto"/>
        </w:rPr>
      </w:pPr>
    </w:p>
    <w:p>
      <w:pPr>
        <w:ind w:left="520" w:right="60" w:hanging="512"/>
        <w:spacing w:after="0" w:line="32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December 31, 2021, (the “Form 10-Q”) to which this Certification is attached as Exhibit 32.1, fully complies with the requirements of Section 13(a) or Section 15(d) of the Securities Exchange Act of 1934, as amended; and</w:t>
      </w:r>
    </w:p>
    <w:p>
      <w:pPr>
        <w:spacing w:after="0" w:line="16" w:lineRule="exact"/>
        <w:rPr>
          <w:rFonts w:ascii="Arial" w:cs="Arial" w:eastAsia="Arial" w:hAnsi="Arial"/>
          <w:sz w:val="16"/>
          <w:szCs w:val="16"/>
          <w:color w:val="auto"/>
        </w:rPr>
      </w:pPr>
    </w:p>
    <w:p>
      <w:pPr>
        <w:ind w:left="520" w:right="6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Dated: February 10, 2022</w:t>
            </w:r>
          </w:p>
        </w:tc>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 Daniel P. Gold</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522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Daniel P. Gold</w:t>
            </w:r>
          </w:p>
        </w:tc>
        <w:tc>
          <w:tcPr>
            <w:tcW w:w="780" w:type="dxa"/>
            <w:vAlign w:val="bottom"/>
          </w:tcPr>
          <w:p>
            <w:pPr>
              <w:spacing w:after="0"/>
              <w:rPr>
                <w:sz w:val="14"/>
                <w:szCs w:val="14"/>
                <w:color w:val="auto"/>
              </w:rPr>
            </w:pPr>
          </w:p>
        </w:tc>
        <w:tc>
          <w:tcPr>
            <w:tcW w:w="520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line="176" w:lineRule="exact"/>
              <w:rPr>
                <w:sz w:val="20"/>
                <w:szCs w:val="20"/>
                <w:color w:val="auto"/>
              </w:rPr>
            </w:pPr>
            <w:r>
              <w:rPr>
                <w:rFonts w:ascii="Arial" w:cs="Arial" w:eastAsia="Arial" w:hAnsi="Arial"/>
                <w:sz w:val="18"/>
                <w:szCs w:val="18"/>
                <w:color w:val="auto"/>
              </w:rPr>
              <w:t>Chief Executive Officer</w:t>
            </w:r>
          </w:p>
        </w:tc>
        <w:tc>
          <w:tcPr>
            <w:tcW w:w="5980" w:type="dxa"/>
            <w:vAlign w:val="bottom"/>
            <w:gridSpan w:val="2"/>
          </w:tcPr>
          <w:p>
            <w:pPr>
              <w:ind w:left="780"/>
              <w:spacing w:after="0" w:line="176"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46"/>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55" Type="http://schemas.openxmlformats.org/officeDocument/2006/relationships/hyperlink" Target="https://www.sec.gov/Archives/edgar/data/1262104/000119312521361231/d257472dex31.htm" TargetMode="External"/><Relationship Id="rId256" Type="http://schemas.openxmlformats.org/officeDocument/2006/relationships/hyperlink" Target="https://www.sec.gov/Archives/edgar/data/1262104/000119312521366182/d2753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2022-02-11T22:48:47Z</dcterms:created>
  <dcterms:modified xsi:type="dcterms:W3CDTF">2022-02-11T22:48:47Z</dcterms:modified>
</cp:coreProperties>
</file>