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100965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660" w:right="1620" w:hanging="3639"/>
        <w:spacing w:after="0" w:line="407"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28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06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3725545</wp:posOffset>
            </wp:positionH>
            <wp:positionV relativeFrom="paragraph">
              <wp:posOffset>26035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001-41827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MEI Pharma,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jc w:val="center"/>
              <w:ind w:left="2047"/>
              <w:spacing w:after="0"/>
              <w:rPr>
                <w:sz w:val="20"/>
                <w:szCs w:val="20"/>
                <w:color w:val="auto"/>
              </w:rPr>
            </w:pPr>
            <w:r>
              <w:rPr>
                <w:rFonts w:ascii="Arial" w:cs="Arial" w:eastAsia="Arial" w:hAnsi="Arial"/>
                <w:sz w:val="16"/>
                <w:szCs w:val="16"/>
                <w:b w:val="1"/>
                <w:bCs w:val="1"/>
                <w:color w:val="auto"/>
                <w:w w:val="99"/>
              </w:rPr>
              <w:t>DELAWARE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20" w:type="dxa"/>
            <w:vAlign w:val="bottom"/>
          </w:tcPr>
          <w:p>
            <w:pPr>
              <w:jc w:val="center"/>
              <w:ind w:right="1348"/>
              <w:spacing w:after="0"/>
              <w:rPr>
                <w:sz w:val="20"/>
                <w:szCs w:val="20"/>
                <w:color w:val="auto"/>
              </w:rPr>
            </w:pPr>
            <w:r>
              <w:rPr>
                <w:rFonts w:ascii="Arial" w:cs="Arial" w:eastAsia="Arial" w:hAnsi="Arial"/>
                <w:sz w:val="16"/>
                <w:szCs w:val="16"/>
                <w:b w:val="1"/>
                <w:bCs w:val="1"/>
                <w:color w:val="auto"/>
                <w:w w:val="88"/>
              </w:rPr>
              <w:t>51-0407811</w:t>
            </w:r>
          </w:p>
        </w:tc>
        <w:tc>
          <w:tcPr>
            <w:tcW w:w="0" w:type="dxa"/>
            <w:vAlign w:val="bottom"/>
          </w:tcPr>
          <w:p>
            <w:pPr>
              <w:spacing w:after="0"/>
              <w:rPr>
                <w:sz w:val="1"/>
                <w:szCs w:val="1"/>
                <w:color w:val="auto"/>
              </w:rPr>
            </w:pPr>
          </w:p>
        </w:tc>
      </w:tr>
      <w:tr>
        <w:trPr>
          <w:trHeight w:val="150"/>
        </w:trPr>
        <w:tc>
          <w:tcPr>
            <w:tcW w:w="3880" w:type="dxa"/>
            <w:vAlign w:val="bottom"/>
          </w:tcPr>
          <w:p>
            <w:pPr>
              <w:jc w:val="center"/>
              <w:ind w:left="2067"/>
              <w:spacing w:after="0"/>
              <w:rPr>
                <w:sz w:val="20"/>
                <w:szCs w:val="20"/>
                <w:color w:val="auto"/>
              </w:rPr>
            </w:pPr>
            <w:r>
              <w:rPr>
                <w:rFonts w:ascii="Arial" w:cs="Arial" w:eastAsia="Arial" w:hAnsi="Arial"/>
                <w:sz w:val="13"/>
                <w:szCs w:val="13"/>
                <w:b w:val="1"/>
                <w:bCs w:val="1"/>
                <w:color w:val="auto"/>
                <w:w w:val="88"/>
              </w:rPr>
              <w:t>(State or other jurisdiction of</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20" w:type="dxa"/>
            <w:vAlign w:val="bottom"/>
          </w:tcPr>
          <w:p>
            <w:pPr>
              <w:jc w:val="center"/>
              <w:ind w:right="1348"/>
              <w:spacing w:after="0"/>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4"/>
        </w:trPr>
        <w:tc>
          <w:tcPr>
            <w:tcW w:w="3880" w:type="dxa"/>
            <w:vAlign w:val="bottom"/>
          </w:tcPr>
          <w:p>
            <w:pPr>
              <w:jc w:val="center"/>
              <w:ind w:left="2047"/>
              <w:spacing w:after="0"/>
              <w:rPr>
                <w:sz w:val="20"/>
                <w:szCs w:val="20"/>
                <w:color w:val="auto"/>
              </w:rPr>
            </w:pPr>
            <w:r>
              <w:rPr>
                <w:rFonts w:ascii="Arial" w:cs="Arial" w:eastAsia="Arial" w:hAnsi="Arial"/>
                <w:sz w:val="13"/>
                <w:szCs w:val="13"/>
                <w:b w:val="1"/>
                <w:bCs w:val="1"/>
                <w:color w:val="auto"/>
                <w:w w:val="88"/>
              </w:rPr>
              <w:t>incorporation or organization)</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20" w:type="dxa"/>
            <w:vAlign w:val="bottom"/>
          </w:tcPr>
          <w:p>
            <w:pPr>
              <w:jc w:val="center"/>
              <w:ind w:right="1348"/>
              <w:spacing w:after="0"/>
              <w:rPr>
                <w:sz w:val="20"/>
                <w:szCs w:val="20"/>
                <w:color w:val="auto"/>
              </w:rPr>
            </w:pPr>
            <w:r>
              <w:rPr>
                <w:rFonts w:ascii="Arial" w:cs="Arial" w:eastAsia="Arial" w:hAnsi="Arial"/>
                <w:sz w:val="13"/>
                <w:szCs w:val="13"/>
                <w:b w:val="1"/>
                <w:bCs w:val="1"/>
                <w:color w:val="auto"/>
                <w:w w:val="91"/>
              </w:rPr>
              <w:t>Identification No.)</w:t>
            </w:r>
          </w:p>
        </w:tc>
        <w:tc>
          <w:tcPr>
            <w:tcW w:w="0" w:type="dxa"/>
            <w:vAlign w:val="bottom"/>
          </w:tcPr>
          <w:p>
            <w:pPr>
              <w:spacing w:after="0"/>
              <w:rPr>
                <w:sz w:val="1"/>
                <w:szCs w:val="1"/>
                <w:color w:val="auto"/>
              </w:rPr>
            </w:pPr>
          </w:p>
        </w:tc>
      </w:tr>
      <w:tr>
        <w:trPr>
          <w:trHeight w:val="389"/>
        </w:trPr>
        <w:tc>
          <w:tcPr>
            <w:tcW w:w="11240" w:type="dxa"/>
            <w:vAlign w:val="bottom"/>
            <w:gridSpan w:val="9"/>
          </w:tcPr>
          <w:p>
            <w:pPr>
              <w:jc w:val="center"/>
              <w:spacing w:after="0"/>
              <w:rPr>
                <w:sz w:val="20"/>
                <w:szCs w:val="20"/>
                <w:color w:val="auto"/>
              </w:rPr>
            </w:pPr>
            <w:r>
              <w:rPr>
                <w:rFonts w:ascii="Arial" w:cs="Arial" w:eastAsia="Arial" w:hAnsi="Arial"/>
                <w:sz w:val="16"/>
                <w:szCs w:val="16"/>
                <w:b w:val="1"/>
                <w:bCs w:val="1"/>
                <w:color w:val="auto"/>
                <w:w w:val="91"/>
              </w:rPr>
              <w:t>11455 El Camino Real Suite 250, San Diego, CA 92130</w:t>
            </w:r>
          </w:p>
        </w:tc>
        <w:tc>
          <w:tcPr>
            <w:tcW w:w="0" w:type="dxa"/>
            <w:vAlign w:val="bottom"/>
          </w:tcPr>
          <w:p>
            <w:pPr>
              <w:spacing w:after="0"/>
              <w:rPr>
                <w:sz w:val="1"/>
                <w:szCs w:val="1"/>
                <w:color w:val="auto"/>
              </w:rPr>
            </w:pPr>
          </w:p>
        </w:tc>
      </w:tr>
      <w:tr>
        <w:trPr>
          <w:trHeight w:val="164"/>
        </w:trPr>
        <w:tc>
          <w:tcPr>
            <w:tcW w:w="3880" w:type="dxa"/>
            <w:vAlign w:val="bottom"/>
          </w:tcPr>
          <w:p>
            <w:pPr>
              <w:spacing w:after="0"/>
              <w:rPr>
                <w:sz w:val="14"/>
                <w:szCs w:val="14"/>
                <w:color w:val="auto"/>
              </w:rPr>
            </w:pPr>
          </w:p>
        </w:tc>
        <w:tc>
          <w:tcPr>
            <w:tcW w:w="3340" w:type="dxa"/>
            <w:vAlign w:val="bottom"/>
            <w:gridSpan w:val="7"/>
          </w:tcPr>
          <w:p>
            <w:pPr>
              <w:jc w:val="center"/>
              <w:ind w:left="88"/>
              <w:spacing w:after="0"/>
              <w:rPr>
                <w:sz w:val="20"/>
                <w:szCs w:val="20"/>
                <w:color w:val="auto"/>
              </w:rPr>
            </w:pPr>
            <w:r>
              <w:rPr>
                <w:rFonts w:ascii="Arial" w:cs="Arial" w:eastAsia="Arial" w:hAnsi="Arial"/>
                <w:sz w:val="13"/>
                <w:szCs w:val="13"/>
                <w:b w:val="1"/>
                <w:bCs w:val="1"/>
                <w:color w:val="auto"/>
                <w:w w:val="86"/>
              </w:rPr>
              <w:t>(Address of principal executive offices) (Zip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3880" w:type="dxa"/>
            <w:vAlign w:val="bottom"/>
          </w:tcPr>
          <w:p>
            <w:pPr>
              <w:spacing w:after="0"/>
              <w:rPr>
                <w:sz w:val="24"/>
                <w:szCs w:val="24"/>
                <w:color w:val="auto"/>
              </w:rPr>
            </w:pPr>
          </w:p>
        </w:tc>
        <w:tc>
          <w:tcPr>
            <w:tcW w:w="2320" w:type="dxa"/>
            <w:vAlign w:val="bottom"/>
            <w:gridSpan w:val="5"/>
          </w:tcPr>
          <w:p>
            <w:pPr>
              <w:jc w:val="center"/>
              <w:ind w:left="1108"/>
              <w:spacing w:after="0"/>
              <w:rPr>
                <w:sz w:val="20"/>
                <w:szCs w:val="20"/>
                <w:color w:val="auto"/>
              </w:rPr>
            </w:pPr>
            <w:r>
              <w:rPr>
                <w:rFonts w:ascii="Arial" w:cs="Arial" w:eastAsia="Arial" w:hAnsi="Arial"/>
                <w:sz w:val="16"/>
                <w:szCs w:val="16"/>
                <w:b w:val="1"/>
                <w:bCs w:val="1"/>
                <w:color w:val="auto"/>
                <w:w w:val="93"/>
              </w:rPr>
              <w:t>(858) 369-7100</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880" w:type="dxa"/>
            <w:vAlign w:val="bottom"/>
          </w:tcPr>
          <w:p>
            <w:pPr>
              <w:spacing w:after="0"/>
              <w:rPr>
                <w:sz w:val="14"/>
                <w:szCs w:val="14"/>
                <w:color w:val="auto"/>
              </w:rPr>
            </w:pPr>
          </w:p>
        </w:tc>
        <w:tc>
          <w:tcPr>
            <w:tcW w:w="3340" w:type="dxa"/>
            <w:vAlign w:val="bottom"/>
            <w:gridSpan w:val="7"/>
          </w:tcPr>
          <w:p>
            <w:pPr>
              <w:jc w:val="center"/>
              <w:ind w:left="68"/>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3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5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2"/>
                <w:szCs w:val="22"/>
                <w:color w:val="auto"/>
              </w:rPr>
            </w:pPr>
          </w:p>
        </w:tc>
        <w:tc>
          <w:tcPr>
            <w:tcW w:w="7360" w:type="dxa"/>
            <w:vAlign w:val="bottom"/>
            <w:gridSpan w:val="8"/>
          </w:tcPr>
          <w:p>
            <w:pPr>
              <w:ind w:left="60"/>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26"/>
        </w:trPr>
        <w:tc>
          <w:tcPr>
            <w:tcW w:w="3880" w:type="dxa"/>
            <w:vAlign w:val="bottom"/>
            <w:vMerge w:val="restart"/>
          </w:tcPr>
          <w:p>
            <w:pPr>
              <w:jc w:val="center"/>
              <w:ind w:left="327"/>
              <w:spacing w:after="0"/>
              <w:rPr>
                <w:sz w:val="20"/>
                <w:szCs w:val="20"/>
                <w:color w:val="auto"/>
              </w:rPr>
            </w:pPr>
            <w:r>
              <w:rPr>
                <w:rFonts w:ascii="Arial" w:cs="Arial" w:eastAsia="Arial" w:hAnsi="Arial"/>
                <w:sz w:val="14"/>
                <w:szCs w:val="14"/>
                <w:b w:val="1"/>
                <w:bCs w:val="1"/>
                <w:color w:val="auto"/>
                <w:w w:val="89"/>
              </w:rPr>
              <w:t>Title of each class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4"/>
          </w:tcPr>
          <w:p>
            <w:pPr>
              <w:jc w:val="center"/>
              <w:ind w:right="1220"/>
              <w:spacing w:after="0"/>
              <w:rPr>
                <w:sz w:val="20"/>
                <w:szCs w:val="20"/>
                <w:color w:val="auto"/>
              </w:rPr>
            </w:pPr>
            <w:r>
              <w:rPr>
                <w:rFonts w:ascii="Arial" w:cs="Arial" w:eastAsia="Arial" w:hAnsi="Arial"/>
                <w:sz w:val="14"/>
                <w:szCs w:val="14"/>
                <w:b w:val="1"/>
                <w:bCs w:val="1"/>
                <w:color w:val="auto"/>
                <w:w w:val="97"/>
              </w:rPr>
              <w:t>Trading</w:t>
            </w:r>
          </w:p>
        </w:tc>
        <w:tc>
          <w:tcPr>
            <w:tcW w:w="4020" w:type="dxa"/>
            <w:vAlign w:val="bottom"/>
            <w:vMerge w:val="restart"/>
          </w:tcPr>
          <w:p>
            <w:pPr>
              <w:jc w:val="center"/>
              <w:ind w:right="948"/>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38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4"/>
          </w:tcPr>
          <w:p>
            <w:pPr>
              <w:jc w:val="center"/>
              <w:ind w:right="1220"/>
              <w:spacing w:after="0"/>
              <w:rPr>
                <w:sz w:val="20"/>
                <w:szCs w:val="20"/>
                <w:color w:val="auto"/>
              </w:rPr>
            </w:pPr>
            <w:r>
              <w:rPr>
                <w:rFonts w:ascii="Arial" w:cs="Arial" w:eastAsia="Arial" w:hAnsi="Arial"/>
                <w:sz w:val="14"/>
                <w:szCs w:val="14"/>
                <w:b w:val="1"/>
                <w:bCs w:val="1"/>
                <w:color w:val="auto"/>
                <w:w w:val="91"/>
              </w:rPr>
              <w:t>Symbol(s)</w:t>
            </w:r>
          </w:p>
        </w:tc>
        <w:tc>
          <w:tcPr>
            <w:tcW w:w="4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80" w:type="dxa"/>
            <w:vAlign w:val="bottom"/>
            <w:tcBorders>
              <w:top w:val="single" w:sz="8" w:color="auto"/>
            </w:tcBorders>
          </w:tcPr>
          <w:p>
            <w:pPr>
              <w:jc w:val="center"/>
              <w:ind w:left="347"/>
              <w:spacing w:after="0"/>
              <w:rPr>
                <w:sz w:val="20"/>
                <w:szCs w:val="20"/>
                <w:color w:val="auto"/>
              </w:rPr>
            </w:pPr>
            <w:r>
              <w:rPr>
                <w:rFonts w:ascii="Arial" w:cs="Arial" w:eastAsia="Arial" w:hAnsi="Arial"/>
                <w:sz w:val="16"/>
                <w:szCs w:val="16"/>
                <w:b w:val="1"/>
                <w:bCs w:val="1"/>
                <w:color w:val="auto"/>
                <w:w w:val="91"/>
              </w:rPr>
              <w:t>Common Stock, $0.00000002 par value</w:t>
            </w: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5"/>
              <w:spacing w:after="0"/>
              <w:rPr>
                <w:sz w:val="20"/>
                <w:szCs w:val="20"/>
                <w:color w:val="auto"/>
              </w:rPr>
            </w:pPr>
            <w:r>
              <w:rPr>
                <w:rFonts w:ascii="Arial" w:cs="Arial" w:eastAsia="Arial" w:hAnsi="Arial"/>
                <w:sz w:val="16"/>
                <w:szCs w:val="16"/>
                <w:b w:val="1"/>
                <w:bCs w:val="1"/>
                <w:color w:val="auto"/>
              </w:rPr>
              <w:t>MEIP</w:t>
            </w:r>
          </w:p>
        </w:tc>
        <w:tc>
          <w:tcPr>
            <w:tcW w:w="120" w:type="dxa"/>
            <w:vAlign w:val="bottom"/>
          </w:tcPr>
          <w:p>
            <w:pPr>
              <w:spacing w:after="0"/>
              <w:rPr>
                <w:sz w:val="17"/>
                <w:szCs w:val="17"/>
                <w:color w:val="auto"/>
              </w:rPr>
            </w:pPr>
          </w:p>
        </w:tc>
        <w:tc>
          <w:tcPr>
            <w:tcW w:w="1020" w:type="dxa"/>
            <w:vAlign w:val="bottom"/>
            <w:tcBorders>
              <w:top w:val="single" w:sz="8" w:color="auto"/>
            </w:tcBorders>
            <w:gridSpan w:val="2"/>
          </w:tcPr>
          <w:p>
            <w:pPr>
              <w:spacing w:after="0"/>
              <w:rPr>
                <w:sz w:val="17"/>
                <w:szCs w:val="17"/>
                <w:color w:val="auto"/>
              </w:rPr>
            </w:pPr>
          </w:p>
        </w:tc>
        <w:tc>
          <w:tcPr>
            <w:tcW w:w="4020" w:type="dxa"/>
            <w:vAlign w:val="bottom"/>
            <w:tcBorders>
              <w:top w:val="single" w:sz="8" w:color="auto"/>
            </w:tcBorders>
          </w:tcPr>
          <w:p>
            <w:pPr>
              <w:jc w:val="center"/>
              <w:ind w:right="948"/>
              <w:spacing w:after="0"/>
              <w:rPr>
                <w:sz w:val="20"/>
                <w:szCs w:val="20"/>
                <w:color w:val="auto"/>
              </w:rPr>
            </w:pPr>
            <w:r>
              <w:rPr>
                <w:rFonts w:ascii="Arial" w:cs="Arial" w:eastAsia="Arial" w:hAnsi="Arial"/>
                <w:sz w:val="16"/>
                <w:szCs w:val="16"/>
                <w:b w:val="1"/>
                <w:bCs w:val="1"/>
                <w:color w:val="auto"/>
                <w:w w:val="95"/>
              </w:rPr>
              <w:t>The Nasdaq Stock Market LLC</w:t>
            </w:r>
          </w:p>
        </w:tc>
        <w:tc>
          <w:tcPr>
            <w:tcW w:w="0" w:type="dxa"/>
            <w:vAlign w:val="bottom"/>
          </w:tcPr>
          <w:p>
            <w:pPr>
              <w:spacing w:after="0"/>
              <w:rPr>
                <w:sz w:val="1"/>
                <w:szCs w:val="1"/>
                <w:color w:val="auto"/>
              </w:rPr>
            </w:pPr>
          </w:p>
        </w:tc>
      </w:tr>
    </w:tbl>
    <w:p>
      <w:pPr>
        <w:spacing w:after="0" w:line="117" w:lineRule="exact"/>
        <w:rPr>
          <w:sz w:val="24"/>
          <w:szCs w:val="24"/>
          <w:color w:val="auto"/>
        </w:rPr>
      </w:pPr>
    </w:p>
    <w:p>
      <w:pPr>
        <w:jc w:val="both"/>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40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2"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5" w:lineRule="exact"/>
        <w:rPr>
          <w:sz w:val="24"/>
          <w:szCs w:val="24"/>
          <w:color w:val="auto"/>
        </w:rPr>
      </w:pPr>
    </w:p>
    <w:p>
      <w:pPr>
        <w:ind w:right="58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560" w:val="left"/>
          <w:tab w:leader="none" w:pos="81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4" w:lineRule="exact"/>
        <w:rPr>
          <w:sz w:val="24"/>
          <w:szCs w:val="24"/>
          <w:color w:val="auto"/>
        </w:rPr>
      </w:pPr>
    </w:p>
    <w:p>
      <w:pPr>
        <w:ind w:right="300"/>
        <w:spacing w:after="0" w:line="217"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As of October 31, 2023, the number of shares outstanding of the issuer’s common stock, $0.00000002 par value, was 6,662,857.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288290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40" w:type="dxa"/>
            <w:vAlign w:val="bottom"/>
            <w:gridSpan w:val="3"/>
          </w:tcPr>
          <w:p>
            <w:pPr>
              <w:spacing w:after="0"/>
              <w:rPr>
                <w:sz w:val="20"/>
                <w:szCs w:val="20"/>
                <w:color w:val="auto"/>
              </w:rPr>
            </w:pPr>
            <w:r>
              <w:rPr>
                <w:rFonts w:ascii="Arial" w:cs="Arial" w:eastAsia="Arial" w:hAnsi="Arial"/>
                <w:sz w:val="18"/>
                <w:szCs w:val="18"/>
                <w:color w:val="0000FF"/>
                <w:w w:val="91"/>
              </w:rPr>
              <w:t>Table of Contents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82"/>
        </w:trPr>
        <w:tc>
          <w:tcPr>
            <w:tcW w:w="28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80" w:type="dxa"/>
            <w:vAlign w:val="bottom"/>
            <w:gridSpan w:val="10"/>
          </w:tcPr>
          <w:p>
            <w:pPr>
              <w:jc w:val="center"/>
              <w:ind w:right="2720"/>
              <w:spacing w:after="0"/>
              <w:rPr>
                <w:sz w:val="20"/>
                <w:szCs w:val="20"/>
                <w:color w:val="auto"/>
              </w:rPr>
            </w:pPr>
            <w:r>
              <w:rPr>
                <w:rFonts w:ascii="Arial" w:cs="Arial" w:eastAsia="Arial" w:hAnsi="Arial"/>
                <w:sz w:val="18"/>
                <w:szCs w:val="18"/>
                <w:b w:val="1"/>
                <w:bCs w:val="1"/>
                <w:color w:val="auto"/>
              </w:rPr>
              <w:t>MEI PHARMA, INC.</w:t>
            </w:r>
          </w:p>
        </w:tc>
        <w:tc>
          <w:tcPr>
            <w:tcW w:w="1020" w:type="dxa"/>
            <w:vAlign w:val="bottom"/>
          </w:tcPr>
          <w:p>
            <w:pPr>
              <w:spacing w:after="0"/>
              <w:rPr>
                <w:sz w:val="24"/>
                <w:szCs w:val="24"/>
                <w:color w:val="auto"/>
              </w:rPr>
            </w:pPr>
          </w:p>
        </w:tc>
      </w:tr>
      <w:tr>
        <w:trPr>
          <w:trHeight w:val="405"/>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80" w:type="dxa"/>
            <w:vAlign w:val="bottom"/>
            <w:gridSpan w:val="10"/>
          </w:tcPr>
          <w:p>
            <w:pPr>
              <w:jc w:val="center"/>
              <w:ind w:right="2720"/>
              <w:spacing w:after="0"/>
              <w:rPr>
                <w:sz w:val="20"/>
                <w:szCs w:val="20"/>
                <w:color w:val="auto"/>
              </w:rPr>
            </w:pPr>
            <w:r>
              <w:rPr>
                <w:rFonts w:ascii="Arial" w:cs="Arial" w:eastAsia="Arial" w:hAnsi="Arial"/>
                <w:sz w:val="18"/>
                <w:szCs w:val="18"/>
                <w:b w:val="1"/>
                <w:bCs w:val="1"/>
                <w:color w:val="auto"/>
                <w:w w:val="89"/>
              </w:rPr>
              <w:t>Table of Contents</w:t>
            </w:r>
          </w:p>
        </w:tc>
        <w:tc>
          <w:tcPr>
            <w:tcW w:w="1020" w:type="dxa"/>
            <w:vAlign w:val="bottom"/>
          </w:tcPr>
          <w:p>
            <w:pPr>
              <w:spacing w:after="0"/>
              <w:rPr>
                <w:sz w:val="24"/>
                <w:szCs w:val="24"/>
                <w:color w:val="auto"/>
              </w:rPr>
            </w:pPr>
          </w:p>
        </w:tc>
      </w:tr>
      <w:tr>
        <w:trPr>
          <w:trHeight w:val="689"/>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Page</w:t>
            </w:r>
          </w:p>
        </w:tc>
      </w:tr>
      <w:tr>
        <w:trPr>
          <w:trHeight w:val="445"/>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8880" w:type="dxa"/>
            <w:vAlign w:val="bottom"/>
            <w:gridSpan w:val="18"/>
          </w:tcPr>
          <w:p>
            <w:pPr>
              <w:spacing w:after="0"/>
              <w:rPr>
                <w:sz w:val="20"/>
                <w:szCs w:val="20"/>
                <w:color w:val="auto"/>
              </w:rPr>
            </w:pPr>
            <w:r>
              <w:rPr>
                <w:rFonts w:ascii="Arial" w:cs="Arial" w:eastAsia="Arial" w:hAnsi="Arial"/>
                <w:sz w:val="18"/>
                <w:szCs w:val="18"/>
                <w:b w:val="1"/>
                <w:bCs w:val="1"/>
                <w:color w:val="0000FF"/>
              </w:rPr>
              <w:t>FINANCIAL INFORMATION</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80" w:type="dxa"/>
            <w:vAlign w:val="bottom"/>
            <w:gridSpan w:val="18"/>
          </w:tcPr>
          <w:p>
            <w:pPr>
              <w:spacing w:after="0"/>
              <w:rPr>
                <w:sz w:val="20"/>
                <w:szCs w:val="20"/>
                <w:color w:val="auto"/>
              </w:rPr>
            </w:pPr>
            <w:r>
              <w:rPr>
                <w:rFonts w:ascii="Arial" w:cs="Arial" w:eastAsia="Arial" w:hAnsi="Arial"/>
                <w:sz w:val="18"/>
                <w:szCs w:val="18"/>
                <w:color w:val="0000FF"/>
              </w:rPr>
              <w:t>Condensed Consolidated Financial Statements (Unaudited)</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80" w:type="dxa"/>
            <w:vAlign w:val="bottom"/>
            <w:gridSpan w:val="18"/>
          </w:tcPr>
          <w:p>
            <w:pPr>
              <w:spacing w:after="0"/>
              <w:rPr>
                <w:sz w:val="20"/>
                <w:szCs w:val="20"/>
                <w:color w:val="auto"/>
              </w:rPr>
            </w:pPr>
            <w:r>
              <w:rPr>
                <w:rFonts w:ascii="Arial" w:cs="Arial" w:eastAsia="Arial" w:hAnsi="Arial"/>
                <w:sz w:val="18"/>
                <w:szCs w:val="18"/>
                <w:color w:val="0000FF"/>
              </w:rPr>
              <w:t>Condensed Consolidated Balance Sheets as of September 30, 2023 and June 30, 2023</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8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Operations for the three months ended September 30, 2023 and 2022</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4</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80" w:type="dxa"/>
            <w:vAlign w:val="bottom"/>
            <w:gridSpan w:val="18"/>
          </w:tcPr>
          <w:p>
            <w:pPr>
              <w:spacing w:after="0"/>
              <w:rPr>
                <w:sz w:val="20"/>
                <w:szCs w:val="20"/>
                <w:color w:val="auto"/>
              </w:rPr>
            </w:pPr>
            <w:r>
              <w:rPr>
                <w:rFonts w:ascii="Arial" w:cs="Arial" w:eastAsia="Arial" w:hAnsi="Arial"/>
                <w:sz w:val="18"/>
                <w:szCs w:val="18"/>
                <w:color w:val="0000FF"/>
                <w:w w:val="92"/>
              </w:rPr>
              <w:t>Condensed Consolidated Statements of Stockholders’ Equity for the three months ended September 30, 2023 and 2022</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5</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80" w:type="dxa"/>
            <w:vAlign w:val="bottom"/>
            <w:gridSpan w:val="18"/>
          </w:tcPr>
          <w:p>
            <w:pPr>
              <w:spacing w:after="0"/>
              <w:rPr>
                <w:sz w:val="20"/>
                <w:szCs w:val="20"/>
                <w:color w:val="auto"/>
              </w:rPr>
            </w:pPr>
            <w:r>
              <w:rPr>
                <w:rFonts w:ascii="Arial" w:cs="Arial" w:eastAsia="Arial" w:hAnsi="Arial"/>
                <w:sz w:val="18"/>
                <w:szCs w:val="18"/>
                <w:color w:val="0000FF"/>
                <w:w w:val="99"/>
              </w:rPr>
              <w:t>Condensed Consolidated Statements of Cash Flows for the three months ended September 30, 2023 and 2022</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6</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80" w:type="dxa"/>
            <w:vAlign w:val="bottom"/>
            <w:gridSpan w:val="18"/>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7</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4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8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18</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880" w:type="dxa"/>
            <w:vAlign w:val="bottom"/>
            <w:gridSpan w:val="18"/>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29</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880" w:type="dxa"/>
            <w:vAlign w:val="bottom"/>
            <w:gridSpan w:val="18"/>
          </w:tcPr>
          <w:p>
            <w:pPr>
              <w:spacing w:after="0"/>
              <w:rPr>
                <w:sz w:val="20"/>
                <w:szCs w:val="20"/>
                <w:color w:val="auto"/>
              </w:rPr>
            </w:pPr>
            <w:r>
              <w:rPr>
                <w:rFonts w:ascii="Arial" w:cs="Arial" w:eastAsia="Arial" w:hAnsi="Arial"/>
                <w:sz w:val="18"/>
                <w:szCs w:val="18"/>
                <w:color w:val="0000FF"/>
              </w:rPr>
              <w:t>Controls and Procedures</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29</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8880" w:type="dxa"/>
            <w:vAlign w:val="bottom"/>
            <w:gridSpan w:val="18"/>
          </w:tcPr>
          <w:p>
            <w:pPr>
              <w:spacing w:after="0"/>
              <w:rPr>
                <w:sz w:val="20"/>
                <w:szCs w:val="20"/>
                <w:color w:val="auto"/>
              </w:rPr>
            </w:pPr>
            <w:r>
              <w:rPr>
                <w:rFonts w:ascii="Arial" w:cs="Arial" w:eastAsia="Arial" w:hAnsi="Arial"/>
                <w:sz w:val="18"/>
                <w:szCs w:val="18"/>
                <w:b w:val="1"/>
                <w:bCs w:val="1"/>
                <w:color w:val="0000FF"/>
              </w:rPr>
              <w:t>OTHER INFORMATION</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31</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8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31</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8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31</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8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31</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3"/>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880" w:type="dxa"/>
            <w:vAlign w:val="bottom"/>
            <w:gridSpan w:val="18"/>
          </w:tcPr>
          <w:p>
            <w:pPr>
              <w:spacing w:after="0"/>
              <w:rPr>
                <w:sz w:val="20"/>
                <w:szCs w:val="20"/>
                <w:color w:val="auto"/>
              </w:rPr>
            </w:pPr>
            <w:r>
              <w:rPr>
                <w:rFonts w:ascii="Arial" w:cs="Arial" w:eastAsia="Arial" w:hAnsi="Arial"/>
                <w:sz w:val="18"/>
                <w:szCs w:val="18"/>
                <w:color w:val="0000FF"/>
              </w:rPr>
              <w:t>Defaults upon Senior Securities</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31</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3"/>
            <w:shd w:val="clear" w:color="auto" w:fill="0000FF"/>
          </w:tcPr>
          <w:p>
            <w:pPr>
              <w:spacing w:after="0" w:line="20" w:lineRule="exact"/>
              <w:rPr>
                <w:sz w:val="1"/>
                <w:szCs w:val="1"/>
                <w:color w:val="auto"/>
              </w:rPr>
            </w:pPr>
          </w:p>
        </w:tc>
        <w:tc>
          <w:tcPr>
            <w:tcW w:w="662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880" w:type="dxa"/>
            <w:vAlign w:val="bottom"/>
            <w:gridSpan w:val="18"/>
          </w:tcPr>
          <w:p>
            <w:pPr>
              <w:spacing w:after="0"/>
              <w:rPr>
                <w:sz w:val="20"/>
                <w:szCs w:val="20"/>
                <w:color w:val="auto"/>
              </w:rPr>
            </w:pPr>
            <w:r>
              <w:rPr>
                <w:rFonts w:ascii="Arial" w:cs="Arial" w:eastAsia="Arial" w:hAnsi="Arial"/>
                <w:sz w:val="18"/>
                <w:szCs w:val="18"/>
                <w:color w:val="0000FF"/>
              </w:rPr>
              <w:t>Mine Safety Disclosures</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31</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140" w:type="dxa"/>
            <w:vAlign w:val="bottom"/>
            <w:gridSpan w:val="1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880" w:type="dxa"/>
            <w:vAlign w:val="bottom"/>
            <w:gridSpan w:val="18"/>
          </w:tcPr>
          <w:p>
            <w:pPr>
              <w:spacing w:after="0"/>
              <w:rPr>
                <w:sz w:val="20"/>
                <w:szCs w:val="20"/>
                <w:color w:val="auto"/>
              </w:rPr>
            </w:pPr>
            <w:r>
              <w:rPr>
                <w:rFonts w:ascii="Arial" w:cs="Arial" w:eastAsia="Arial" w:hAnsi="Arial"/>
                <w:sz w:val="18"/>
                <w:szCs w:val="18"/>
                <w:color w:val="0000FF"/>
              </w:rPr>
              <w:t>Other Information</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31</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580" w:type="dxa"/>
            <w:vAlign w:val="bottom"/>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880" w:type="dxa"/>
            <w:vAlign w:val="bottom"/>
            <w:gridSpan w:val="18"/>
          </w:tcPr>
          <w:p>
            <w:pPr>
              <w:spacing w:after="0"/>
              <w:rPr>
                <w:sz w:val="20"/>
                <w:szCs w:val="20"/>
                <w:color w:val="auto"/>
              </w:rPr>
            </w:pPr>
            <w:r>
              <w:rPr>
                <w:rFonts w:ascii="Arial" w:cs="Arial" w:eastAsia="Arial" w:hAnsi="Arial"/>
                <w:sz w:val="18"/>
                <w:szCs w:val="18"/>
                <w:color w:val="0000FF"/>
              </w:rPr>
              <w:t>Exhibits</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32</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300" w:type="dxa"/>
            <w:vAlign w:val="bottom"/>
            <w:gridSpan w:val="1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1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6"/>
              </w:rPr>
              <w:t>SIGNATURES</w:t>
            </w:r>
          </w:p>
        </w:tc>
        <w:tc>
          <w:tcPr>
            <w:tcW w:w="8780" w:type="dxa"/>
            <w:vAlign w:val="bottom"/>
            <w:gridSpan w:val="17"/>
          </w:tcPr>
          <w:p>
            <w:pPr>
              <w:spacing w:after="0"/>
              <w:rPr>
                <w:sz w:val="24"/>
                <w:szCs w:val="24"/>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33</w:t>
            </w:r>
          </w:p>
        </w:tc>
      </w:tr>
      <w:tr>
        <w:trPr>
          <w:trHeight w:val="898"/>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60" w:type="dxa"/>
            <w:vAlign w:val="bottom"/>
            <w:gridSpan w:val="13"/>
          </w:tcPr>
          <w:p>
            <w:pPr>
              <w:jc w:val="center"/>
              <w:ind w:left="2310"/>
              <w:spacing w:after="0"/>
              <w:rPr>
                <w:sz w:val="20"/>
                <w:szCs w:val="20"/>
                <w:color w:val="auto"/>
              </w:rPr>
            </w:pPr>
            <w:r>
              <w:rPr>
                <w:rFonts w:ascii="Arial" w:cs="Arial" w:eastAsia="Arial" w:hAnsi="Arial"/>
                <w:sz w:val="18"/>
                <w:szCs w:val="18"/>
                <w:color w:val="auto"/>
                <w:w w:val="79"/>
              </w:rPr>
              <w:t>2</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(In thousands, except par value data)</w:t>
      </w: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June 30,</w:t>
            </w:r>
          </w:p>
        </w:tc>
      </w:tr>
      <w:tr>
        <w:trPr>
          <w:trHeight w:val="250"/>
        </w:trPr>
        <w:tc>
          <w:tcPr>
            <w:tcW w:w="7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180" w:type="dxa"/>
            <w:vAlign w:val="bottom"/>
            <w:shd w:val="clear" w:color="auto" w:fill="CFF0FC"/>
          </w:tcPr>
          <w:p>
            <w:pPr>
              <w:ind w:left="318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16,906</w:t>
            </w:r>
          </w:p>
        </w:tc>
        <w:tc>
          <w:tcPr>
            <w:tcW w:w="10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78,830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83,787</w:t>
            </w:r>
          </w:p>
        </w:tc>
        <w:tc>
          <w:tcPr>
            <w:tcW w:w="10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Unbilled receivables</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w:t>
            </w:r>
          </w:p>
        </w:tc>
        <w:tc>
          <w:tcPr>
            <w:tcW w:w="100" w:type="dxa"/>
            <w:vAlign w:val="bottom"/>
          </w:tcPr>
          <w:p>
            <w:pPr>
              <w:spacing w:after="0"/>
              <w:rPr>
                <w:sz w:val="20"/>
                <w:szCs w:val="20"/>
                <w:color w:val="auto"/>
              </w:rPr>
            </w:pPr>
          </w:p>
        </w:tc>
      </w:tr>
      <w:tr>
        <w:trPr>
          <w:trHeight w:val="243"/>
        </w:trPr>
        <w:tc>
          <w:tcPr>
            <w:tcW w:w="7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88,422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107,528</w:t>
            </w:r>
          </w:p>
        </w:tc>
        <w:tc>
          <w:tcPr>
            <w:tcW w:w="100" w:type="dxa"/>
            <w:vAlign w:val="bottom"/>
            <w:shd w:val="clear" w:color="auto" w:fill="CFF0FC"/>
          </w:tcPr>
          <w:p>
            <w:pPr>
              <w:spacing w:after="0"/>
              <w:rPr>
                <w:sz w:val="21"/>
                <w:szCs w:val="2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11,600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11,972</w:t>
            </w:r>
          </w:p>
        </w:tc>
        <w:tc>
          <w:tcPr>
            <w:tcW w:w="100" w:type="dxa"/>
            <w:vAlign w:val="bottom"/>
          </w:tcPr>
          <w:p>
            <w:pPr>
              <w:spacing w:after="0"/>
              <w:rPr>
                <w:sz w:val="20"/>
                <w:szCs w:val="20"/>
                <w:color w:val="auto"/>
              </w:rPr>
            </w:pPr>
          </w:p>
        </w:tc>
      </w:tr>
      <w:tr>
        <w:trPr>
          <w:trHeight w:val="243"/>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18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101,251</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120,809</w:t>
            </w:r>
          </w:p>
        </w:tc>
        <w:tc>
          <w:tcPr>
            <w:tcW w:w="100" w:type="dxa"/>
            <w:vAlign w:val="bottom"/>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180" w:type="dxa"/>
            <w:vAlign w:val="bottom"/>
            <w:shd w:val="clear" w:color="auto" w:fill="CFF0FC"/>
          </w:tcPr>
          <w:p>
            <w:pPr>
              <w:ind w:left="156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6,134</w:t>
            </w:r>
          </w:p>
        </w:tc>
        <w:tc>
          <w:tcPr>
            <w:tcW w:w="10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4,289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12,461</w:t>
            </w:r>
          </w:p>
        </w:tc>
        <w:tc>
          <w:tcPr>
            <w:tcW w:w="10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Operating lease liability</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0"/>
                <w:szCs w:val="20"/>
                <w:color w:val="auto"/>
              </w:rPr>
            </w:pPr>
          </w:p>
        </w:tc>
      </w:tr>
      <w:tr>
        <w:trPr>
          <w:trHeight w:val="243"/>
        </w:trPr>
        <w:tc>
          <w:tcPr>
            <w:tcW w:w="7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20,340</w:t>
            </w:r>
          </w:p>
        </w:tc>
        <w:tc>
          <w:tcPr>
            <w:tcW w:w="100" w:type="dxa"/>
            <w:vAlign w:val="bottom"/>
            <w:shd w:val="clear" w:color="auto" w:fill="CFF0FC"/>
          </w:tcPr>
          <w:p>
            <w:pPr>
              <w:spacing w:after="0"/>
              <w:rPr>
                <w:sz w:val="21"/>
                <w:szCs w:val="2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Deferred revenue, long-term</w:t>
            </w:r>
          </w:p>
        </w:tc>
        <w:tc>
          <w:tcPr>
            <w:tcW w:w="14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64,545</w:t>
            </w:r>
          </w:p>
        </w:tc>
        <w:tc>
          <w:tcPr>
            <w:tcW w:w="100" w:type="dxa"/>
            <w:vAlign w:val="bottom"/>
          </w:tcPr>
          <w:p>
            <w:pPr>
              <w:spacing w:after="0"/>
              <w:rPr>
                <w:sz w:val="20"/>
                <w:szCs w:val="20"/>
                <w:color w:val="auto"/>
              </w:rPr>
            </w:pPr>
          </w:p>
        </w:tc>
      </w:tr>
      <w:tr>
        <w:trPr>
          <w:trHeight w:val="24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liability, long-term</w:t>
            </w: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11,326</w:t>
            </w:r>
          </w:p>
        </w:tc>
        <w:tc>
          <w:tcPr>
            <w:tcW w:w="2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11,300</w:t>
            </w:r>
          </w:p>
        </w:tc>
        <w:tc>
          <w:tcPr>
            <w:tcW w:w="100" w:type="dxa"/>
            <w:vAlign w:val="bottom"/>
            <w:shd w:val="clear" w:color="auto" w:fill="CFF0FC"/>
          </w:tcPr>
          <w:p>
            <w:pPr>
              <w:spacing w:after="0"/>
              <w:rPr>
                <w:sz w:val="21"/>
                <w:szCs w:val="21"/>
                <w:color w:val="auto"/>
              </w:rPr>
            </w:pPr>
          </w:p>
        </w:tc>
      </w:tr>
      <w:tr>
        <w:trPr>
          <w:trHeight w:val="230"/>
        </w:trPr>
        <w:tc>
          <w:tcPr>
            <w:tcW w:w="71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96,185</w:t>
            </w:r>
          </w:p>
        </w:tc>
        <w:tc>
          <w:tcPr>
            <w:tcW w:w="100" w:type="dxa"/>
            <w:vAlign w:val="bottom"/>
          </w:tcPr>
          <w:p>
            <w:pPr>
              <w:spacing w:after="0"/>
              <w:rPr>
                <w:sz w:val="20"/>
                <w:szCs w:val="20"/>
                <w:color w:val="auto"/>
              </w:rPr>
            </w:pPr>
          </w:p>
        </w:tc>
      </w:tr>
      <w:tr>
        <w:trPr>
          <w:trHeight w:val="243"/>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$0.01 par value; 100 shares authorized; none outstanding</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180" w:type="dxa"/>
            <w:vAlign w:val="bottom"/>
          </w:tcPr>
          <w:p>
            <w:pPr>
              <w:ind w:left="200"/>
              <w:spacing w:after="0"/>
              <w:rPr>
                <w:sz w:val="20"/>
                <w:szCs w:val="20"/>
                <w:color w:val="auto"/>
              </w:rPr>
            </w:pPr>
            <w:r>
              <w:rPr>
                <w:rFonts w:ascii="Arial" w:cs="Arial" w:eastAsia="Arial" w:hAnsi="Arial"/>
                <w:sz w:val="18"/>
                <w:szCs w:val="18"/>
                <w:color w:val="auto"/>
              </w:rPr>
              <w:t>Common stock, $0.00000002 par value; 226,000 shares authorized; 6,663</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shares issued and outstanding at September 30, 2023 and June 30, 2023.</w:t>
            </w:r>
          </w:p>
        </w:tc>
        <w:tc>
          <w:tcPr>
            <w:tcW w:w="14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430,984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430,621</w:t>
            </w:r>
          </w:p>
        </w:tc>
        <w:tc>
          <w:tcPr>
            <w:tcW w:w="10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(349,623 )</w:t>
            </w:r>
          </w:p>
        </w:tc>
        <w:tc>
          <w:tcPr>
            <w:tcW w:w="2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(405,997 )</w:t>
            </w:r>
          </w:p>
        </w:tc>
      </w:tr>
      <w:tr>
        <w:trPr>
          <w:trHeight w:val="236"/>
        </w:trPr>
        <w:tc>
          <w:tcPr>
            <w:tcW w:w="71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81,361</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18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101,251</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120,809</w:t>
            </w:r>
          </w:p>
        </w:tc>
        <w:tc>
          <w:tcPr>
            <w:tcW w:w="100" w:type="dxa"/>
            <w:vAlign w:val="bottom"/>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-3325495</wp:posOffset>
            </wp:positionV>
            <wp:extent cx="68580"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-3325495</wp:posOffset>
            </wp:positionV>
            <wp:extent cx="59690"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342900"/>
                    </a:xfrm>
                    <a:prstGeom prst="rect">
                      <a:avLst/>
                    </a:prstGeom>
                    <a:noFill/>
                  </pic:spPr>
                </pic:pic>
              </a:graphicData>
            </a:graphic>
          </wp:anchor>
        </w:drawing>
        <w:drawing>
          <wp:anchor simplePos="0" relativeHeight="251657728" behindDoc="1" locked="0" layoutInCell="0" allowOverlap="1">
            <wp:simplePos x="0" y="0"/>
            <wp:positionH relativeFrom="column">
              <wp:posOffset>5744210</wp:posOffset>
            </wp:positionH>
            <wp:positionV relativeFrom="paragraph">
              <wp:posOffset>-1598295</wp:posOffset>
            </wp:positionV>
            <wp:extent cx="11226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22680" cy="19685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-187960</wp:posOffset>
            </wp:positionV>
            <wp:extent cx="6858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-187960</wp:posOffset>
            </wp:positionV>
            <wp:extent cx="5969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82" w:lineRule="exact"/>
        <w:rPr>
          <w:sz w:val="20"/>
          <w:szCs w:val="20"/>
          <w:color w:val="auto"/>
        </w:rPr>
      </w:pPr>
    </w:p>
    <w:p>
      <w:pPr>
        <w:jc w:val="center"/>
        <w:ind w:right="-43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5" w:right="7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jc w:val="center"/>
        <w:ind w:left="512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518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1700" w:type="dxa"/>
        <w:tblCellMar>
          <w:top w:w="0" w:type="dxa"/>
          <w:left w:w="0" w:type="dxa"/>
          <w:bottom w:w="0" w:type="dxa"/>
          <w:right w:w="0" w:type="dxa"/>
        </w:tblCellMar>
      </w:tblPr>
      <w:tr>
        <w:trPr>
          <w:trHeight w:val="246"/>
        </w:trPr>
        <w:tc>
          <w:tcPr>
            <w:tcW w:w="524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1"/>
                <w:szCs w:val="21"/>
                <w:color w:val="auto"/>
              </w:rPr>
            </w:pPr>
          </w:p>
        </w:tc>
      </w:tr>
      <w:tr>
        <w:trPr>
          <w:trHeight w:val="241"/>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Revenue from customers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752</w:t>
            </w:r>
          </w:p>
        </w:tc>
        <w:tc>
          <w:tcPr>
            <w:tcW w:w="2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8,730</w:t>
            </w:r>
          </w:p>
        </w:tc>
        <w:tc>
          <w:tcPr>
            <w:tcW w:w="80" w:type="dxa"/>
            <w:vAlign w:val="bottom"/>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Revenue from collaboration agreements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64,545</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2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65,297</w:t>
            </w:r>
          </w:p>
        </w:tc>
        <w:tc>
          <w:tcPr>
            <w:tcW w:w="2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8,730</w:t>
            </w:r>
          </w:p>
        </w:tc>
        <w:tc>
          <w:tcPr>
            <w:tcW w:w="80" w:type="dxa"/>
            <w:vAlign w:val="bottom"/>
            <w:tcBorders>
              <w:top w:val="single" w:sz="8" w:color="CFF0FC"/>
            </w:tcBorders>
          </w:tcPr>
          <w:p>
            <w:pPr>
              <w:spacing w:after="0"/>
              <w:rPr>
                <w:sz w:val="20"/>
                <w:szCs w:val="20"/>
                <w:color w:val="auto"/>
              </w:rPr>
            </w:pPr>
          </w:p>
        </w:tc>
      </w:tr>
      <w:tr>
        <w:trPr>
          <w:trHeight w:val="243"/>
        </w:trPr>
        <w:tc>
          <w:tcPr>
            <w:tcW w:w="5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7"/>
        </w:trPr>
        <w:tc>
          <w:tcPr>
            <w:tcW w:w="52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19,463</w:t>
            </w:r>
          </w:p>
        </w:tc>
        <w:tc>
          <w:tcPr>
            <w:tcW w:w="80" w:type="dxa"/>
            <w:vAlign w:val="bottom"/>
          </w:tcPr>
          <w:p>
            <w:pPr>
              <w:spacing w:after="0"/>
              <w:rPr>
                <w:sz w:val="20"/>
                <w:szCs w:val="20"/>
                <w:color w:val="auto"/>
              </w:rPr>
            </w:pPr>
          </w:p>
        </w:tc>
      </w:tr>
      <w:tr>
        <w:trPr>
          <w:trHeight w:val="243"/>
        </w:trPr>
        <w:tc>
          <w:tcPr>
            <w:tcW w:w="52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6,531</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24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10,016</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26,949</w:t>
            </w:r>
          </w:p>
        </w:tc>
        <w:tc>
          <w:tcPr>
            <w:tcW w:w="80" w:type="dxa"/>
            <w:vAlign w:val="bottom"/>
          </w:tcPr>
          <w:p>
            <w:pPr>
              <w:spacing w:after="0"/>
              <w:rPr>
                <w:sz w:val="20"/>
                <w:szCs w:val="20"/>
                <w:color w:val="auto"/>
              </w:rPr>
            </w:pPr>
          </w:p>
        </w:tc>
      </w:tr>
      <w:tr>
        <w:trPr>
          <w:trHeight w:val="237"/>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55,281</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(18,219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6"/>
        </w:trPr>
        <w:tc>
          <w:tcPr>
            <w:tcW w:w="5240" w:type="dxa"/>
            <w:vAlign w:val="bottom"/>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80" w:type="dxa"/>
            <w:vAlign w:val="bottom"/>
            <w:shd w:val="clear" w:color="auto" w:fill="CFF0FC"/>
          </w:tcPr>
          <w:p>
            <w:pPr>
              <w:spacing w:after="0"/>
              <w:rPr>
                <w:sz w:val="21"/>
                <w:szCs w:val="21"/>
                <w:color w:val="auto"/>
              </w:rPr>
            </w:pP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Interest and dividend income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(1 )</w:t>
            </w: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37"/>
        </w:trPr>
        <w:tc>
          <w:tcPr>
            <w:tcW w:w="5240" w:type="dxa"/>
            <w:vAlign w:val="bottom"/>
            <w:tcBorders>
              <w:top w:val="single" w:sz="8" w:color="CFF0FC"/>
            </w:tcBorders>
          </w:tcPr>
          <w:p>
            <w:pPr>
              <w:ind w:left="360"/>
              <w:spacing w:after="0"/>
              <w:rPr>
                <w:sz w:val="20"/>
                <w:szCs w:val="20"/>
                <w:color w:val="auto"/>
              </w:rPr>
            </w:pPr>
            <w:r>
              <w:rPr>
                <w:rFonts w:ascii="Arial" w:cs="Arial" w:eastAsia="Arial" w:hAnsi="Arial"/>
                <w:sz w:val="18"/>
                <w:szCs w:val="18"/>
                <w:color w:val="auto"/>
              </w:rPr>
              <w:t>Total other income, net</w:t>
            </w: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2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80" w:type="dxa"/>
            <w:vAlign w:val="bottom"/>
            <w:tcBorders>
              <w:top w:val="single" w:sz="8" w:color="CFF0FC"/>
            </w:tcBorders>
          </w:tcPr>
          <w:p>
            <w:pPr>
              <w:spacing w:after="0"/>
              <w:rPr>
                <w:sz w:val="20"/>
                <w:szCs w:val="20"/>
                <w:color w:val="auto"/>
              </w:rPr>
            </w:pPr>
          </w:p>
        </w:tc>
      </w:tr>
      <w:tr>
        <w:trPr>
          <w:trHeight w:val="276"/>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56,374</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459"/>
        </w:trPr>
        <w:tc>
          <w:tcPr>
            <w:tcW w:w="5240" w:type="dxa"/>
            <w:vAlign w:val="bottom"/>
          </w:tcPr>
          <w:p>
            <w:pPr>
              <w:spacing w:after="0"/>
              <w:rPr>
                <w:sz w:val="20"/>
                <w:szCs w:val="20"/>
                <w:color w:val="auto"/>
              </w:rPr>
            </w:pPr>
            <w:r>
              <w:rPr>
                <w:rFonts w:ascii="Arial" w:cs="Arial" w:eastAsia="Arial" w:hAnsi="Arial"/>
                <w:sz w:val="18"/>
                <w:szCs w:val="18"/>
                <w:color w:val="auto"/>
              </w:rPr>
              <w:t>Net income (loss) per share - basic and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8.46</w:t>
            </w:r>
          </w:p>
        </w:tc>
        <w:tc>
          <w:tcPr>
            <w:tcW w:w="2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(2.49 )</w:t>
            </w:r>
          </w:p>
        </w:tc>
      </w:tr>
      <w:tr>
        <w:trPr>
          <w:trHeight w:val="256"/>
        </w:trPr>
        <w:tc>
          <w:tcPr>
            <w:tcW w:w="5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5"/>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w w:val="98"/>
              </w:rPr>
              <w:t>Weighted-average shares used in computing net income (loss) per</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44"/>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share - basic and diluted</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6,663</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6,663</w:t>
            </w:r>
          </w:p>
        </w:tc>
        <w:tc>
          <w:tcPr>
            <w:tcW w:w="8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-2845435</wp:posOffset>
            </wp:positionV>
            <wp:extent cx="51435"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3257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-2845435</wp:posOffset>
            </wp:positionV>
            <wp:extent cx="43180" cy="32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180" cy="3257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-2056765</wp:posOffset>
            </wp:positionV>
            <wp:extent cx="5143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-2056765</wp:posOffset>
            </wp:positionV>
            <wp:extent cx="431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-1731010</wp:posOffset>
            </wp:positionV>
            <wp:extent cx="5143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-1731010</wp:posOffset>
            </wp:positionV>
            <wp:extent cx="4318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180" cy="16256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-1104900</wp:posOffset>
            </wp:positionV>
            <wp:extent cx="5143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-1104900</wp:posOffset>
            </wp:positionV>
            <wp:extent cx="431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-779145</wp:posOffset>
            </wp:positionV>
            <wp:extent cx="916940" cy="4889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16940" cy="488950"/>
                    </a:xfrm>
                    <a:prstGeom prst="rect">
                      <a:avLst/>
                    </a:prstGeom>
                    <a:noFill/>
                  </pic:spPr>
                </pic:pic>
              </a:graphicData>
            </a:graphic>
          </wp:anchor>
        </w:drawing>
      </w:r>
    </w:p>
    <w:p>
      <w:pPr>
        <w:spacing w:after="0" w:line="200" w:lineRule="exact"/>
        <w:rPr>
          <w:sz w:val="20"/>
          <w:szCs w:val="20"/>
          <w:color w:val="auto"/>
        </w:rPr>
      </w:pPr>
    </w:p>
    <w:p>
      <w:pPr>
        <w:ind w:left="3260"/>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36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04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4"/>
        </w:trPr>
        <w:tc>
          <w:tcPr>
            <w:tcW w:w="58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5620" w:type="dxa"/>
            <w:vAlign w:val="bottom"/>
            <w:gridSpan w:val="3"/>
          </w:tcPr>
          <w:p>
            <w:pPr>
              <w:jc w:val="center"/>
              <w:ind w:left="2970"/>
              <w:spacing w:after="0"/>
              <w:rPr>
                <w:sz w:val="20"/>
                <w:szCs w:val="20"/>
                <w:color w:val="auto"/>
              </w:rPr>
            </w:pPr>
            <w:r>
              <w:rPr>
                <w:rFonts w:ascii="Arial" w:cs="Arial" w:eastAsia="Arial" w:hAnsi="Arial"/>
                <w:sz w:val="18"/>
                <w:szCs w:val="18"/>
                <w:b w:val="1"/>
                <w:bCs w:val="1"/>
                <w:color w:val="auto"/>
              </w:rPr>
              <w:t>MEI PHARMA, INC.</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80" w:type="dxa"/>
            <w:vAlign w:val="bottom"/>
            <w:gridSpan w:val="10"/>
          </w:tcPr>
          <w:p>
            <w:pPr>
              <w:jc w:val="center"/>
              <w:ind w:left="310"/>
              <w:spacing w:after="0"/>
              <w:rPr>
                <w:sz w:val="20"/>
                <w:szCs w:val="20"/>
                <w:color w:val="auto"/>
              </w:rPr>
            </w:pPr>
            <w:r>
              <w:rPr>
                <w:rFonts w:ascii="Arial" w:cs="Arial" w:eastAsia="Arial" w:hAnsi="Arial"/>
                <w:sz w:val="18"/>
                <w:szCs w:val="18"/>
                <w:b w:val="1"/>
                <w:bCs w:val="1"/>
                <w:color w:val="auto"/>
                <w:w w:val="99"/>
              </w:rPr>
              <w:t>CONDENSED CONSOLIDATED STATEMENTS OF STOCKHOLDERS’ EQUITY</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60" w:type="dxa"/>
            <w:vAlign w:val="bottom"/>
            <w:gridSpan w:val="2"/>
          </w:tcPr>
          <w:p>
            <w:pPr>
              <w:jc w:val="center"/>
              <w:ind w:right="610"/>
              <w:spacing w:after="0"/>
              <w:rPr>
                <w:sz w:val="20"/>
                <w:szCs w:val="20"/>
                <w:color w:val="auto"/>
              </w:rPr>
            </w:pPr>
            <w:r>
              <w:rPr>
                <w:rFonts w:ascii="Arial" w:cs="Arial" w:eastAsia="Arial" w:hAnsi="Arial"/>
                <w:sz w:val="18"/>
                <w:szCs w:val="18"/>
                <w:color w:val="auto"/>
                <w:w w:val="90"/>
              </w:rPr>
              <w:t>(In thousands)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60" w:type="dxa"/>
            <w:vAlign w:val="bottom"/>
            <w:gridSpan w:val="2"/>
          </w:tcPr>
          <w:p>
            <w:pPr>
              <w:jc w:val="center"/>
              <w:ind w:right="61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Additional</w:t>
            </w:r>
          </w:p>
        </w:tc>
        <w:tc>
          <w:tcPr>
            <w:tcW w:w="120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0"/>
              </w:rPr>
              <w:t>Accumulate</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Stockholder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Common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Paid-In</w:t>
            </w:r>
          </w:p>
        </w:tc>
        <w:tc>
          <w:tcPr>
            <w:tcW w:w="180" w:type="dxa"/>
            <w:vAlign w:val="bottom"/>
          </w:tcPr>
          <w:p>
            <w:pPr>
              <w:spacing w:after="0"/>
              <w:rPr>
                <w:sz w:val="18"/>
                <w:szCs w:val="18"/>
                <w:color w:val="auto"/>
              </w:rPr>
            </w:pPr>
          </w:p>
        </w:tc>
        <w:tc>
          <w:tcPr>
            <w:tcW w:w="102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0"/>
              </w:rPr>
              <w:t>d</w:t>
            </w:r>
          </w:p>
        </w:tc>
        <w:tc>
          <w:tcPr>
            <w:tcW w:w="18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Capital</w:t>
            </w:r>
          </w:p>
        </w:tc>
        <w:tc>
          <w:tcPr>
            <w:tcW w:w="180" w:type="dxa"/>
            <w:vAlign w:val="bottom"/>
          </w:tcPr>
          <w:p>
            <w:pPr>
              <w:spacing w:after="0"/>
              <w:rPr>
                <w:sz w:val="20"/>
                <w:szCs w:val="20"/>
                <w:color w:val="auto"/>
              </w:rPr>
            </w:pPr>
          </w:p>
        </w:tc>
        <w:tc>
          <w:tcPr>
            <w:tcW w:w="102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0"/>
              </w:rPr>
              <w:t>Deficit</w:t>
            </w:r>
          </w:p>
        </w:tc>
        <w:tc>
          <w:tcPr>
            <w:tcW w:w="18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4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Balance at June 30, 2023</w:t>
            </w:r>
          </w:p>
        </w:tc>
        <w:tc>
          <w:tcPr>
            <w:tcW w:w="780" w:type="dxa"/>
            <w:vAlign w:val="bottom"/>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6,663</w:t>
            </w:r>
          </w:p>
        </w:tc>
        <w:tc>
          <w:tcPr>
            <w:tcW w:w="22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430,621</w:t>
            </w:r>
          </w:p>
        </w:tc>
        <w:tc>
          <w:tcPr>
            <w:tcW w:w="20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(405,997</w:t>
            </w:r>
          </w:p>
        </w:tc>
        <w:tc>
          <w:tcPr>
            <w:tcW w:w="1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56,374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56,374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46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Share-based compensation expense</w:t>
            </w:r>
          </w:p>
        </w:tc>
        <w:tc>
          <w:tcPr>
            <w:tcW w:w="7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2023</w:t>
            </w:r>
          </w:p>
        </w:tc>
        <w:tc>
          <w:tcPr>
            <w:tcW w:w="7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6,663</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430,984</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(349,623 )</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81,361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Additional</w:t>
            </w:r>
          </w:p>
        </w:tc>
        <w:tc>
          <w:tcPr>
            <w:tcW w:w="120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0"/>
              </w:rPr>
              <w:t>Accumulate</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Stockholder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Common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Paid-In</w:t>
            </w:r>
          </w:p>
        </w:tc>
        <w:tc>
          <w:tcPr>
            <w:tcW w:w="180" w:type="dxa"/>
            <w:vAlign w:val="bottom"/>
          </w:tcPr>
          <w:p>
            <w:pPr>
              <w:spacing w:after="0"/>
              <w:rPr>
                <w:sz w:val="18"/>
                <w:szCs w:val="18"/>
                <w:color w:val="auto"/>
              </w:rPr>
            </w:pPr>
          </w:p>
        </w:tc>
        <w:tc>
          <w:tcPr>
            <w:tcW w:w="102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0"/>
              </w:rPr>
              <w:t>d</w:t>
            </w:r>
          </w:p>
        </w:tc>
        <w:tc>
          <w:tcPr>
            <w:tcW w:w="18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Capital</w:t>
            </w:r>
          </w:p>
        </w:tc>
        <w:tc>
          <w:tcPr>
            <w:tcW w:w="180" w:type="dxa"/>
            <w:vAlign w:val="bottom"/>
          </w:tcPr>
          <w:p>
            <w:pPr>
              <w:spacing w:after="0"/>
              <w:rPr>
                <w:sz w:val="20"/>
                <w:szCs w:val="20"/>
                <w:color w:val="auto"/>
              </w:rPr>
            </w:pPr>
          </w:p>
        </w:tc>
        <w:tc>
          <w:tcPr>
            <w:tcW w:w="102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0"/>
              </w:rPr>
              <w:t>Deficit</w:t>
            </w:r>
          </w:p>
        </w:tc>
        <w:tc>
          <w:tcPr>
            <w:tcW w:w="18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2022</w:t>
            </w:r>
          </w:p>
        </w:tc>
        <w:tc>
          <w:tcPr>
            <w:tcW w:w="78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6,658</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426,572</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(374,159</w:t>
            </w:r>
          </w:p>
        </w:tc>
        <w:tc>
          <w:tcPr>
            <w:tcW w:w="1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4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Net loss</w:t>
            </w:r>
          </w:p>
        </w:tc>
        <w:tc>
          <w:tcPr>
            <w:tcW w:w="7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(16,624 )</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(16,624 )</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w w:val="91"/>
              </w:rPr>
              <w:t>Issuance of common stock for vested restricted stock units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(40 )</w:t>
            </w:r>
          </w:p>
        </w:tc>
        <w:tc>
          <w:tcPr>
            <w:tcW w:w="180" w:type="dxa"/>
            <w:vAlign w:val="bottom"/>
          </w:tcPr>
          <w:p>
            <w:pPr>
              <w:spacing w:after="0"/>
              <w:rPr>
                <w:sz w:val="20"/>
                <w:szCs w:val="20"/>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46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Share-based compensation expense</w:t>
            </w:r>
          </w:p>
        </w:tc>
        <w:tc>
          <w:tcPr>
            <w:tcW w:w="7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1,559</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2022</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6,663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428,091</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(390,783 )</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37,308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-1722120</wp:posOffset>
            </wp:positionV>
            <wp:extent cx="6858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-1722120</wp:posOffset>
            </wp:positionV>
            <wp:extent cx="6858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-1722120</wp:posOffset>
            </wp:positionV>
            <wp:extent cx="60325"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-1722120</wp:posOffset>
            </wp:positionV>
            <wp:extent cx="6032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-187960</wp:posOffset>
            </wp:positionV>
            <wp:extent cx="6858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6858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-187960</wp:posOffset>
            </wp:positionV>
            <wp:extent cx="60325"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jc w:val="center"/>
        <w:ind w:right="-55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08" w:right="8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60" w:type="dxa"/>
            <w:vAlign w:val="bottom"/>
          </w:tcPr>
          <w:p>
            <w:pPr>
              <w:spacing w:after="0"/>
              <w:rPr>
                <w:sz w:val="20"/>
                <w:szCs w:val="20"/>
                <w:color w:val="auto"/>
              </w:rPr>
            </w:pPr>
          </w:p>
        </w:tc>
        <w:tc>
          <w:tcPr>
            <w:tcW w:w="3880" w:type="dxa"/>
            <w:vAlign w:val="bottom"/>
            <w:gridSpan w:val="6"/>
          </w:tcPr>
          <w:p>
            <w:pPr>
              <w:jc w:val="right"/>
              <w:ind w:right="221"/>
              <w:spacing w:after="0"/>
              <w:rPr>
                <w:sz w:val="20"/>
                <w:szCs w:val="20"/>
                <w:color w:val="auto"/>
              </w:rPr>
            </w:pPr>
            <w:r>
              <w:rPr>
                <w:rFonts w:ascii="Arial" w:cs="Arial" w:eastAsia="Arial" w:hAnsi="Arial"/>
                <w:sz w:val="18"/>
                <w:szCs w:val="18"/>
                <w:b w:val="1"/>
                <w:bCs w:val="1"/>
                <w:color w:val="auto"/>
                <w:w w:val="95"/>
              </w:rPr>
              <w:t>For the Three Months Ended September 30,</w:t>
            </w:r>
          </w:p>
        </w:tc>
      </w:tr>
      <w:tr>
        <w:trPr>
          <w:trHeight w:val="239"/>
        </w:trPr>
        <w:tc>
          <w:tcPr>
            <w:tcW w:w="736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41"/>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36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56,374</w:t>
            </w:r>
          </w:p>
        </w:tc>
        <w:tc>
          <w:tcPr>
            <w:tcW w:w="2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(16,624 )</w:t>
            </w:r>
          </w:p>
        </w:tc>
      </w:tr>
      <w:tr>
        <w:trPr>
          <w:trHeight w:val="249"/>
        </w:trPr>
        <w:tc>
          <w:tcPr>
            <w:tcW w:w="7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360" w:type="dxa"/>
            <w:vAlign w:val="bottom"/>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1140" w:type="dxa"/>
            <w:vAlign w:val="bottom"/>
          </w:tcPr>
          <w:p>
            <w:pPr>
              <w:spacing w:after="0"/>
              <w:rPr>
                <w:sz w:val="20"/>
                <w:szCs w:val="20"/>
                <w:color w:val="auto"/>
              </w:rPr>
            </w:pPr>
          </w:p>
        </w:tc>
        <w:tc>
          <w:tcPr>
            <w:tcW w:w="90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(1,117 )</w:t>
            </w:r>
          </w:p>
        </w:tc>
      </w:tr>
      <w:tr>
        <w:trPr>
          <w:trHeight w:val="249"/>
        </w:trPr>
        <w:tc>
          <w:tcPr>
            <w:tcW w:w="7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Share-based compensation</w:t>
            </w:r>
          </w:p>
        </w:tc>
        <w:tc>
          <w:tcPr>
            <w:tcW w:w="1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w:t>
            </w:r>
          </w:p>
        </w:tc>
        <w:tc>
          <w:tcPr>
            <w:tcW w:w="100" w:type="dxa"/>
            <w:vAlign w:val="bottom"/>
            <w:shd w:val="clear" w:color="auto" w:fill="CFF0FC"/>
          </w:tcPr>
          <w:p>
            <w:pPr>
              <w:spacing w:after="0"/>
              <w:rPr>
                <w:sz w:val="21"/>
                <w:szCs w:val="21"/>
                <w:color w:val="auto"/>
              </w:rPr>
            </w:pPr>
          </w:p>
        </w:tc>
      </w:tr>
      <w:tr>
        <w:trPr>
          <w:trHeight w:val="237"/>
        </w:trPr>
        <w:tc>
          <w:tcPr>
            <w:tcW w:w="7360" w:type="dxa"/>
            <w:vAlign w:val="bottom"/>
          </w:tcPr>
          <w:p>
            <w:pPr>
              <w:ind w:left="200"/>
              <w:spacing w:after="0"/>
              <w:rPr>
                <w:sz w:val="20"/>
                <w:szCs w:val="20"/>
                <w:color w:val="auto"/>
              </w:rPr>
            </w:pPr>
            <w:r>
              <w:rPr>
                <w:rFonts w:ascii="Arial" w:cs="Arial" w:eastAsia="Arial" w:hAnsi="Arial"/>
                <w:sz w:val="18"/>
                <w:szCs w:val="18"/>
                <w:color w:val="auto"/>
              </w:rPr>
              <w:t>Non-cash lease expense</w:t>
            </w: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372</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0"/>
                <w:szCs w:val="20"/>
                <w:color w:val="auto"/>
              </w:rPr>
            </w:pPr>
          </w:p>
        </w:tc>
      </w:tr>
      <w:tr>
        <w:trPr>
          <w:trHeight w:val="249"/>
        </w:trPr>
        <w:tc>
          <w:tcPr>
            <w:tcW w:w="7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expense</w:t>
            </w:r>
          </w:p>
        </w:tc>
        <w:tc>
          <w:tcPr>
            <w:tcW w:w="1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21"/>
                <w:szCs w:val="21"/>
                <w:color w:val="auto"/>
              </w:rPr>
            </w:pPr>
          </w:p>
        </w:tc>
      </w:tr>
      <w:tr>
        <w:trPr>
          <w:trHeight w:val="237"/>
        </w:trPr>
        <w:tc>
          <w:tcPr>
            <w:tcW w:w="736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Unbilled receivables</w:t>
            </w:r>
          </w:p>
        </w:tc>
        <w:tc>
          <w:tcPr>
            <w:tcW w:w="1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2,286</w:t>
            </w:r>
          </w:p>
        </w:tc>
        <w:tc>
          <w:tcPr>
            <w:tcW w:w="100" w:type="dxa"/>
            <w:vAlign w:val="bottom"/>
            <w:shd w:val="clear" w:color="auto" w:fill="CFF0FC"/>
          </w:tcPr>
          <w:p>
            <w:pPr>
              <w:spacing w:after="0"/>
              <w:rPr>
                <w:sz w:val="21"/>
                <w:szCs w:val="21"/>
                <w:color w:val="auto"/>
              </w:rPr>
            </w:pPr>
          </w:p>
        </w:tc>
      </w:tr>
      <w:tr>
        <w:trPr>
          <w:trHeight w:val="237"/>
        </w:trPr>
        <w:tc>
          <w:tcPr>
            <w:tcW w:w="736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530</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0"/>
                <w:szCs w:val="20"/>
                <w:color w:val="auto"/>
              </w:rPr>
            </w:pPr>
          </w:p>
        </w:tc>
      </w:tr>
      <w:tr>
        <w:trPr>
          <w:trHeight w:val="249"/>
        </w:trPr>
        <w:tc>
          <w:tcPr>
            <w:tcW w:w="7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1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(2,921 )</w:t>
            </w: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21"/>
                <w:szCs w:val="21"/>
                <w:color w:val="auto"/>
              </w:rPr>
            </w:pPr>
          </w:p>
        </w:tc>
      </w:tr>
      <w:tr>
        <w:trPr>
          <w:trHeight w:val="237"/>
        </w:trPr>
        <w:tc>
          <w:tcPr>
            <w:tcW w:w="736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1140" w:type="dxa"/>
            <w:vAlign w:val="bottom"/>
          </w:tcPr>
          <w:p>
            <w:pPr>
              <w:spacing w:after="0"/>
              <w:rPr>
                <w:sz w:val="20"/>
                <w:szCs w:val="20"/>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(8,172 )</w:t>
            </w:r>
          </w:p>
        </w:tc>
        <w:tc>
          <w:tcPr>
            <w:tcW w:w="3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(1,604 )</w:t>
            </w:r>
          </w:p>
        </w:tc>
      </w:tr>
      <w:tr>
        <w:trPr>
          <w:trHeight w:val="249"/>
        </w:trPr>
        <w:tc>
          <w:tcPr>
            <w:tcW w:w="7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revenue</w:t>
            </w:r>
          </w:p>
        </w:tc>
        <w:tc>
          <w:tcPr>
            <w:tcW w:w="1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w w:val="94"/>
              </w:rPr>
              <w:t>(64,862 )</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(971 )</w:t>
            </w:r>
          </w:p>
        </w:tc>
      </w:tr>
      <w:tr>
        <w:trPr>
          <w:trHeight w:val="237"/>
        </w:trPr>
        <w:tc>
          <w:tcPr>
            <w:tcW w:w="7360" w:type="dxa"/>
            <w:vAlign w:val="bottom"/>
          </w:tcPr>
          <w:p>
            <w:pPr>
              <w:ind w:left="380"/>
              <w:spacing w:after="0"/>
              <w:rPr>
                <w:sz w:val="20"/>
                <w:szCs w:val="20"/>
                <w:color w:val="auto"/>
              </w:rPr>
            </w:pPr>
            <w:r>
              <w:rPr>
                <w:rFonts w:ascii="Arial" w:cs="Arial" w:eastAsia="Arial" w:hAnsi="Arial"/>
                <w:sz w:val="18"/>
                <w:szCs w:val="18"/>
                <w:color w:val="auto"/>
              </w:rPr>
              <w:t>Operating lease liability</w:t>
            </w:r>
          </w:p>
        </w:tc>
        <w:tc>
          <w:tcPr>
            <w:tcW w:w="1140" w:type="dxa"/>
            <w:vAlign w:val="bottom"/>
          </w:tcPr>
          <w:p>
            <w:pPr>
              <w:spacing w:after="0"/>
              <w:rPr>
                <w:sz w:val="20"/>
                <w:szCs w:val="20"/>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(347 )</w:t>
            </w:r>
          </w:p>
        </w:tc>
        <w:tc>
          <w:tcPr>
            <w:tcW w:w="3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(307 )</w:t>
            </w:r>
          </w:p>
        </w:tc>
      </w:tr>
      <w:tr>
        <w:trPr>
          <w:trHeight w:val="236"/>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114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(18,491</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479"/>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w:t>
            </w:r>
          </w:p>
        </w:tc>
        <w:tc>
          <w:tcPr>
            <w:tcW w:w="1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(63 )</w:t>
            </w:r>
          </w:p>
        </w:tc>
      </w:tr>
      <w:tr>
        <w:trPr>
          <w:trHeight w:val="237"/>
        </w:trPr>
        <w:tc>
          <w:tcPr>
            <w:tcW w:w="736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1140" w:type="dxa"/>
            <w:vAlign w:val="bottom"/>
          </w:tcPr>
          <w:p>
            <w:pPr>
              <w:spacing w:after="0"/>
              <w:rPr>
                <w:sz w:val="20"/>
                <w:szCs w:val="20"/>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w w:val="94"/>
              </w:rPr>
              <w:t>(24,197 )</w:t>
            </w:r>
          </w:p>
        </w:tc>
        <w:tc>
          <w:tcPr>
            <w:tcW w:w="3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(34,052 )</w:t>
            </w:r>
          </w:p>
        </w:tc>
      </w:tr>
      <w:tr>
        <w:trPr>
          <w:trHeight w:val="243"/>
        </w:trPr>
        <w:tc>
          <w:tcPr>
            <w:tcW w:w="7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Proceeds from maturity of short-term investments</w:t>
            </w:r>
          </w:p>
        </w:tc>
        <w:tc>
          <w:tcPr>
            <w:tcW w:w="1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29,154</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36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1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4,957</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13,735</w:t>
            </w:r>
          </w:p>
        </w:tc>
        <w:tc>
          <w:tcPr>
            <w:tcW w:w="100" w:type="dxa"/>
            <w:vAlign w:val="bottom"/>
          </w:tcPr>
          <w:p>
            <w:pPr>
              <w:spacing w:after="0"/>
              <w:rPr>
                <w:sz w:val="20"/>
                <w:szCs w:val="20"/>
                <w:color w:val="auto"/>
              </w:rPr>
            </w:pPr>
          </w:p>
        </w:tc>
      </w:tr>
      <w:tr>
        <w:trPr>
          <w:trHeight w:val="243"/>
        </w:trPr>
        <w:tc>
          <w:tcPr>
            <w:tcW w:w="7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360" w:type="dxa"/>
            <w:vAlign w:val="bottom"/>
          </w:tcPr>
          <w:p>
            <w:pPr>
              <w:ind w:left="200"/>
              <w:spacing w:after="0"/>
              <w:rPr>
                <w:sz w:val="20"/>
                <w:szCs w:val="20"/>
                <w:color w:val="auto"/>
              </w:rPr>
            </w:pPr>
            <w:r>
              <w:rPr>
                <w:rFonts w:ascii="Arial" w:cs="Arial" w:eastAsia="Arial" w:hAnsi="Arial"/>
                <w:sz w:val="18"/>
                <w:szCs w:val="18"/>
                <w:color w:val="auto"/>
              </w:rPr>
              <w:t>Payments of tax withholdings related to vesting of restricted stock units</w:t>
            </w:r>
          </w:p>
        </w:tc>
        <w:tc>
          <w:tcPr>
            <w:tcW w:w="1140" w:type="dxa"/>
            <w:vAlign w:val="bottom"/>
          </w:tcPr>
          <w:p>
            <w:pPr>
              <w:spacing w:after="0"/>
              <w:rPr>
                <w:sz w:val="20"/>
                <w:szCs w:val="20"/>
                <w:color w:val="auto"/>
              </w:rPr>
            </w:pPr>
          </w:p>
        </w:tc>
        <w:tc>
          <w:tcPr>
            <w:tcW w:w="90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(40 )</w:t>
            </w:r>
          </w:p>
        </w:tc>
      </w:tr>
      <w:tr>
        <w:trPr>
          <w:trHeight w:val="236"/>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114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36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1140" w:type="dxa"/>
            <w:vAlign w:val="bottom"/>
          </w:tcPr>
          <w:p>
            <w:pPr>
              <w:spacing w:after="0"/>
              <w:rPr>
                <w:sz w:val="20"/>
                <w:szCs w:val="20"/>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w w:val="94"/>
              </w:rPr>
              <w:t>(13,534 )</w:t>
            </w:r>
          </w:p>
        </w:tc>
        <w:tc>
          <w:tcPr>
            <w:tcW w:w="3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(1,087 )</w:t>
            </w:r>
          </w:p>
        </w:tc>
      </w:tr>
      <w:tr>
        <w:trPr>
          <w:trHeight w:val="243"/>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beginning of the period</w:t>
            </w:r>
          </w:p>
        </w:tc>
        <w:tc>
          <w:tcPr>
            <w:tcW w:w="1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16,906</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60" w:type="dxa"/>
            <w:vAlign w:val="bottom"/>
          </w:tcPr>
          <w:p>
            <w:pPr>
              <w:ind w:left="20"/>
              <w:spacing w:after="0"/>
              <w:rPr>
                <w:sz w:val="20"/>
                <w:szCs w:val="20"/>
                <w:color w:val="auto"/>
              </w:rPr>
            </w:pPr>
            <w:r>
              <w:rPr>
                <w:rFonts w:ascii="Arial" w:cs="Arial" w:eastAsia="Arial" w:hAnsi="Arial"/>
                <w:sz w:val="18"/>
                <w:szCs w:val="18"/>
                <w:color w:val="auto"/>
              </w:rPr>
              <w:t>Cash and cash equivalents at end of the period</w:t>
            </w: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w:t>
            </w:r>
          </w:p>
        </w:tc>
        <w:tc>
          <w:tcPr>
            <w:tcW w:w="26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14,653</w:t>
            </w:r>
          </w:p>
        </w:tc>
        <w:tc>
          <w:tcPr>
            <w:tcW w:w="100" w:type="dxa"/>
            <w:vAlign w:val="bottom"/>
          </w:tcPr>
          <w:p>
            <w:pPr>
              <w:spacing w:after="0"/>
              <w:rPr>
                <w:sz w:val="20"/>
                <w:szCs w:val="20"/>
                <w:color w:val="auto"/>
              </w:rPr>
            </w:pPr>
          </w:p>
        </w:tc>
      </w:tr>
      <w:tr>
        <w:trPr>
          <w:trHeight w:val="20"/>
        </w:trPr>
        <w:tc>
          <w:tcPr>
            <w:tcW w:w="7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360" w:type="dxa"/>
            <w:vAlign w:val="bottom"/>
          </w:tcPr>
          <w:p>
            <w:pPr>
              <w:ind w:left="2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 obtained in exchange for operating lease liabilities</w:t>
            </w:r>
          </w:p>
        </w:tc>
        <w:tc>
          <w:tcPr>
            <w:tcW w:w="1140" w:type="dxa"/>
            <w:vAlign w:val="bottom"/>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4,347</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-2699385</wp:posOffset>
            </wp:positionV>
            <wp:extent cx="68580" cy="316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316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-1919605</wp:posOffset>
            </wp:positionV>
            <wp:extent cx="68580" cy="3257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3257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-1122045</wp:posOffset>
            </wp:positionV>
            <wp:extent cx="6858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-805180</wp:posOffset>
            </wp:positionV>
            <wp:extent cx="68580" cy="3429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3429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34290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MEI Pharma, Inc. (Nasdaq: MEIP) is a clinical-stage pharmaceutical company committed to developing novel and differentiated cancer therapies. We build our pipeline by acquiring promising cancer agents and creating value in programs through development, strategic partnerships, and out-licensing or commercialization, as appropriate. Our approach to oncology drug development is to evaluate our drug candidates in combinations with standard-of-care therapies to overcome known resistance mechanisms and address clear medical needs to provide improved patient benefit. Our pipeline includes voruciclib, an oral cyclin-dependent kinase 9 (“CDK9”) inhibitor, and ME-344, an intravenous small molecule mitochondrial inhibitor targeting the oxidative phosphorylation pathway.</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Reverse Stock Split</w:t>
      </w:r>
    </w:p>
    <w:p>
      <w:pPr>
        <w:spacing w:after="0" w:line="11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On April 14, 2023, we amended our Certificate of Incorporation to affect a combination of our issued and outstanding common stock at a ratio of one-for-twenty (“Reverse Stock Split”). The par value and authorized shares of our common stock were not adjusted as a result of the Reverse Stock Split. The Reverse Stock Split was effective on April 14, 2023, with a market effective date of April 17, 2023. All historical share and per share amounts have been adjusted to reflect the Reverse Stock Split for all periods presented. All stock options, restricted stock units and warrants outstanding were ratably adjusted to give effect to the Reverse Stock Split.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Events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Cooperation Agreement</w:t>
      </w:r>
    </w:p>
    <w:p>
      <w:pPr>
        <w:spacing w:after="0" w:line="117"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 xml:space="preserve">On October 31, 2023, we announced a Cooperation Agreement (“Cooperation Agreement”) with Anson Funds and Cable Car Capital of which, among other non-financial related items as described within the overview section of </w:t>
      </w:r>
      <w:r>
        <w:rPr>
          <w:rFonts w:ascii="Arial" w:cs="Arial" w:eastAsia="Arial" w:hAnsi="Arial"/>
          <w:sz w:val="16"/>
          <w:szCs w:val="16"/>
          <w:i w:val="1"/>
          <w:iCs w:val="1"/>
          <w:u w:val="single" w:color="auto"/>
          <w:color w:val="0000FF"/>
        </w:rPr>
        <w:t>Item 2. Management’s Discussion and Analysis of Financial Condition</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0000FF"/>
        </w:rPr>
        <w:t>and Results of Operations</w:t>
      </w:r>
      <w:r>
        <w:rPr>
          <w:rFonts w:ascii="Arial" w:cs="Arial" w:eastAsia="Arial" w:hAnsi="Arial"/>
          <w:sz w:val="16"/>
          <w:szCs w:val="16"/>
          <w:i w:val="1"/>
          <w:iCs w:val="1"/>
          <w:color w:val="000000"/>
        </w:rPr>
        <w:t>,</w:t>
      </w:r>
      <w:r>
        <w:rPr>
          <w:rFonts w:ascii="Arial" w:cs="Arial" w:eastAsia="Arial" w:hAnsi="Arial"/>
          <w:sz w:val="16"/>
          <w:szCs w:val="16"/>
          <w:i w:val="1"/>
          <w:iCs w:val="1"/>
          <w:color w:val="0000FF"/>
        </w:rPr>
        <w:t xml:space="preserve"> </w:t>
      </w:r>
      <w:r>
        <w:rPr>
          <w:rFonts w:ascii="Arial" w:cs="Arial" w:eastAsia="Arial" w:hAnsi="Arial"/>
          <w:sz w:val="16"/>
          <w:szCs w:val="16"/>
          <w:color w:val="000000"/>
        </w:rPr>
        <w:t>contained a capital return to stockholders in the form of a dividend in the amount of $1.75 per share of common stock to all</w:t>
      </w:r>
      <w:r>
        <w:rPr>
          <w:rFonts w:ascii="Arial" w:cs="Arial" w:eastAsia="Arial" w:hAnsi="Arial"/>
          <w:sz w:val="16"/>
          <w:szCs w:val="16"/>
          <w:i w:val="1"/>
          <w:iCs w:val="1"/>
          <w:color w:val="0000FF"/>
        </w:rPr>
        <w:t xml:space="preserve"> </w:t>
      </w:r>
      <w:r>
        <w:rPr>
          <w:rFonts w:ascii="Arial" w:cs="Arial" w:eastAsia="Arial" w:hAnsi="Arial"/>
          <w:sz w:val="16"/>
          <w:szCs w:val="16"/>
          <w:color w:val="000000"/>
        </w:rPr>
        <w:t>stockholders. Additionally, a potential second return of capital of approximately $9.33 million in the aggregate will be authorized by the board of directors ("Board") should our ongoing ME-344 Phase 1b trial fail to meet certain defined endpoints or our Board determines not to proceed with a second cohort, both as further described in the Cooperation Agreement. The potential second return of capital may take the form of a dividend or tender offer and is subject to Board approval as well as modification associated with applicable requirements under Delaware law, both as detailed in the Cooperation Agreement. The $1.75 dividend is anticipated to be distributed during the second quarter of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-871220</wp:posOffset>
            </wp:positionV>
            <wp:extent cx="32600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600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-734060</wp:posOffset>
            </wp:positionV>
            <wp:extent cx="11899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37" w:lineRule="exact"/>
        <w:rPr>
          <w:sz w:val="20"/>
          <w:szCs w:val="20"/>
          <w:color w:val="auto"/>
        </w:rPr>
      </w:pPr>
    </w:p>
    <w:p>
      <w:pPr>
        <w:ind w:right="400" w:firstLine="509"/>
        <w:spacing w:after="0" w:line="311" w:lineRule="auto"/>
        <w:rPr>
          <w:sz w:val="20"/>
          <w:szCs w:val="20"/>
          <w:color w:val="auto"/>
        </w:rPr>
      </w:pPr>
      <w:r>
        <w:rPr>
          <w:rFonts w:ascii="Arial" w:cs="Arial" w:eastAsia="Arial" w:hAnsi="Arial"/>
          <w:sz w:val="16"/>
          <w:szCs w:val="16"/>
          <w:color w:val="auto"/>
        </w:rPr>
        <w:t>As part of the Cooperation Agreement, Anson and Cable Car withdrew their consent solicitation and agreed to abide by customary standstill provisions. Additionally, we will reimburse Anson and Cable Car’s fees and expenses related to their engagement with us to date, in an amount not to exceed $1.2 million. As of September 30, 2023, no amounts were expensed or accrued in connection with the Cooperation Agreement.</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Cash Dividend</w:t>
      </w:r>
    </w:p>
    <w:p>
      <w:pPr>
        <w:spacing w:after="0" w:line="11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On November 6, 2023, we announced that pursuant to the Cooperation Agreement, the Board declared a special cash dividend of $1.75 per share of common stock, payable on December 6, 2023, to stockholders of record at the close of business on November 17,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have accumulated losses of $349.6 million since inception and expect to incur operating losses and generate negative cash flows from operations for the foreseeable future. As of September 30, 2023, we had $82.2 million in cash and cash equivalents and short-term investments. We believe that these resources will be sufficient to meet our obligations and fund our liquidity and capital expenditure requirements for at least the next 12 months from the issuance of these condensed consolidated financial statements. Our current business operations are focused on continuing the clinical development of our drug candidates. Changes to our research and development plans or other changes affecting our operating expenses may affect actual future use of existing cash resources. Our research and development expenses are expected to increase in the foreseeable future.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280" w:firstLine="509"/>
        <w:spacing w:after="0" w:line="259" w:lineRule="auto"/>
        <w:rPr>
          <w:sz w:val="20"/>
          <w:szCs w:val="20"/>
          <w:color w:val="auto"/>
        </w:rPr>
      </w:pPr>
      <w:r>
        <w:rPr>
          <w:rFonts w:ascii="Arial" w:cs="Arial" w:eastAsia="Arial" w:hAnsi="Arial"/>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condensed consolidated financial statements have been prepared in accordance with accounting principles generally accepted in the U.S. (“U.S. GAAP”) for interim financial information and in accordance with the instructions to Form 10-Q and Article 10 of Regulation S-X. Accordingly, the accompanying financial statements do not include all of the information and notes required by U.S. GAAP for complete financial statements. In the opinion of management, the accompanying condensed consolidated financial statements reflect all adjustments (consisting of normal recurring adjustments) that are necessary for a fair statement of the financial position, results of operations and cash flows for the periods presented.</w:t>
      </w:r>
    </w:p>
    <w:p>
      <w:pPr>
        <w:spacing w:after="0" w:line="68" w:lineRule="exact"/>
        <w:rPr>
          <w:sz w:val="20"/>
          <w:szCs w:val="20"/>
          <w:color w:val="auto"/>
        </w:rPr>
      </w:pPr>
    </w:p>
    <w:p>
      <w:pPr>
        <w:ind w:right="660" w:firstLine="509"/>
        <w:spacing w:after="0" w:line="308" w:lineRule="auto"/>
        <w:rPr>
          <w:sz w:val="20"/>
          <w:szCs w:val="20"/>
          <w:color w:val="auto"/>
        </w:rPr>
      </w:pPr>
      <w:r>
        <w:rPr>
          <w:rFonts w:ascii="Arial" w:cs="Arial" w:eastAsia="Arial" w:hAnsi="Arial"/>
          <w:sz w:val="17"/>
          <w:szCs w:val="17"/>
          <w:color w:val="auto"/>
        </w:rPr>
        <w:t>The accompanying unaudited condensed consolidated financial statements include the accounts of MEI Pharma, Inc. and our wholly owned subsidiary, Meadow Merger Sub, Inc. We have eliminated all significant intercompany accounts and transactions in consolidation.</w:t>
      </w:r>
    </w:p>
    <w:p>
      <w:pPr>
        <w:spacing w:after="0" w:line="38" w:lineRule="exact"/>
        <w:rPr>
          <w:sz w:val="20"/>
          <w:szCs w:val="20"/>
          <w:color w:val="auto"/>
        </w:rPr>
      </w:pPr>
    </w:p>
    <w:p>
      <w:pPr>
        <w:ind w:right="380" w:firstLine="509"/>
        <w:spacing w:after="0" w:line="259" w:lineRule="auto"/>
        <w:rPr>
          <w:sz w:val="20"/>
          <w:szCs w:val="20"/>
          <w:color w:val="auto"/>
        </w:rPr>
      </w:pPr>
      <w:r>
        <w:rPr>
          <w:rFonts w:ascii="Arial" w:cs="Arial" w:eastAsia="Arial" w:hAnsi="Arial"/>
          <w:sz w:val="18"/>
          <w:szCs w:val="18"/>
          <w:color w:val="auto"/>
        </w:rPr>
        <w:t>The accompanying unaudited condensed consolidated financial statements for the quarterly period ended September 30, 2023 should be read in conjunction with the audited financial statements and notes thereto as of and for the fiscal year ended June 30, 2023, included in our Annual Report on Form 10-K filed with the Securities and Exchange Commission on September 26, 2023 ("2023 Annual Report"). Interim results are not necessarily indicative of results for a full year.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There have been no material changes to our significant accounting policies from those described in the notes to our audited consolidated financial statements contained in the 2023 Annual Report.</w:t>
      </w:r>
    </w:p>
    <w:p>
      <w:pPr>
        <w:spacing w:after="0" w:line="62" w:lineRule="exact"/>
        <w:rPr>
          <w:sz w:val="20"/>
          <w:szCs w:val="20"/>
          <w:color w:val="auto"/>
        </w:rPr>
      </w:pPr>
    </w:p>
    <w:p>
      <w:pPr>
        <w:jc w:val="right"/>
        <w:ind w:right="9460"/>
        <w:spacing w:after="0"/>
        <w:rPr>
          <w:sz w:val="20"/>
          <w:szCs w:val="20"/>
          <w:color w:val="auto"/>
        </w:rPr>
      </w:pPr>
      <w:r>
        <w:rPr>
          <w:rFonts w:ascii="Arial" w:cs="Arial" w:eastAsia="Arial" w:hAnsi="Arial"/>
          <w:sz w:val="15"/>
          <w:szCs w:val="15"/>
          <w:b w:val="1"/>
          <w:bCs w:val="1"/>
          <w:i w:val="1"/>
          <w:iCs w:val="1"/>
          <w:color w:val="auto"/>
        </w:rPr>
        <w:t>Risks and Uncertainties</w:t>
      </w:r>
    </w:p>
    <w:p>
      <w:pPr>
        <w:spacing w:after="0" w:line="152" w:lineRule="exact"/>
        <w:rPr>
          <w:sz w:val="20"/>
          <w:szCs w:val="20"/>
          <w:color w:val="auto"/>
        </w:rPr>
      </w:pPr>
    </w:p>
    <w:p>
      <w:pPr>
        <w:jc w:val="right"/>
        <w:ind w:right="95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00" w:firstLine="509"/>
        <w:spacing w:after="0" w:line="269"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amounts of assets and liabilities and disclosure of contingent assets and liabilities at the date of the consolidated financial statements and the reported amounts of revenues and expenses during the reporting period. On an ongoing basis, we evaluate our estimates, including those related to the valuation of share-based awards, the discount rate used in estimating the present value of the right-of-use assets and lease liabilities, the useful lives of property and equipment, the recoverability of long-lived assets, clinical trial accruals, periods over which revenue should be recognized, relative stand-alone selling price, deferred income taxes and related valuation allowances, and the assessment of our ability to fund our operations for at least the next 12 months from the date of issuance of these condensed consolidated financial statements. We base our estimates on historical experience and other market-specific or other relevant assumptions that we believe to be reasonable under the circumstances. Estimates are assessed each reporting period and updated to reflect current information. As future events and their effects cannot be determined with precision, actual results may materially differ from those estimates or assumptions.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Concentrations of Credit Risk</w:t>
      </w:r>
    </w:p>
    <w:p>
      <w:pPr>
        <w:spacing w:after="0" w:line="11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Financial instruments that potentially subject us to significant concentrations of credit risk consist primarily of cash, cash equivalents and short-term investments. Deposits in our checking and money market accounts are maintained in federally insured financial institutions and are subject to federally insured limits or limits set by the Securities Investor Protection Corporation.</w:t>
      </w:r>
    </w:p>
    <w:p>
      <w:pPr>
        <w:spacing w:after="0" w:line="76"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attempt to minimize credit risk associated with our cash, cash equivalents and short-term investments by periodically evaluating the credit quality of our primary financial institutions. Our investment portfolio is maintained in accordance with our investment policy, which is designed to preserve capital, safeguard funds and limit exposure to risk. While we maintain cash deposits in Federal Deposit Insurance Corporation insured financial institutions in excess of federally insured limits, we do not believe that we are exposed to significant credit risk due to the financial position of the depository institutions in which those deposits are held. We have not experienced any losses on such accounts.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Short-term investments are marketable securities with maturities greater than three months but less than one year from date of purchase. As of September 30, 2023 and June 30, 2023, our short-term investments consisted of $78.8 million and $83.8 million, respectively, in United States government securities. The short-term investments held as of September 30, 2023 and June 30, 2023 are considered to be “held to maturity” and are carried at amortized cost. As of September 30, 2023 and June 30, 2023, the gross unrealized gains and losses were immaterial.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Revenues from Customers</w:t>
      </w:r>
    </w:p>
    <w:p>
      <w:pPr>
        <w:spacing w:after="0" w:line="117" w:lineRule="exact"/>
        <w:rPr>
          <w:sz w:val="20"/>
          <w:szCs w:val="20"/>
          <w:color w:val="auto"/>
        </w:rPr>
      </w:pPr>
    </w:p>
    <w:p>
      <w:pPr>
        <w:jc w:val="both"/>
        <w:ind w:right="300" w:firstLine="509"/>
        <w:spacing w:after="0" w:line="279" w:lineRule="auto"/>
        <w:rPr>
          <w:sz w:val="20"/>
          <w:szCs w:val="20"/>
          <w:color w:val="auto"/>
        </w:rPr>
      </w:pPr>
      <w:r>
        <w:rPr>
          <w:rFonts w:ascii="Arial" w:cs="Arial" w:eastAsia="Arial" w:hAnsi="Arial"/>
          <w:sz w:val="17"/>
          <w:szCs w:val="17"/>
          <w:color w:val="auto"/>
        </w:rPr>
        <w:t xml:space="preserve">In accordance with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we recognize revenue when control of the promised goods or services is transferred to our customers, in an amount that reflects the consideration we expect to be entitled to in exchange for those goods or services. For enforceable contracts with our customers, we first identify the distinct performance obligations – or accounting units – within the contract. Performance obligations are commitments in a contract to transfer a distinct good or service to the customer.</w:t>
      </w:r>
    </w:p>
    <w:p>
      <w:pPr>
        <w:spacing w:after="0" w:line="63"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Payments received under commercial arrangements, such as licensing technology rights, may include non-refundable fees at the inception of the arrangements, milestone payments for specific achievements designated in the agreements, and royalties on the sale of products. At the inception of arrangements that include milestone payments, we use judgment to evaluate whether the milestones are probable of being achieved, and we estimate the amount, if any, to include in the transaction price using the most likely method. If it is probable that a significant revenue reversal will not occur, the estimated amount is included in the transaction price. Milestone payments that are not within our or the licensee’s control, such as regulatory approvals, are not included in the transaction price until those approvals are received. At the end of each reporting period, we re-evaluate the probability of achievement of development milestones and any related constraint and, as necessary, we adjust our estimate of the overall transaction price.</w:t>
      </w:r>
    </w:p>
    <w:p>
      <w:pPr>
        <w:spacing w:after="0" w:line="58"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We may enter into arrangements that consist of multiple performance obligations. Such arrangements may include any combination of our deliverables. To the extent a contract includes multiple promised deliverables, we apply judgment to determine whether promised deliverables are capable of being distinct and are distinct within the context of the contract. If these criteria are not met, the promised deliverables are accounted for as a combined performance obligation. For arrangements with multiple distinct performance obligations, we allocate variable consideration related to our 50-50 cost share for development services directly to the associated performance obligation and then allocate the remaining consideration among the performance obligations based on their relative stand-alone selling price.</w:t>
      </w:r>
    </w:p>
    <w:p>
      <w:pPr>
        <w:spacing w:after="0" w:line="84"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Stand-alone selling price is the price at which we would sell a promised good or service separately to the customer. When not directly observable, we typically estimate the stand-alone selling price for each distinct performance obligation. Variable consideration that relates specifically to our efforts to satisfy specific performance obligations is allocated entirely to those performance obligations. Other components of the transaction price are allocated based on the relative stand-alone selling price, over which management has applied significant judgment. We develop assumptions that require judgment to determine the stand-alone selling price for license-related performance obligations, which may include forecasted revenues, development timelines, reimbursement rates for personnel costs, discount rates and probabilities of technical, regulatory and commercial success. We estimate stand-alone selling price for research and development performance obligations by forecasting the expected costs of satisfying a performance obligation plus an appropriate margin.</w:t>
      </w:r>
    </w:p>
    <w:p>
      <w:pPr>
        <w:spacing w:after="0" w:line="84"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the case of a license that is a distinct performance obligation, we recognize revenue allocated to the license from non-refundable, up-front fees at the point in time when the license is transferred to the licensee and the licensee can use and benefit from the license. For licenses that are bundled with other distinct or combined obligations, we use judgment to assess the nature of the performance obligation to determine whether the performance obligation is satisfied over time or at a point in time and, if over time, the appropriate method of measuring progress for purposes of recognizing revenue. If the performance obligation is satisfied over time, we evaluate the measure of progress each reporting period and, if necessary, adjust the measure of performance and related revenue recognition.</w:t>
      </w:r>
    </w:p>
    <w:p>
      <w:pPr>
        <w:spacing w:after="0" w:line="84"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The selection of the method to measure progress towards completion requires judgment and is based on the nature of the products or services to be provided. Revenue is recorded proportionally as costs are incurred. We generally use the cost-to-cost measure of progress because it best depicts the transfer of control to the customer which occurs as we incur costs. Under the cost-to-cost measure of progress, the extent of progress towards completion is measured based on the ratio of costs incurred to date to the total estimated costs at completion of the performance obligation (an “input method” under Topic 606). We use judgment to estimate the total cost expected to complete the research and development performance obligations, which include subcontractors’ costs, labor, materials, other direct costs and an allocation of indirect costs. We evaluate these cost estimates and the progress each reporting period and, as necessary, we adjust the measure of progress and related revenue recognition.</w:t>
      </w:r>
    </w:p>
    <w:p>
      <w:pPr>
        <w:spacing w:after="0" w:line="69"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For arrangements that include sales-based or usage-based royalties, we recognize revenue at the later of (i) when the related sales occur or (ii) when the performance obligation to which some or all of the royalty has been allocated has been satisfied or partially satisfied. To date, we have not recognized any sales-based or usage-based royalty revenue from license agreements.</w:t>
      </w:r>
    </w:p>
    <w:p>
      <w:pPr>
        <w:spacing w:after="0" w:line="76" w:lineRule="exact"/>
        <w:rPr>
          <w:sz w:val="20"/>
          <w:szCs w:val="20"/>
          <w:color w:val="auto"/>
        </w:rPr>
      </w:pPr>
    </w:p>
    <w:p>
      <w:pPr>
        <w:ind w:right="20" w:firstLine="554"/>
        <w:spacing w:after="0" w:line="259" w:lineRule="auto"/>
        <w:rPr>
          <w:sz w:val="20"/>
          <w:szCs w:val="20"/>
          <w:color w:val="auto"/>
        </w:rPr>
      </w:pPr>
      <w:r>
        <w:rPr>
          <w:rFonts w:ascii="Arial" w:cs="Arial" w:eastAsia="Arial" w:hAnsi="Arial"/>
          <w:sz w:val="18"/>
          <w:szCs w:val="18"/>
          <w:color w:val="auto"/>
        </w:rPr>
        <w:t xml:space="preserve">In connection with our April 2020 License, Development and Commercialization Agreement (the "KKC Commercialization Agreement") described in </w:t>
      </w:r>
      <w:r>
        <w:rPr>
          <w:rFonts w:ascii="Arial" w:cs="Arial" w:eastAsia="Arial" w:hAnsi="Arial"/>
          <w:sz w:val="18"/>
          <w:szCs w:val="18"/>
          <w:i w:val="1"/>
          <w:iCs w:val="1"/>
          <w:u w:val="single" w:color="auto"/>
          <w:color w:val="0000FF"/>
        </w:rPr>
        <w:t>Note 7. License Agreements,</w:t>
      </w:r>
      <w:r>
        <w:rPr>
          <w:rFonts w:ascii="Arial" w:cs="Arial" w:eastAsia="Arial" w:hAnsi="Arial"/>
          <w:sz w:val="18"/>
          <w:szCs w:val="18"/>
          <w:color w:val="auto"/>
        </w:rPr>
        <w:t xml:space="preserve"> we perform development services related to our 50-50 cost sharing arrangement for which revenue is recognized over time. Additionally, we perform services for KKC at their request, the costs of which are fully reimbursed to us. We record the reimbursement for such pass through services as revenue at 100% of reimbursed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-309245</wp:posOffset>
            </wp:positionV>
            <wp:extent cx="12998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99845"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costs, as control of the additional services for KKC is transferred at the time we incur such costs. The costs of these services are recognized in the consolidated statements of operations as research and development expense. From time to time, we perform additional services for Kyowa Kirin Co., Ltd. ("KKC") at their request, the costs of which are fully reimbursed to us. The cost of these services is recognized in the consolidated statements of operations as research and development expense.</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recognized revenue associated with the KKC Commercialization Agreement for the periods presented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560" w:type="dxa"/>
            <w:vAlign w:val="bottom"/>
          </w:tcPr>
          <w:p>
            <w:pPr>
              <w:spacing w:after="0"/>
              <w:rPr>
                <w:sz w:val="20"/>
                <w:szCs w:val="20"/>
                <w:color w:val="auto"/>
              </w:rPr>
            </w:pPr>
          </w:p>
        </w:tc>
        <w:tc>
          <w:tcPr>
            <w:tcW w:w="34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1"/>
              </w:rPr>
              <w:t>For the Three Months Ended September 30,</w:t>
            </w:r>
          </w:p>
        </w:tc>
        <w:tc>
          <w:tcPr>
            <w:tcW w:w="100" w:type="dxa"/>
            <w:vAlign w:val="bottom"/>
          </w:tcPr>
          <w:p>
            <w:pPr>
              <w:spacing w:after="0"/>
              <w:rPr>
                <w:sz w:val="20"/>
                <w:szCs w:val="20"/>
                <w:color w:val="auto"/>
              </w:rPr>
            </w:pPr>
          </w:p>
        </w:tc>
      </w:tr>
      <w:tr>
        <w:trPr>
          <w:trHeight w:val="239"/>
        </w:trPr>
        <w:tc>
          <w:tcPr>
            <w:tcW w:w="6560" w:type="dxa"/>
            <w:vAlign w:val="bottom"/>
          </w:tcPr>
          <w:p>
            <w:pPr>
              <w:spacing w:after="0"/>
              <w:rPr>
                <w:sz w:val="20"/>
                <w:szCs w:val="20"/>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41"/>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Timing of Revenue Recognition:</w:t>
            </w:r>
          </w:p>
        </w:tc>
        <w:tc>
          <w:tcPr>
            <w:tcW w:w="12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560" w:type="dxa"/>
            <w:vAlign w:val="bottom"/>
          </w:tcPr>
          <w:p>
            <w:pPr>
              <w:ind w:left="180"/>
              <w:spacing w:after="0"/>
              <w:rPr>
                <w:sz w:val="20"/>
                <w:szCs w:val="20"/>
                <w:color w:val="auto"/>
              </w:rPr>
            </w:pPr>
            <w:r>
              <w:rPr>
                <w:rFonts w:ascii="Arial" w:cs="Arial" w:eastAsia="Arial" w:hAnsi="Arial"/>
                <w:sz w:val="18"/>
                <w:szCs w:val="18"/>
                <w:color w:val="0D0D0D"/>
              </w:rPr>
              <w:t>Services performed over time</w:t>
            </w:r>
          </w:p>
        </w:tc>
        <w:tc>
          <w:tcPr>
            <w:tcW w:w="12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743</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8,359</w:t>
            </w:r>
          </w:p>
        </w:tc>
        <w:tc>
          <w:tcPr>
            <w:tcW w:w="100" w:type="dxa"/>
            <w:vAlign w:val="bottom"/>
          </w:tcPr>
          <w:p>
            <w:pPr>
              <w:spacing w:after="0"/>
              <w:rPr>
                <w:sz w:val="20"/>
                <w:szCs w:val="20"/>
                <w:color w:val="auto"/>
              </w:rPr>
            </w:pPr>
          </w:p>
        </w:tc>
      </w:tr>
      <w:tr>
        <w:trPr>
          <w:trHeight w:val="243"/>
        </w:trPr>
        <w:tc>
          <w:tcPr>
            <w:tcW w:w="65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0D0D0D"/>
              </w:rPr>
              <w:t>Pass through services at a point in time</w:t>
            </w:r>
          </w:p>
        </w:tc>
        <w:tc>
          <w:tcPr>
            <w:tcW w:w="120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5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752</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8,730</w:t>
            </w:r>
          </w:p>
        </w:tc>
        <w:tc>
          <w:tcPr>
            <w:tcW w:w="100" w:type="dxa"/>
            <w:vAlign w:val="bottom"/>
          </w:tcPr>
          <w:p>
            <w:pPr>
              <w:spacing w:after="0"/>
              <w:rPr>
                <w:sz w:val="20"/>
                <w:szCs w:val="20"/>
                <w:color w:val="auto"/>
              </w:rPr>
            </w:pPr>
          </w:p>
        </w:tc>
      </w:tr>
      <w:tr>
        <w:trPr>
          <w:trHeight w:val="20"/>
        </w:trPr>
        <w:tc>
          <w:tcPr>
            <w:tcW w:w="65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-187960</wp:posOffset>
            </wp:positionV>
            <wp:extent cx="60325"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Accounts receivables are included in prepaid expenses and other current assets, and contract liabilities are included in deferred revenue and deferred revenue, long-term in our condensed consolidated balance sheets. Our contract liabilities accounted for under Topic 606 relate to the amount of initial upfront consideration allocated to the development services performance obligations. Contract liabilities are recognized over the duration of the performance obligations based on the costs incurred relative to total expected costs.</w:t>
      </w:r>
    </w:p>
    <w:p>
      <w:pPr>
        <w:spacing w:after="0" w:line="79"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color w:val="auto"/>
        </w:rPr>
        <w:t>As of September 30, 2023 and June 30, 2023, we had no balances in accounts receivable. The following table presents changes in unbilled receivables and contract liabilities accounted for under Topic 606 for the periods presented (in thousands):</w:t>
      </w:r>
    </w:p>
    <w:p>
      <w:pPr>
        <w:spacing w:after="0" w:line="38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0"/>
              </w:rPr>
              <w:t>September 30,</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June 30, 2023</w:t>
            </w:r>
          </w:p>
        </w:tc>
      </w:tr>
      <w:tr>
        <w:trPr>
          <w:trHeight w:val="24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Unbilled receivables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21"/>
                <w:szCs w:val="21"/>
                <w:color w:val="auto"/>
              </w:rPr>
            </w:pP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Contract liabilities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Contract liabilities, beginning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30,900</w:t>
            </w:r>
          </w:p>
        </w:tc>
        <w:tc>
          <w:tcPr>
            <w:tcW w:w="100" w:type="dxa"/>
            <w:vAlign w:val="bottom"/>
            <w:shd w:val="clear" w:color="auto" w:fill="CFF0FC"/>
          </w:tcPr>
          <w:p>
            <w:pPr>
              <w:spacing w:after="0"/>
              <w:rPr>
                <w:sz w:val="21"/>
                <w:szCs w:val="2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8"/>
                <w:szCs w:val="18"/>
                <w:color w:val="auto"/>
              </w:rPr>
              <w:t>Revenue recognized</w:t>
            </w:r>
          </w:p>
        </w:tc>
        <w:tc>
          <w:tcPr>
            <w:tcW w:w="120" w:type="dxa"/>
            <w:vAlign w:val="bottom"/>
          </w:tcPr>
          <w:p>
            <w:pPr>
              <w:spacing w:after="0"/>
              <w:rPr>
                <w:sz w:val="20"/>
                <w:szCs w:val="20"/>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(317 )</w:t>
            </w:r>
          </w:p>
        </w:tc>
        <w:tc>
          <w:tcPr>
            <w:tcW w:w="16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(5,411 )</w:t>
            </w:r>
          </w:p>
        </w:tc>
      </w:tr>
      <w:tr>
        <w:trPr>
          <w:trHeight w:val="221"/>
        </w:trPr>
        <w:tc>
          <w:tcPr>
            <w:tcW w:w="68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5"/>
              </w:rPr>
              <w:t>Revenue recognized from change in estimate for performance obligations that are being</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6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closed</w:t>
            </w:r>
          </w:p>
        </w:tc>
        <w:tc>
          <w:tcPr>
            <w:tcW w:w="1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(16,565 )</w:t>
            </w:r>
          </w:p>
        </w:tc>
      </w:tr>
      <w:tr>
        <w:trPr>
          <w:trHeight w:val="237"/>
        </w:trPr>
        <w:tc>
          <w:tcPr>
            <w:tcW w:w="6860" w:type="dxa"/>
            <w:vAlign w:val="bottom"/>
          </w:tcPr>
          <w:p>
            <w:pPr>
              <w:ind w:left="180"/>
              <w:spacing w:after="0"/>
              <w:rPr>
                <w:sz w:val="20"/>
                <w:szCs w:val="20"/>
                <w:color w:val="auto"/>
              </w:rPr>
            </w:pPr>
            <w:r>
              <w:rPr>
                <w:rFonts w:ascii="Arial" w:cs="Arial" w:eastAsia="Arial" w:hAnsi="Arial"/>
                <w:sz w:val="18"/>
                <w:szCs w:val="18"/>
                <w:color w:val="auto"/>
              </w:rPr>
              <w:t>Revenue recognized for performance obligations that will no longer commence</w:t>
            </w:r>
          </w:p>
        </w:tc>
        <w:tc>
          <w:tcPr>
            <w:tcW w:w="12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(8,607 )</w:t>
            </w:r>
          </w:p>
        </w:tc>
      </w:tr>
      <w:tr>
        <w:trPr>
          <w:trHeight w:val="276"/>
        </w:trPr>
        <w:tc>
          <w:tcPr>
            <w:tcW w:w="68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Contract liabilities,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The timing of revenue recognition, invoicing and cash collections results in billed accounts receivable and unbilled receivables (contract assets) and deferred revenue (contract liabilities). We invoice our customers in accordance with agreed-upon contractual terms, typically at periodic intervals or upon achievement of contractual milestones. Invoicing may occur subsequent to revenue recognition, resulting in unbilled receivables. We may receive advance payments from our customers before revenue is recognized, resulting in contract liabilities. The unbilled receivables and deferred revenue reported on the consolidated balance sheets relate to the KKC Commercialization Agreement.</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Revenues from Collaborators</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At contract inception, we assess whether the collaboration arrangements are within the scope of Topic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Topic 808 that contain multiple units of account, we first determine which units of account within the arrangement are within the scope of Topic 808 and which elements are within the scope of Topic 606. For units of account within collaboration arrangements that are accounted for pursuant to Topic 808, an appropriate recognition method is determined and applied consistently, by analogy to authoritative accounting literature. For elements of collaboration arrangements that are accounted for pursuant to Topic 606, we recognize revenue as discussed above. Consideration received that does not meet the requirements to satisfy Topic 606 revenue recognition criteria is recorded as deferred revenue in the accompanying consolidated balance sheets, classified as either current or long-term deferred revenue based on our best estimate of when such amounts will be recognized.</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17"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Basic and diluted net income (loss) per share is computed using the weighted-average number of shares of common stock outstanding during the period, less any shares subject to repurchase or forfeiture. There were no shares of common stock subject to repurchase or forfeiture for the three months ended September 30, 2023 and 2022. Diluted net income (loss) per share is computed based on the sum of the weighted-average number of common shares and potentially dilutive common shares outstanding during the period determined using the treasury-stock and if-converted methods.</w:t>
      </w:r>
    </w:p>
    <w:p>
      <w:pPr>
        <w:spacing w:after="0" w:line="49" w:lineRule="exact"/>
        <w:rPr>
          <w:sz w:val="20"/>
          <w:szCs w:val="20"/>
          <w:color w:val="auto"/>
        </w:rPr>
      </w:pPr>
    </w:p>
    <w:p>
      <w:pPr>
        <w:ind w:firstLine="554"/>
        <w:spacing w:after="0" w:line="255" w:lineRule="auto"/>
        <w:rPr>
          <w:sz w:val="20"/>
          <w:szCs w:val="20"/>
          <w:color w:val="auto"/>
        </w:rPr>
      </w:pPr>
      <w:r>
        <w:rPr>
          <w:rFonts w:ascii="Arial" w:cs="Arial" w:eastAsia="Arial" w:hAnsi="Arial"/>
          <w:sz w:val="18"/>
          <w:szCs w:val="18"/>
          <w:color w:val="auto"/>
        </w:rPr>
        <w:t>For purposes of the diluted net income per share calculation for the three months ended September 30, 2023, potentially dilutive securities are excluded from the calculation of diluted net income per share because their weighted-average exercise prices were above our weighted-average share price as of September 30, 2023; therefore, basic and diluted net loss per share were the same for the three months ended September 30, 2023. For purposes of the diluted net loss per share calculation for the three months ended September 30, 2022, potentially dilutive securities are excluded from the calculation of diluted net loss per share because their effect would be anti-dilutive and, therefore, basic and diluted net loss per share were the same for the three months ended September 30, 2022.</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presents potentially dilutive shares excluded from the calculation of diluted net income (loss) per share (in thousands):</w:t>
      </w:r>
    </w:p>
    <w:p>
      <w:pPr>
        <w:spacing w:after="0" w:line="246" w:lineRule="exact"/>
        <w:rPr>
          <w:sz w:val="20"/>
          <w:szCs w:val="20"/>
          <w:color w:val="auto"/>
        </w:rPr>
      </w:pPr>
    </w:p>
    <w:p>
      <w:pPr>
        <w:jc w:val="center"/>
        <w:ind w:left="6600"/>
        <w:spacing w:after="0"/>
        <w:rPr>
          <w:sz w:val="20"/>
          <w:szCs w:val="20"/>
          <w:color w:val="auto"/>
        </w:rPr>
      </w:pPr>
      <w:r>
        <w:rPr>
          <w:rFonts w:ascii="Arial" w:cs="Arial" w:eastAsia="Arial" w:hAnsi="Arial"/>
          <w:sz w:val="18"/>
          <w:szCs w:val="18"/>
          <w:b w:val="1"/>
          <w:bCs w:val="1"/>
          <w:color w:val="auto"/>
        </w:rPr>
        <w:t>For the Three Months Ended September</w:t>
      </w:r>
    </w:p>
    <w:p>
      <w:pPr>
        <w:spacing w:after="0" w:line="27"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30,</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46"/>
        </w:trPr>
        <w:tc>
          <w:tcPr>
            <w:tcW w:w="6740" w:type="dxa"/>
            <w:vAlign w:val="bottom"/>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41"/>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02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1,447</w:t>
            </w:r>
          </w:p>
        </w:tc>
        <w:tc>
          <w:tcPr>
            <w:tcW w:w="180" w:type="dxa"/>
            <w:vAlign w:val="bottom"/>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FF0FC"/>
          </w:tcPr>
          <w:p>
            <w:pPr>
              <w:spacing w:after="0"/>
              <w:rPr>
                <w:sz w:val="20"/>
                <w:szCs w:val="20"/>
                <w:color w:val="auto"/>
              </w:rPr>
            </w:pPr>
          </w:p>
        </w:tc>
      </w:tr>
      <w:tr>
        <w:trPr>
          <w:trHeight w:val="237"/>
        </w:trPr>
        <w:tc>
          <w:tcPr>
            <w:tcW w:w="776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0"/>
                <w:szCs w:val="20"/>
                <w:color w:val="auto"/>
              </w:rPr>
            </w:pPr>
          </w:p>
        </w:tc>
      </w:tr>
      <w:tr>
        <w:trPr>
          <w:trHeight w:val="243"/>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02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60" w:type="dxa"/>
            <w:vAlign w:val="bottom"/>
            <w:gridSpan w:val="2"/>
          </w:tcPr>
          <w:p>
            <w:pPr>
              <w:ind w:left="180"/>
              <w:spacing w:after="0"/>
              <w:rPr>
                <w:sz w:val="20"/>
                <w:szCs w:val="20"/>
                <w:color w:val="auto"/>
              </w:rPr>
            </w:pPr>
            <w:r>
              <w:rPr>
                <w:rFonts w:ascii="Arial" w:cs="Arial" w:eastAsia="Arial" w:hAnsi="Arial"/>
                <w:sz w:val="18"/>
                <w:szCs w:val="18"/>
                <w:color w:val="auto"/>
              </w:rPr>
              <w:t>Total anti-dilutive shares</w:t>
            </w:r>
          </w:p>
        </w:tc>
        <w:tc>
          <w:tcPr>
            <w:tcW w:w="500" w:type="dxa"/>
            <w:vAlign w:val="bottom"/>
          </w:tcPr>
          <w:p>
            <w:pPr>
              <w:jc w:val="right"/>
              <w:spacing w:after="0"/>
              <w:rPr>
                <w:sz w:val="20"/>
                <w:szCs w:val="20"/>
                <w:color w:val="auto"/>
              </w:rPr>
            </w:pPr>
            <w:r>
              <w:rPr>
                <w:rFonts w:ascii="Arial" w:cs="Arial" w:eastAsia="Arial" w:hAnsi="Arial"/>
                <w:sz w:val="18"/>
                <w:szCs w:val="18"/>
                <w:color w:val="auto"/>
              </w:rPr>
              <w:t>1,550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20"/>
                <w:szCs w:val="20"/>
                <w:color w:val="auto"/>
              </w:rPr>
            </w:pPr>
          </w:p>
        </w:tc>
      </w:tr>
      <w:tr>
        <w:trPr>
          <w:trHeight w:val="20"/>
        </w:trPr>
        <w:tc>
          <w:tcPr>
            <w:tcW w:w="6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-187960</wp:posOffset>
            </wp:positionV>
            <wp:extent cx="60325"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Recently Adopted</w:t>
      </w:r>
    </w:p>
    <w:p>
      <w:pPr>
        <w:spacing w:after="0" w:line="117" w:lineRule="exact"/>
        <w:rPr>
          <w:sz w:val="20"/>
          <w:szCs w:val="20"/>
          <w:color w:val="auto"/>
        </w:rPr>
      </w:pPr>
    </w:p>
    <w:p>
      <w:pPr>
        <w:ind w:right="160" w:firstLine="509"/>
        <w:spacing w:after="0" w:line="273" w:lineRule="auto"/>
        <w:rPr>
          <w:sz w:val="20"/>
          <w:szCs w:val="20"/>
          <w:color w:val="auto"/>
        </w:rPr>
      </w:pPr>
      <w:r>
        <w:rPr>
          <w:rFonts w:ascii="Arial" w:cs="Arial" w:eastAsia="Arial" w:hAnsi="Arial"/>
          <w:sz w:val="17"/>
          <w:szCs w:val="17"/>
          <w:color w:val="auto"/>
        </w:rPr>
        <w:t>In June 2016, the Financial Accounting Standards Board (FASB) issued Accounting Standards Update 2016-13, Financial Instruments–Credit Losses (Topic 326): Measurement of Credit Losses on Financial Instruments ("ASU 2016-13"), as amended. The amendments in ASU 2016-13 require, among other things, financial assets measured at amortized cost basis to be presented at the net amount expected to be collected as compared to previous U.S. GAAP which delayed recognition until it was probable a loss had been incurred. The amendments in ASU 2016-13 are effective for fiscal years beginning after December 15, 2022, including interim periods within those fiscal years, with early adoption permitted. The adoption of ASU 2016-13 did not have a material impact on our financial statements and related disclosures.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Recently Issued</w:t>
      </w:r>
    </w:p>
    <w:p>
      <w:pPr>
        <w:spacing w:after="0" w:line="11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standards setting bodies that are adopted as of the specified effective date. The Company believes the impact of recently issued standards and any issued but not yet effective standards will not have a material impact on its condensed consolidated financial statements upon adoption.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Details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rPr>
              <w:t>Property and equipment consisted of the following, in thousands:</w:t>
            </w: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0"/>
        </w:trPr>
        <w:tc>
          <w:tcPr>
            <w:tcW w:w="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7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 2023</w:t>
            </w:r>
          </w:p>
        </w:tc>
        <w:tc>
          <w:tcPr>
            <w:tcW w:w="14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June 30, 2023</w:t>
            </w:r>
          </w:p>
        </w:tc>
      </w:tr>
      <w:tr>
        <w:trPr>
          <w:trHeight w:val="243"/>
        </w:trPr>
        <w:tc>
          <w:tcPr>
            <w:tcW w:w="60" w:type="dxa"/>
            <w:vAlign w:val="bottom"/>
          </w:tcPr>
          <w:p>
            <w:pPr>
              <w:spacing w:after="0"/>
              <w:rPr>
                <w:sz w:val="21"/>
                <w:szCs w:val="21"/>
                <w:color w:val="auto"/>
              </w:rPr>
            </w:pPr>
          </w:p>
        </w:tc>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1,381</w:t>
            </w: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FF0FC"/>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0"/>
                <w:szCs w:val="20"/>
                <w:color w:val="auto"/>
              </w:rPr>
            </w:pPr>
          </w:p>
        </w:tc>
      </w:tr>
      <w:tr>
        <w:trPr>
          <w:trHeight w:val="243"/>
        </w:trPr>
        <w:tc>
          <w:tcPr>
            <w:tcW w:w="60" w:type="dxa"/>
            <w:vAlign w:val="bottom"/>
          </w:tcPr>
          <w:p>
            <w:pPr>
              <w:spacing w:after="0"/>
              <w:rPr>
                <w:sz w:val="21"/>
                <w:szCs w:val="21"/>
                <w:color w:val="auto"/>
              </w:rPr>
            </w:pPr>
          </w:p>
        </w:tc>
        <w:tc>
          <w:tcPr>
            <w:tcW w:w="68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CFF0FC"/>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5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(1,121 )</w:t>
            </w:r>
          </w:p>
        </w:tc>
        <w:tc>
          <w:tcPr>
            <w:tcW w:w="1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(1,034 )</w:t>
            </w:r>
          </w:p>
        </w:tc>
      </w:tr>
      <w:tr>
        <w:trPr>
          <w:trHeight w:val="276"/>
        </w:trPr>
        <w:tc>
          <w:tcPr>
            <w:tcW w:w="60" w:type="dxa"/>
            <w:vAlign w:val="bottom"/>
          </w:tcPr>
          <w:p>
            <w:pPr>
              <w:spacing w:after="0"/>
              <w:rPr>
                <w:sz w:val="24"/>
                <w:szCs w:val="24"/>
                <w:color w:val="auto"/>
              </w:rPr>
            </w:pPr>
          </w:p>
        </w:tc>
        <w:tc>
          <w:tcPr>
            <w:tcW w:w="68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Property and equipment, net</w:t>
            </w:r>
          </w:p>
        </w:tc>
        <w:tc>
          <w:tcPr>
            <w:tcW w:w="5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-25400</wp:posOffset>
            </wp:positionV>
            <wp:extent cx="603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03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ind w:right="740" w:firstLine="509"/>
        <w:spacing w:after="0" w:line="277" w:lineRule="auto"/>
        <w:rPr>
          <w:sz w:val="20"/>
          <w:szCs w:val="20"/>
          <w:color w:val="auto"/>
        </w:rPr>
      </w:pPr>
      <w:r>
        <w:rPr>
          <w:rFonts w:ascii="Arial" w:cs="Arial" w:eastAsia="Arial" w:hAnsi="Arial"/>
          <w:sz w:val="18"/>
          <w:szCs w:val="18"/>
          <w:color w:val="auto"/>
        </w:rPr>
        <w:t>Depreciation expense of property and equipment for the three months ended September 30, 2023 and 2022 are presented in the condensed consolidated statements of cash flows.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724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300" w:type="dxa"/>
            <w:vAlign w:val="bottom"/>
            <w:tcBorders>
              <w:right w:val="single" w:sz="8" w:color="0000EE"/>
            </w:tcBorders>
            <w:gridSpan w:val="2"/>
            <w:shd w:val="clear" w:color="auto" w:fill="0000FF"/>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09"/>
        </w:trPr>
        <w:tc>
          <w:tcPr>
            <w:tcW w:w="7240" w:type="dxa"/>
            <w:vAlign w:val="bottom"/>
            <w:gridSpan w:val="3"/>
          </w:tcPr>
          <w:p>
            <w:pPr>
              <w:spacing w:after="0"/>
              <w:rPr>
                <w:sz w:val="20"/>
                <w:szCs w:val="20"/>
                <w:color w:val="auto"/>
              </w:rPr>
            </w:pPr>
            <w:r>
              <w:rPr>
                <w:rFonts w:ascii="Arial" w:cs="Arial" w:eastAsia="Arial" w:hAnsi="Arial"/>
                <w:sz w:val="18"/>
                <w:szCs w:val="18"/>
                <w:i w:val="1"/>
                <w:iCs w:val="1"/>
                <w:color w:val="auto"/>
              </w:rPr>
              <w:t>Accrued Liabilities</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240" w:type="dxa"/>
            <w:vAlign w:val="bottom"/>
            <w:gridSpan w:val="3"/>
          </w:tcPr>
          <w:p>
            <w:pPr>
              <w:ind w:left="520"/>
              <w:spacing w:after="0"/>
              <w:rPr>
                <w:sz w:val="20"/>
                <w:szCs w:val="20"/>
                <w:color w:val="auto"/>
              </w:rPr>
            </w:pPr>
            <w:r>
              <w:rPr>
                <w:rFonts w:ascii="Arial" w:cs="Arial" w:eastAsia="Arial" w:hAnsi="Arial"/>
                <w:sz w:val="18"/>
                <w:szCs w:val="18"/>
                <w:color w:val="auto"/>
              </w:rPr>
              <w:t>Accrued liabilities consisted of the following, in thousands:</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0"/>
        </w:trPr>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September 30, 2023</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June 30, 2023</w:t>
            </w:r>
          </w:p>
        </w:tc>
        <w:tc>
          <w:tcPr>
            <w:tcW w:w="100" w:type="dxa"/>
            <w:vAlign w:val="bottom"/>
          </w:tcPr>
          <w:p>
            <w:pPr>
              <w:spacing w:after="0"/>
              <w:rPr>
                <w:sz w:val="24"/>
                <w:szCs w:val="24"/>
                <w:color w:val="auto"/>
              </w:rPr>
            </w:pPr>
          </w:p>
        </w:tc>
      </w:tr>
      <w:tr>
        <w:trPr>
          <w:trHeight w:val="243"/>
        </w:trPr>
        <w:tc>
          <w:tcPr>
            <w:tcW w:w="580" w:type="dxa"/>
            <w:vAlign w:val="bottom"/>
          </w:tcPr>
          <w:p>
            <w:pPr>
              <w:spacing w:after="0"/>
              <w:rPr>
                <w:sz w:val="21"/>
                <w:szCs w:val="21"/>
                <w:color w:val="auto"/>
              </w:rPr>
            </w:pPr>
          </w:p>
        </w:tc>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pre-clinical and clinical trial expenses</w:t>
            </w: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3,663</w:t>
            </w:r>
          </w:p>
        </w:tc>
        <w:tc>
          <w:tcPr>
            <w:tcW w:w="100" w:type="dxa"/>
            <w:vAlign w:val="bottom"/>
            <w:shd w:val="clear" w:color="auto" w:fill="CFF0FC"/>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6660" w:type="dxa"/>
            <w:vAlign w:val="bottom"/>
            <w:gridSpan w:val="2"/>
          </w:tcPr>
          <w:p>
            <w:pPr>
              <w:spacing w:after="0" w:line="243" w:lineRule="exact"/>
              <w:rPr>
                <w:sz w:val="20"/>
                <w:szCs w:val="20"/>
                <w:color w:val="auto"/>
              </w:rPr>
            </w:pPr>
            <w:r>
              <w:rPr>
                <w:rFonts w:ascii="Arial" w:cs="Arial" w:eastAsia="Arial" w:hAnsi="Arial"/>
                <w:sz w:val="18"/>
                <w:szCs w:val="18"/>
                <w:color w:val="auto"/>
              </w:rPr>
              <w:t>Accrued compensation and benefits</w:t>
            </w:r>
            <w:r>
              <w:rPr>
                <w:rFonts w:ascii="Arial" w:cs="Arial" w:eastAsia="Arial" w:hAnsi="Arial"/>
                <w:sz w:val="24"/>
                <w:szCs w:val="24"/>
                <w:color w:val="auto"/>
                <w:vertAlign w:val="superscript"/>
              </w:rPr>
              <w:t>(1)</w:t>
            </w: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7,189</w:t>
            </w:r>
          </w:p>
        </w:tc>
        <w:tc>
          <w:tcPr>
            <w:tcW w:w="10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legal and professional services</w:t>
            </w:r>
          </w:p>
        </w:tc>
        <w:tc>
          <w:tcPr>
            <w:tcW w:w="6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FF0FC"/>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Accrued reimbursement to KKC</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6660" w:type="dxa"/>
            <w:vAlign w:val="bottom"/>
            <w:gridSpan w:val="2"/>
          </w:tcPr>
          <w:p>
            <w:pPr>
              <w:ind w:left="360"/>
              <w:spacing w:after="0"/>
              <w:rPr>
                <w:sz w:val="20"/>
                <w:szCs w:val="20"/>
                <w:color w:val="auto"/>
              </w:rPr>
            </w:pPr>
            <w:r>
              <w:rPr>
                <w:rFonts w:ascii="Arial" w:cs="Arial" w:eastAsia="Arial" w:hAnsi="Arial"/>
                <w:sz w:val="18"/>
                <w:szCs w:val="18"/>
                <w:color w:val="auto"/>
              </w:rPr>
              <w:t>Total accrued liabilities</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4,289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12,461</w:t>
            </w:r>
          </w:p>
        </w:tc>
        <w:tc>
          <w:tcPr>
            <w:tcW w:w="10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-187960</wp:posOffset>
            </wp:positionV>
            <wp:extent cx="6858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74" w:lineRule="exact"/>
        <w:rPr>
          <w:sz w:val="20"/>
          <w:szCs w:val="20"/>
          <w:color w:val="auto"/>
        </w:rPr>
      </w:pPr>
    </w:p>
    <w:p>
      <w:pPr>
        <w:ind w:left="820" w:right="180" w:hanging="303"/>
        <w:spacing w:after="0" w:line="277" w:lineRule="auto"/>
        <w:tabs>
          <w:tab w:leader="none" w:pos="775"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Includes $0.1 million and $1.0 million of one-time termination employee benefits as of September 30, 2023 and June 30, 2023, respectively, as more fully described in </w:t>
      </w:r>
      <w:r>
        <w:rPr>
          <w:rFonts w:ascii="Arial" w:cs="Arial" w:eastAsia="Arial" w:hAnsi="Arial"/>
          <w:sz w:val="18"/>
          <w:szCs w:val="18"/>
          <w:i w:val="1"/>
          <w:iCs w:val="1"/>
          <w:u w:val="single" w:color="auto"/>
          <w:color w:val="0000FF"/>
        </w:rPr>
        <w:t>Note 5. One-time Termination Benefits</w:t>
      </w:r>
      <w:r>
        <w:rPr>
          <w:rFonts w:ascii="Arial" w:cs="Arial" w:eastAsia="Arial" w:hAnsi="Arial"/>
          <w:sz w:val="18"/>
          <w:szCs w:val="18"/>
          <w:color w:val="auto"/>
        </w:rPr>
        <w:t>.</w:t>
      </w:r>
    </w:p>
    <w:p>
      <w:pPr>
        <w:spacing w:after="0" w:line="27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-350520</wp:posOffset>
            </wp:positionV>
            <wp:extent cx="17633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63395" cy="8255"/>
                    </a:xfrm>
                    <a:prstGeom prst="rect">
                      <a:avLst/>
                    </a:prstGeom>
                    <a:noFill/>
                  </pic:spPr>
                </pic:pic>
              </a:graphicData>
            </a:graphic>
          </wp:anchor>
        </w:drawing>
      </w:r>
    </w:p>
    <w:p>
      <w:pPr>
        <w:spacing w:after="0" w:line="101" w:lineRule="exact"/>
        <w:rPr>
          <w:sz w:val="20"/>
          <w:szCs w:val="20"/>
          <w:color w:val="auto"/>
        </w:rPr>
      </w:pPr>
    </w:p>
    <w:p>
      <w:pPr>
        <w:ind w:right="180" w:firstLine="509"/>
        <w:spacing w:after="0" w:line="301" w:lineRule="auto"/>
        <w:rPr>
          <w:sz w:val="20"/>
          <w:szCs w:val="20"/>
          <w:color w:val="auto"/>
        </w:rPr>
      </w:pPr>
      <w:r>
        <w:rPr>
          <w:rFonts w:ascii="Arial" w:cs="Arial" w:eastAsia="Arial" w:hAnsi="Arial"/>
          <w:sz w:val="16"/>
          <w:szCs w:val="16"/>
          <w:color w:val="auto"/>
        </w:rPr>
        <w:t>The carrying amounts of financial instruments such as cash equivalents, short-term investments and accounts payable approximate the related fair values due to the short-term maturities of these instruments. We invest our excess cash in financial instruments which are readily convertible into cash, such as money market funds and U.S. government securities. Cash equivalents and short-term investments are classified as Level 1 as defined by the fair value hierarchy. As of September 30, 2023 and June 30, 2023, we had no assets or liabilities measured on a recurring or non-recurring basis.</w:t>
      </w:r>
    </w:p>
    <w:p>
      <w:pPr>
        <w:spacing w:after="0" w:line="49"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In May 2018, we issued warrants in connection with a private placement of our shares of common stock. Pursuant to the terms of the warrants, we could have been required to settle the warrants in cash in the event of an acquisition of us and, as a result, the warrants were required to be measured at fair value and reported as a liability in the condensed consolidated balance sheets. We recorded the fair value of the warrants upon issuance using the Black-Scholes valuation model and were required to revalue the warrants at each reporting date with any changes in fair value recorded on our condensed consolidated statement of operations through their expiration in May 2023. The valuation of the warrants is considered under Level 3 of the fair value hierarchy due to the need to use assumptions in the valuation that are both significant to the fair value measurement and unobservable. Inputs used to determine estimated fair value of the warrant liabilities include the estimated fair value of the underlying stock at the valuation date, the estimated term of the warrants, risk-free interest rates, expected dividends and the expected volatility of the underlying stock. The significant unobservable inputs used in the fair value measurement of the warrant liabilities were the volatility rate and the estimated term of the warrants. Generally, increases (decreases) in the fair value of the underlying stock and estimated term would result in a directionally similar impact to the fair value measurement. The change in the fair value of the Level 3 warrant liability is reflected in the condensed consolidated statements of operations for the three months ended September 30, 2022. During the three months ended September 30, 2023 and the year ended June 30,2023, there were no transfers into or out of Level 3 of the fair value hierarchy.</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calculate the fair value of the warrant liability as of June 30, 2023, the following assumptions were used:</w:t>
      </w:r>
    </w:p>
    <w:p>
      <w:pPr>
        <w:spacing w:after="0" w:line="37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4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4.4 %</w:t>
            </w: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Expected life (years)</w:t>
            </w:r>
          </w:p>
        </w:tc>
        <w:tc>
          <w:tcPr>
            <w:tcW w:w="34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21"/>
                <w:szCs w:val="2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Expected volatility</w:t>
            </w:r>
          </w:p>
        </w:tc>
        <w:tc>
          <w:tcPr>
            <w:tcW w:w="344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128.7 %</w:t>
            </w:r>
          </w:p>
        </w:tc>
      </w:tr>
      <w:tr>
        <w:trPr>
          <w:trHeight w:val="250"/>
        </w:trPr>
        <w:tc>
          <w:tcPr>
            <w:tcW w:w="5520" w:type="dxa"/>
            <w:vAlign w:val="bottom"/>
          </w:tcPr>
          <w:p>
            <w:pPr>
              <w:spacing w:after="0"/>
              <w:rPr>
                <w:sz w:val="20"/>
                <w:szCs w:val="20"/>
                <w:color w:val="auto"/>
              </w:rPr>
            </w:pPr>
            <w:r>
              <w:rPr>
                <w:rFonts w:ascii="Arial" w:cs="Arial" w:eastAsia="Arial" w:hAnsi="Arial"/>
                <w:sz w:val="18"/>
                <w:szCs w:val="18"/>
                <w:color w:val="auto"/>
              </w:rPr>
              <w:t>Dividend yield</w:t>
            </w:r>
          </w:p>
        </w:tc>
        <w:tc>
          <w:tcPr>
            <w:tcW w:w="344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grant date fair value</w:t>
            </w:r>
          </w:p>
        </w:tc>
        <w:tc>
          <w:tcPr>
            <w:tcW w:w="344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-770890</wp:posOffset>
            </wp:positionV>
            <wp:extent cx="641223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-462280</wp:posOffset>
            </wp:positionV>
            <wp:extent cx="641223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a summary of changes in the estimated fair value of our Level 3 warrant liability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0" w:type="dxa"/>
            <w:vAlign w:val="bottom"/>
          </w:tcPr>
          <w:p>
            <w:pPr>
              <w:spacing w:after="0"/>
              <w:rPr>
                <w:sz w:val="21"/>
                <w:szCs w:val="21"/>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2022</w:t>
            </w:r>
          </w:p>
        </w:tc>
        <w:tc>
          <w:tcPr>
            <w:tcW w:w="4140" w:type="dxa"/>
            <w:vAlign w:val="bottom"/>
            <w:gridSpan w:val="2"/>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760" w:type="dxa"/>
            <w:vAlign w:val="bottom"/>
          </w:tcPr>
          <w:p>
            <w:pPr>
              <w:ind w:left="180"/>
              <w:spacing w:after="0"/>
              <w:rPr>
                <w:sz w:val="20"/>
                <w:szCs w:val="20"/>
                <w:color w:val="auto"/>
              </w:rPr>
            </w:pPr>
            <w:r>
              <w:rPr>
                <w:rFonts w:ascii="Arial" w:cs="Arial" w:eastAsia="Arial" w:hAnsi="Arial"/>
                <w:sz w:val="18"/>
                <w:szCs w:val="18"/>
                <w:color w:val="auto"/>
                <w:w w:val="95"/>
              </w:rPr>
              <w:t>Change in estimated fair value of liability classified warrants</w:t>
            </w:r>
          </w:p>
        </w:tc>
        <w:tc>
          <w:tcPr>
            <w:tcW w:w="3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(1,117 )</w:t>
            </w:r>
          </w:p>
        </w:tc>
        <w:tc>
          <w:tcPr>
            <w:tcW w:w="560" w:type="dxa"/>
            <w:vAlign w:val="bottom"/>
          </w:tcPr>
          <w:p>
            <w:pPr>
              <w:spacing w:after="0"/>
              <w:rPr>
                <w:sz w:val="20"/>
                <w:szCs w:val="20"/>
                <w:color w:val="auto"/>
              </w:rPr>
            </w:pPr>
          </w:p>
        </w:tc>
      </w:tr>
      <w:tr>
        <w:trPr>
          <w:trHeight w:val="278"/>
        </w:trPr>
        <w:tc>
          <w:tcPr>
            <w:tcW w:w="580" w:type="dxa"/>
            <w:vAlign w:val="bottom"/>
          </w:tcPr>
          <w:p>
            <w:pPr>
              <w:spacing w:after="0"/>
              <w:rPr>
                <w:sz w:val="24"/>
                <w:szCs w:val="24"/>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September 30, 2022</w:t>
            </w:r>
          </w:p>
        </w:tc>
        <w:tc>
          <w:tcPr>
            <w:tcW w:w="34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33"/>
        </w:trPr>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420" w:type="dxa"/>
            <w:vAlign w:val="bottom"/>
          </w:tcPr>
          <w:p>
            <w:pPr>
              <w:jc w:val="right"/>
              <w:ind w:right="2950"/>
              <w:spacing w:after="0"/>
              <w:rPr>
                <w:sz w:val="20"/>
                <w:szCs w:val="20"/>
                <w:color w:val="auto"/>
              </w:rPr>
            </w:pPr>
            <w:r>
              <w:rPr>
                <w:rFonts w:ascii="Arial" w:cs="Arial" w:eastAsia="Arial" w:hAnsi="Arial"/>
                <w:sz w:val="18"/>
                <w:szCs w:val="18"/>
                <w:color w:val="auto"/>
              </w:rPr>
              <w:t>12</w:t>
            </w: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-522605</wp:posOffset>
            </wp:positionV>
            <wp:extent cx="603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One-Time Termination Benefits</w:t>
      </w:r>
    </w:p>
    <w:p>
      <w:pPr>
        <w:spacing w:after="0" w:line="12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connection with our joint decision to discontinue development of zandelisib outside of Japan, in December 2022, we announced a realignment of our clinical development efforts that streamlined our organization towards the continued clinical development of our two earlier clinical-stage assets, voruciclib and ME-344. As a result, also in December 2022, our Board approved a staggered workforce reduction (the "Reduction in Force"), affecting 28 employees in December 2022 and an additional 26 employees through June 2023, representing an aggregate 51% Reduction in Force. For the three months ended September 30, 2023, we recorded additional one-time employee termination benefits of $28,000 within research and development expense as a result of an additional termination.</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our activity related to one-time employee termination benefits included in accrued liabilities (in thousands):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One-Time Employee Termination Benefits</w:t>
            </w:r>
          </w:p>
        </w:tc>
      </w:tr>
      <w:tr>
        <w:trPr>
          <w:trHeight w:val="243"/>
        </w:trPr>
        <w:tc>
          <w:tcPr>
            <w:tcW w:w="6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June 30, 2023</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FF0FC"/>
          </w:tcPr>
          <w:p>
            <w:pPr>
              <w:spacing w:after="0"/>
              <w:rPr>
                <w:sz w:val="21"/>
                <w:szCs w:val="21"/>
                <w:color w:val="auto"/>
              </w:rPr>
            </w:pPr>
          </w:p>
        </w:tc>
      </w:tr>
      <w:tr>
        <w:trPr>
          <w:trHeight w:val="237"/>
        </w:trPr>
        <w:tc>
          <w:tcPr>
            <w:tcW w:w="6300" w:type="dxa"/>
            <w:vAlign w:val="bottom"/>
          </w:tcPr>
          <w:p>
            <w:pPr>
              <w:ind w:left="180"/>
              <w:spacing w:after="0"/>
              <w:rPr>
                <w:sz w:val="20"/>
                <w:szCs w:val="20"/>
                <w:color w:val="auto"/>
              </w:rPr>
            </w:pPr>
            <w:r>
              <w:rPr>
                <w:rFonts w:ascii="Arial" w:cs="Arial" w:eastAsia="Arial" w:hAnsi="Arial"/>
                <w:sz w:val="18"/>
                <w:szCs w:val="18"/>
                <w:color w:val="auto"/>
              </w:rPr>
              <w:t>Increase in accrued restructuring</w:t>
            </w:r>
          </w:p>
        </w:tc>
        <w:tc>
          <w:tcPr>
            <w:tcW w:w="160" w:type="dxa"/>
            <w:vAlign w:val="bottom"/>
          </w:tcPr>
          <w:p>
            <w:pPr>
              <w:spacing w:after="0"/>
              <w:rPr>
                <w:sz w:val="20"/>
                <w:szCs w:val="20"/>
                <w:color w:val="auto"/>
              </w:rPr>
            </w:pPr>
          </w:p>
        </w:tc>
        <w:tc>
          <w:tcPr>
            <w:tcW w:w="35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r>
      <w:tr>
        <w:trPr>
          <w:trHeight w:val="243"/>
        </w:trPr>
        <w:tc>
          <w:tcPr>
            <w:tcW w:w="63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payments</w:t>
            </w:r>
          </w:p>
        </w:tc>
        <w:tc>
          <w:tcPr>
            <w:tcW w:w="160" w:type="dxa"/>
            <w:vAlign w:val="bottom"/>
            <w:shd w:val="clear" w:color="auto" w:fill="CFF0FC"/>
          </w:tcPr>
          <w:p>
            <w:pPr>
              <w:spacing w:after="0"/>
              <w:rPr>
                <w:sz w:val="21"/>
                <w:szCs w:val="21"/>
                <w:color w:val="auto"/>
              </w:rPr>
            </w:pPr>
          </w:p>
        </w:tc>
        <w:tc>
          <w:tcPr>
            <w:tcW w:w="3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(917 )</w:t>
            </w:r>
          </w:p>
        </w:tc>
      </w:tr>
      <w:tr>
        <w:trPr>
          <w:trHeight w:val="238"/>
        </w:trPr>
        <w:tc>
          <w:tcPr>
            <w:tcW w:w="630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Balance at September 30, 2023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FF0FC"/>
            </w:tcBorders>
          </w:tcPr>
          <w:p>
            <w:pPr>
              <w:spacing w:after="0"/>
              <w:rPr>
                <w:sz w:val="20"/>
                <w:szCs w:val="20"/>
                <w:color w:val="auto"/>
              </w:rPr>
            </w:pPr>
          </w:p>
        </w:tc>
      </w:tr>
      <w:tr>
        <w:trPr>
          <w:trHeight w:val="20"/>
        </w:trPr>
        <w:tc>
          <w:tcPr>
            <w:tcW w:w="6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ind w:right="240" w:firstLine="509"/>
        <w:spacing w:after="0" w:line="279" w:lineRule="auto"/>
        <w:rPr>
          <w:sz w:val="20"/>
          <w:szCs w:val="20"/>
          <w:color w:val="auto"/>
        </w:rPr>
      </w:pPr>
      <w:r>
        <w:rPr>
          <w:rFonts w:ascii="Arial" w:cs="Arial" w:eastAsia="Arial" w:hAnsi="Arial"/>
          <w:sz w:val="17"/>
          <w:szCs w:val="17"/>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We also have employment agreements with certain of our current employees that provide for severance payments and accelerated vesting for share-based awards if their employment is terminated under specified circumstances.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380" w:firstLine="509"/>
        <w:spacing w:after="0" w:line="279" w:lineRule="auto"/>
        <w:rPr>
          <w:sz w:val="20"/>
          <w:szCs w:val="20"/>
          <w:color w:val="auto"/>
        </w:rPr>
      </w:pPr>
      <w:r>
        <w:rPr>
          <w:rFonts w:ascii="Arial" w:cs="Arial" w:eastAsia="Arial" w:hAnsi="Arial"/>
          <w:sz w:val="17"/>
          <w:szCs w:val="17"/>
          <w:color w:val="auto"/>
        </w:rPr>
        <w:t>From time to time, the Company may be involved in various lawsuits, legal proceedings, or claims that arise in the ordinary course of business. Management believes there are no claims or actions pending against the Company as of September 30, 2023 which will have, individually or in the aggregate, a material adverse effect on its business, liquidity, financial position, or results of operations. Litigation, however, is subject to inherent uncertainties, and an adverse result in these or other matters may arise from time to time that may harm our business.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jc w:val="both"/>
        <w:ind w:right="80" w:firstLine="509"/>
        <w:spacing w:after="0" w:line="311" w:lineRule="auto"/>
        <w:rPr>
          <w:sz w:val="20"/>
          <w:szCs w:val="20"/>
          <w:color w:val="auto"/>
        </w:rPr>
      </w:pPr>
      <w:r>
        <w:rPr>
          <w:rFonts w:ascii="Arial" w:cs="Arial" w:eastAsia="Arial" w:hAnsi="Arial"/>
          <w:sz w:val="16"/>
          <w:szCs w:val="16"/>
          <w:color w:val="auto"/>
        </w:rPr>
        <w:t>In accordance with our amended and restated memorandum and articles of association, the Company has indemnification obligations to its officers and directors for certain events or occurrences, subject to certain limits, while they are serving in such capacity. There have been no claims to date, and the Company has a directors and officers liability insurance policy that may enable it to recover a portion of any amounts paid for future claims.</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Presage License Agreement</w:t>
      </w:r>
    </w:p>
    <w:p>
      <w:pPr>
        <w:spacing w:after="0" w:line="117" w:lineRule="exact"/>
        <w:rPr>
          <w:sz w:val="20"/>
          <w:szCs w:val="20"/>
          <w:color w:val="auto"/>
        </w:rPr>
      </w:pPr>
    </w:p>
    <w:p>
      <w:pPr>
        <w:ind w:right="140" w:firstLine="509"/>
        <w:spacing w:after="0" w:line="311" w:lineRule="auto"/>
        <w:rPr>
          <w:sz w:val="20"/>
          <w:szCs w:val="20"/>
          <w:color w:val="auto"/>
        </w:rPr>
      </w:pPr>
      <w:r>
        <w:rPr>
          <w:rFonts w:ascii="Arial" w:cs="Arial" w:eastAsia="Arial" w:hAnsi="Arial"/>
          <w:sz w:val="16"/>
          <w:szCs w:val="16"/>
          <w:color w:val="auto"/>
        </w:rPr>
        <w:t xml:space="preserve">As discussed in </w:t>
      </w:r>
      <w:r>
        <w:rPr>
          <w:rFonts w:ascii="Arial" w:cs="Arial" w:eastAsia="Arial" w:hAnsi="Arial"/>
          <w:sz w:val="16"/>
          <w:szCs w:val="16"/>
          <w:i w:val="1"/>
          <w:iCs w:val="1"/>
          <w:u w:val="single" w:color="auto"/>
          <w:color w:val="0000FF"/>
        </w:rPr>
        <w:t>Note 8. Other License Agreements</w:t>
      </w:r>
      <w:r>
        <w:rPr>
          <w:rFonts w:ascii="Arial" w:cs="Arial" w:eastAsia="Arial" w:hAnsi="Arial"/>
          <w:sz w:val="16"/>
          <w:szCs w:val="16"/>
          <w:i w:val="1"/>
          <w:iCs w:val="1"/>
          <w:color w:val="auto"/>
        </w:rPr>
        <w:t>,</w:t>
      </w:r>
      <w:r>
        <w:rPr>
          <w:rFonts w:ascii="Arial" w:cs="Arial" w:eastAsia="Arial" w:hAnsi="Arial"/>
          <w:sz w:val="16"/>
          <w:szCs w:val="16"/>
          <w:color w:val="auto"/>
        </w:rPr>
        <w:t xml:space="preserve"> we are party to a license agreement with Presage under which we may be required to make future payments upon the achievement of certain development, regulatory and commercial milestones, as well as potential future royalties based upon net sales. As of September 30, 2023, we had not accrued any amounts for potential future payments as achievement of the milestones had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-332740</wp:posOffset>
            </wp:positionV>
            <wp:extent cx="15665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6654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License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Kyowa Kirin Co., Ltd. License, Development and Commercialization Agreement</w:t>
      </w:r>
    </w:p>
    <w:p>
      <w:pPr>
        <w:spacing w:after="0" w:line="117"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In April 2020, we entered into the KKC Commercialization Agreement under which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payment-bearing, license under certain patents and know-how controlled by us to develop and commercialize zandelisib and any pharmaceutical product containing zandelisib for all human indications in countries outside of the U.S.. KKC granted to us a co-exclusive, sublicensable, license under certain patents and know-how controlled by KKC to develop and commercialize zandelisib for all human indications in the U.S., and a co-exclusive, sublicensable, royalty-free, fully paid license under certain patents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know-how controlled by KKC to perform our obligations in the Ex-U.S. under the KKC Commercialization Agreement. KKC paid us an initial nonrefundable payment of $100.0 million.</w:t>
      </w:r>
    </w:p>
    <w:p>
      <w:pPr>
        <w:spacing w:after="0" w:line="62" w:lineRule="exact"/>
        <w:rPr>
          <w:sz w:val="20"/>
          <w:szCs w:val="20"/>
          <w:color w:val="auto"/>
        </w:rPr>
      </w:pPr>
    </w:p>
    <w:p>
      <w:pPr>
        <w:ind w:right="100" w:firstLine="554"/>
        <w:spacing w:after="0" w:line="290" w:lineRule="auto"/>
        <w:rPr>
          <w:sz w:val="20"/>
          <w:szCs w:val="20"/>
          <w:color w:val="auto"/>
        </w:rPr>
      </w:pPr>
      <w:r>
        <w:rPr>
          <w:rFonts w:ascii="Arial" w:cs="Arial" w:eastAsia="Arial" w:hAnsi="Arial"/>
          <w:sz w:val="16"/>
          <w:szCs w:val="16"/>
          <w:color w:val="auto"/>
        </w:rPr>
        <w:t>In November 2022, we and KKC jointly decided to discontinue zandelisib development in the U.S. and in May 2023, KKC decided to discontinue development of zandelisib in Japan. Considering the decisions to discontinue worldwide development of zandelisib the parties entered into a Termination Agreement on July 14, 2023, agreeing to mutually terminate the global License, Development and Commercialization Agreement executed in April 2020. Pursuant to the Termination Agreement, we regained full, global rights to develop, manufacture and commercialize zandelisib, subject to KKCs limited rights to use for “compassionate use” (as more specifically defined in the Termination Agreement) in certain expanded access programs for the existing patients who have been enrolled in Japanese clinical trials sponsored by KKC until November 30, 2027, and for which KKC is fully liable; each party released the other party from any and all claims or demands arising from the original KKC Commercialization Agreement excluding certain surviving claims; however, we are obligated to deliver a discrete quantity of materials to facilitate KKCs compassionate use activities.</w:t>
      </w:r>
    </w:p>
    <w:p>
      <w:pPr>
        <w:spacing w:after="0" w:line="57" w:lineRule="exact"/>
        <w:rPr>
          <w:sz w:val="20"/>
          <w:szCs w:val="20"/>
          <w:color w:val="auto"/>
        </w:rPr>
      </w:pPr>
    </w:p>
    <w:p>
      <w:pPr>
        <w:ind w:right="160" w:firstLine="554"/>
        <w:spacing w:after="0" w:line="296" w:lineRule="auto"/>
        <w:rPr>
          <w:sz w:val="20"/>
          <w:szCs w:val="20"/>
          <w:color w:val="auto"/>
        </w:rPr>
      </w:pPr>
      <w:r>
        <w:rPr>
          <w:rFonts w:ascii="Arial" w:cs="Arial" w:eastAsia="Arial" w:hAnsi="Arial"/>
          <w:sz w:val="16"/>
          <w:szCs w:val="16"/>
          <w:color w:val="auto"/>
        </w:rPr>
        <w:t xml:space="preserve">We determined the KKC Commercialization Agreement was a collaborative arrangement in accordance with Topic 808 which contained multiple units of account, as we and KKC were both active participants in the development and commercialization activities and were exposed to significant risks and rewards dependent on commercial success of the activities of the arrangement. We determined the U.S. License was a separate unit of account under the scope of Topic 808 and was not a deliverable under Topic 606, while the license issued to KKC within its territory and related development services were within the scope of Topic 606. See discussion within the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subsection of </w:t>
      </w:r>
      <w:r>
        <w:rPr>
          <w:rFonts w:ascii="Arial" w:cs="Arial" w:eastAsia="Arial" w:hAnsi="Arial"/>
          <w:sz w:val="16"/>
          <w:szCs w:val="16"/>
          <w:i w:val="1"/>
          <w:iCs w:val="1"/>
          <w:u w:val="single" w:color="auto"/>
          <w:color w:val="0000FF"/>
        </w:rPr>
        <w:t>Note 2. Summary of Significant Accounting Policies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-50800</wp:posOffset>
            </wp:positionV>
            <wp:extent cx="23768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76805" cy="8255"/>
                    </a:xfrm>
                    <a:prstGeom prst="rect">
                      <a:avLst/>
                    </a:prstGeom>
                    <a:noFill/>
                  </pic:spPr>
                </pic:pic>
              </a:graphicData>
            </a:graphic>
          </wp:anchor>
        </w:drawing>
      </w:r>
    </w:p>
    <w:p>
      <w:pPr>
        <w:spacing w:after="0" w:line="33" w:lineRule="exact"/>
        <w:rPr>
          <w:sz w:val="20"/>
          <w:szCs w:val="20"/>
          <w:color w:val="auto"/>
        </w:rPr>
      </w:pPr>
    </w:p>
    <w:p>
      <w:pPr>
        <w:ind w:right="260" w:firstLine="554"/>
        <w:spacing w:after="0" w:line="257" w:lineRule="auto"/>
        <w:rPr>
          <w:sz w:val="20"/>
          <w:szCs w:val="20"/>
          <w:color w:val="auto"/>
        </w:rPr>
      </w:pPr>
      <w:r>
        <w:rPr>
          <w:rFonts w:ascii="Arial" w:cs="Arial" w:eastAsia="Arial" w:hAnsi="Arial"/>
          <w:sz w:val="18"/>
          <w:szCs w:val="18"/>
          <w:color w:val="auto"/>
        </w:rPr>
        <w:t xml:space="preserve">We evaluated the Termination Agreement under ASC 606 and determined it met the requirements of a contract modification which changed the scope of the KKC Commercialization Agreement, and the remaining goods and services associated with the wind-down activities to be transferred. The cost of satisfying our performance obligation to provide compassionate use supply to KKC was determined to be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and therefore immaterial within the context of the KKC Commercialization Agreement. As of September 30, 2023, activities associated with the compassionate use supply were completed.</w:t>
      </w:r>
    </w:p>
    <w:p>
      <w:pPr>
        <w:spacing w:after="0" w:line="80" w:lineRule="exact"/>
        <w:rPr>
          <w:sz w:val="20"/>
          <w:szCs w:val="20"/>
          <w:color w:val="auto"/>
        </w:rPr>
      </w:pPr>
    </w:p>
    <w:p>
      <w:pPr>
        <w:ind w:right="20" w:firstLine="554"/>
        <w:spacing w:after="0" w:line="296" w:lineRule="auto"/>
        <w:rPr>
          <w:sz w:val="20"/>
          <w:szCs w:val="20"/>
          <w:color w:val="auto"/>
        </w:rPr>
      </w:pPr>
      <w:r>
        <w:rPr>
          <w:rFonts w:ascii="Arial" w:cs="Arial" w:eastAsia="Arial" w:hAnsi="Arial"/>
          <w:sz w:val="16"/>
          <w:szCs w:val="16"/>
          <w:color w:val="auto"/>
        </w:rPr>
        <w:t>With the execution of the Termination Agreement, we regained full, global rights (subject to KKC's limited rights for compassionate use) and KKC has no further rights to develop, use or commercialize zandelisib in the U.S., nor do we have any remaining performance obligations with all consideration received from KKC being nonrefundable. Therefore, the remaining long-term deferred revenue as of June 30, 2023, of $64.5 million that was allocated to the U.S. License obligation accounted for under Topic 808 at inception of the KKC Commercialization Agreement was recognized as revenue from collaboration agreements in the three months ended September 30, 2023, utilizing contract termination analogous to guidance provided in Topic 606.</w:t>
      </w:r>
    </w:p>
    <w:p>
      <w:pPr>
        <w:spacing w:after="0" w:line="53" w:lineRule="exact"/>
        <w:rPr>
          <w:sz w:val="20"/>
          <w:szCs w:val="20"/>
          <w:color w:val="auto"/>
        </w:rPr>
      </w:pPr>
    </w:p>
    <w:p>
      <w:pPr>
        <w:ind w:right="60" w:firstLine="554"/>
        <w:spacing w:after="0" w:line="286" w:lineRule="auto"/>
        <w:rPr>
          <w:sz w:val="20"/>
          <w:szCs w:val="20"/>
          <w:color w:val="auto"/>
        </w:rPr>
      </w:pPr>
      <w:r>
        <w:rPr>
          <w:rFonts w:ascii="Arial" w:cs="Arial" w:eastAsia="Arial" w:hAnsi="Arial"/>
          <w:sz w:val="17"/>
          <w:szCs w:val="17"/>
          <w:color w:val="auto"/>
        </w:rPr>
        <w:t xml:space="preserve">We recognized the remaining transaction price of $317,000 of deferred revenue during the three months ended September 30, 2023, as any remaining performance obligations under the KKC Commercialization Agreement were determined to be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as of September 30, 2023. Therefore, as of September 30, 2023, all deferred revenue associated with the KKC Commercialization Agreement has been recognized.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License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Presage License Agreement</w:t>
      </w:r>
    </w:p>
    <w:p>
      <w:pPr>
        <w:spacing w:after="0" w:line="117" w:lineRule="exact"/>
        <w:rPr>
          <w:sz w:val="20"/>
          <w:szCs w:val="20"/>
          <w:color w:val="auto"/>
        </w:rPr>
      </w:pPr>
    </w:p>
    <w:p>
      <w:pPr>
        <w:ind w:right="120" w:firstLine="509"/>
        <w:spacing w:after="0" w:line="289" w:lineRule="auto"/>
        <w:rPr>
          <w:sz w:val="20"/>
          <w:szCs w:val="20"/>
          <w:color w:val="auto"/>
        </w:rPr>
      </w:pPr>
      <w:r>
        <w:rPr>
          <w:rFonts w:ascii="Arial" w:cs="Arial" w:eastAsia="Arial" w:hAnsi="Arial"/>
          <w:sz w:val="16"/>
          <w:szCs w:val="16"/>
          <w:color w:val="auto"/>
        </w:rPr>
        <w:t>In September 2017, we, as licensee, entered into a license agreement with Presage Biosciences, Inc. (“Presage”). Under the terms of the license agreement, Presage granted to us exclusive worldwide rights to develop, manufacture and commercialize voruciclib, a clinical-stage, oral and selective CDK inhibitor, and related compounds. In exchange, we paid $2.9 million to Presage. With respect to the first indication, an incremental $2.0 million payment, due upon dosing of the first subject in the first registration trial, will be owed to Presage, for total payments of $4.9 million prior to receipt of marketing approval of the first indication in the U.S., EU or Japan. Additional potential payments of up to $179 million will be due upon the achievement of certain development, regulatory and commercial milestones. We will also pay mid-single digit tiered royalties on the net sales of any product successfully developed. As an alternative to milestone and royalty payments related to countries in which we sublicense product rights, we will pay to Presage a tiered percentage (which decreases as product development progresses) of amounts received from such sublicensees. During the three months ended September 30, 2023 and 2022, we made no payments under the Presage license agreement.</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BeiGene Collaboration</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October 2018, we entered into a clinical collaboration with BeiGene, Ltd. (“BeiGene”) to evaluate the safety and efficacy of zandelisib in combination with BeiGene’s zanubrutinib (marketed as Brukinsa®), an inhibitor of Bruton’s tyrosine kinase, for the treatment of patients with B-cell malignancies. Under the terms of the clinical collaboration agreement, we amended our ongoing Phase 1b trial to include evaluation of zandelisib in combination with zanubrutinib in patients with B-cell malignancies. Study costs are being shared equally by the parties, and we agreed to supply zandelisib and BeiGene agreed to supply zanubrutinib. We record the costs reimbursed by BeiGene as a reduction of our research and development expenses. We retained full commercial rights for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zandelisib and BeiGene retained full commercial rights for zanubrutinib. With the discontinuation of the zandelisib program outside of Japan, this clinical collaboration was terminated on September 28, 2023.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21"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In July 2020, we entered into a lease agreement (the "Initial Lease Agreement") for approximately 32,800 square feet of office space in San Diego, California. The Lease Agreement was scheduled to expire in March 2028 but was extended by 20 months to November 2029 in accordance with the amended lease agreement we entered into in January 2022 (the "Amended Lease Agreement"). The Initial and Amended Lease Agreements are collectively referred to as the "Lease Agreements". The Lease Agreements contain rent escalations over the lease term. In addition, the Lease Agreements contain an option to renew and extend the lease term, which is not included in the determination of the right-of-use ("ROU") asset and operating lease liability, as it was not reasonably certain to be exercised. Upon commencement of the Amended Lease Agreement, to extend the lease term, we recognized an additional operating lease ROU asset and a corresponding operating lease liability. The Lease Agreements include variable non-lease components (e.g., common area maintenance, maintenance, etc.) that are not included in the ROU asset and operating lease liability and are reflected as an expense in the period incurred as a component of the lease cost.</w:t>
      </w:r>
    </w:p>
    <w:p>
      <w:pPr>
        <w:spacing w:after="0" w:line="73"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Amended Lease Agreements also provides for an additional 12,300 square feet of office space adjacent to our current office in San Diego. Upon taking control of the additional office space on July 1, 2022, we recognized operating lease ROU assets obtained in exchange for operating lease liabilities of $4.3 million.</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total operating lease costs for the Lease Agreements were as follows for the periods presented (in thousands):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620" w:type="dxa"/>
            <w:vAlign w:val="bottom"/>
          </w:tcPr>
          <w:p>
            <w:pPr>
              <w:spacing w:after="0"/>
              <w:rPr>
                <w:sz w:val="20"/>
                <w:szCs w:val="20"/>
                <w:color w:val="auto"/>
              </w:rPr>
            </w:pPr>
          </w:p>
        </w:tc>
        <w:tc>
          <w:tcPr>
            <w:tcW w:w="348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1"/>
              </w:rPr>
              <w:t>For the Three Months Ended September 30,</w:t>
            </w:r>
          </w:p>
        </w:tc>
      </w:tr>
      <w:tr>
        <w:trPr>
          <w:trHeight w:val="239"/>
        </w:trPr>
        <w:tc>
          <w:tcPr>
            <w:tcW w:w="6620" w:type="dxa"/>
            <w:vAlign w:val="bottom"/>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r>
      <w:tr>
        <w:trPr>
          <w:trHeight w:val="241"/>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220" w:type="dxa"/>
            <w:vAlign w:val="bottom"/>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CFF0FC"/>
          </w:tcPr>
          <w:p>
            <w:pPr>
              <w:spacing w:after="0"/>
              <w:rPr>
                <w:sz w:val="20"/>
                <w:szCs w:val="20"/>
                <w:color w:val="auto"/>
              </w:rPr>
            </w:pPr>
          </w:p>
        </w:tc>
      </w:tr>
      <w:tr>
        <w:trPr>
          <w:trHeight w:val="237"/>
        </w:trPr>
        <w:tc>
          <w:tcPr>
            <w:tcW w:w="6620" w:type="dxa"/>
            <w:vAlign w:val="bottom"/>
          </w:tcPr>
          <w:p>
            <w:pPr>
              <w:spacing w:after="0"/>
              <w:rPr>
                <w:sz w:val="20"/>
                <w:szCs w:val="20"/>
                <w:color w:val="auto"/>
              </w:rPr>
            </w:pPr>
            <w:r>
              <w:rPr>
                <w:rFonts w:ascii="Arial" w:cs="Arial" w:eastAsia="Arial" w:hAnsi="Arial"/>
                <w:sz w:val="18"/>
                <w:szCs w:val="18"/>
                <w:color w:val="auto"/>
              </w:rPr>
              <w:t>Variable lease costs</w:t>
            </w:r>
          </w:p>
        </w:tc>
        <w:tc>
          <w:tcPr>
            <w:tcW w:w="1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r>
      <w:tr>
        <w:trPr>
          <w:trHeight w:val="276"/>
        </w:trPr>
        <w:tc>
          <w:tcPr>
            <w:tcW w:w="6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costs included in general and administrative expenses</w:t>
            </w:r>
          </w:p>
        </w:tc>
        <w:tc>
          <w:tcPr>
            <w:tcW w:w="1220" w:type="dxa"/>
            <w:vAlign w:val="bottom"/>
            <w:tcBorders>
              <w:bottom w:val="single" w:sz="8" w:color="auto"/>
            </w:tcBorders>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2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-25400</wp:posOffset>
            </wp:positionV>
            <wp:extent cx="596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-7620</wp:posOffset>
            </wp:positionV>
            <wp:extent cx="596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information related to our operating leases was as follows for the periods presented (in thousands):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2"/>
              </w:rPr>
              <w:t>Three Months Ended September 30,</w:t>
            </w:r>
          </w:p>
        </w:tc>
        <w:tc>
          <w:tcPr>
            <w:tcW w:w="380" w:type="dxa"/>
            <w:vAlign w:val="bottom"/>
          </w:tcPr>
          <w:p>
            <w:pPr>
              <w:spacing w:after="0"/>
              <w:rPr>
                <w:sz w:val="20"/>
                <w:szCs w:val="20"/>
                <w:color w:val="auto"/>
              </w:rPr>
            </w:pPr>
          </w:p>
        </w:tc>
      </w:tr>
      <w:tr>
        <w:trPr>
          <w:trHeight w:val="237"/>
        </w:trPr>
        <w:tc>
          <w:tcPr>
            <w:tcW w:w="6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20"/>
                <w:szCs w:val="20"/>
                <w:color w:val="auto"/>
              </w:rPr>
            </w:pPr>
          </w:p>
        </w:tc>
      </w:tr>
      <w:tr>
        <w:trPr>
          <w:trHeight w:val="236"/>
        </w:trPr>
        <w:tc>
          <w:tcPr>
            <w:tcW w:w="6460" w:type="dxa"/>
            <w:vAlign w:val="bottom"/>
          </w:tcPr>
          <w:p>
            <w:pPr>
              <w:spacing w:after="0"/>
              <w:rPr>
                <w:sz w:val="20"/>
                <w:szCs w:val="20"/>
                <w:color w:val="auto"/>
              </w:rPr>
            </w:pPr>
            <w:r>
              <w:rPr>
                <w:rFonts w:ascii="Arial" w:cs="Arial" w:eastAsia="Arial" w:hAnsi="Arial"/>
                <w:sz w:val="18"/>
                <w:szCs w:val="18"/>
                <w:color w:val="auto"/>
              </w:rPr>
              <w:t>Cash paid for amount included in the measurement of lease liabilities:</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50"/>
        </w:trPr>
        <w:tc>
          <w:tcPr>
            <w:tcW w:w="64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38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is a schedule of the future minimum lease payments under the Lease Agreements, reconciled to the operating lease liability, as of</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(in thousands):</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8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4"/>
              </w:rPr>
              <w:t>September 30, 2023</w:t>
            </w:r>
          </w:p>
        </w:tc>
      </w:tr>
      <w:tr>
        <w:trPr>
          <w:trHeight w:val="236"/>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Remainder of fiscal year ending June 30, 2024</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8300" w:type="dxa"/>
            <w:vAlign w:val="bottom"/>
          </w:tcPr>
          <w:p>
            <w:pPr>
              <w:spacing w:after="0"/>
              <w:rPr>
                <w:sz w:val="20"/>
                <w:szCs w:val="20"/>
                <w:color w:val="auto"/>
              </w:rPr>
            </w:pPr>
            <w:r>
              <w:rPr>
                <w:rFonts w:ascii="Arial" w:cs="Arial" w:eastAsia="Arial" w:hAnsi="Arial"/>
                <w:sz w:val="18"/>
                <w:szCs w:val="18"/>
                <w:color w:val="auto"/>
              </w:rPr>
              <w:t>Years ending June 30,</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83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8300" w:type="dxa"/>
            <w:vAlign w:val="bottom"/>
          </w:tcPr>
          <w:p>
            <w:pPr>
              <w:ind w:left="18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83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8300" w:type="dxa"/>
            <w:vAlign w:val="bottom"/>
          </w:tcPr>
          <w:p>
            <w:pPr>
              <w:ind w:left="180"/>
              <w:spacing w:after="0"/>
              <w:rPr>
                <w:sz w:val="20"/>
                <w:szCs w:val="20"/>
                <w:color w:val="auto"/>
              </w:rPr>
            </w:pPr>
            <w:r>
              <w:rPr>
                <w:rFonts w:ascii="Arial" w:cs="Arial" w:eastAsia="Arial" w:hAnsi="Arial"/>
                <w:sz w:val="18"/>
                <w:szCs w:val="18"/>
                <w:color w:val="auto"/>
              </w:rPr>
              <w:t>2028</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8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4,385</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8300" w:type="dxa"/>
            <w:vAlign w:val="bottom"/>
          </w:tcPr>
          <w:p>
            <w:pPr>
              <w:ind w:left="180"/>
              <w:spacing w:after="0"/>
              <w:rPr>
                <w:sz w:val="20"/>
                <w:szCs w:val="20"/>
                <w:color w:val="auto"/>
              </w:rPr>
            </w:pPr>
            <w:r>
              <w:rPr>
                <w:rFonts w:ascii="Arial" w:cs="Arial" w:eastAsia="Arial" w:hAnsi="Arial"/>
                <w:sz w:val="18"/>
                <w:szCs w:val="18"/>
                <w:color w:val="auto"/>
              </w:rPr>
              <w:t>Total lease payments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15,792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Less: Present value discount</w:t>
            </w:r>
          </w:p>
        </w:tc>
        <w:tc>
          <w:tcPr>
            <w:tcW w:w="1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(3,411 )</w:t>
            </w:r>
          </w:p>
        </w:tc>
        <w:tc>
          <w:tcPr>
            <w:tcW w:w="60" w:type="dxa"/>
            <w:vAlign w:val="bottom"/>
          </w:tcPr>
          <w:p>
            <w:pPr>
              <w:spacing w:after="0"/>
              <w:rPr>
                <w:sz w:val="21"/>
                <w:szCs w:val="21"/>
                <w:color w:val="auto"/>
              </w:rPr>
            </w:pPr>
          </w:p>
        </w:tc>
      </w:tr>
      <w:tr>
        <w:trPr>
          <w:trHeight w:val="236"/>
        </w:trPr>
        <w:tc>
          <w:tcPr>
            <w:tcW w:w="83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operating lease liability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12,381</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8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8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8300" w:type="dxa"/>
            <w:vAlign w:val="bottom"/>
          </w:tcPr>
          <w:p>
            <w:pPr>
              <w:spacing w:after="0"/>
              <w:rPr>
                <w:sz w:val="20"/>
                <w:szCs w:val="20"/>
                <w:color w:val="auto"/>
              </w:rPr>
            </w:pPr>
            <w:r>
              <w:rPr>
                <w:rFonts w:ascii="Arial" w:cs="Arial" w:eastAsia="Arial" w:hAnsi="Arial"/>
                <w:sz w:val="18"/>
                <w:szCs w:val="18"/>
                <w:b w:val="1"/>
                <w:bCs w:val="1"/>
                <w:color w:val="auto"/>
              </w:rPr>
              <w:t>Balance Sheet Classification - Operating Leases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83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lease liability</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8300" w:type="dxa"/>
            <w:vAlign w:val="bottom"/>
          </w:tcPr>
          <w:p>
            <w:pPr>
              <w:ind w:left="180"/>
              <w:spacing w:after="0"/>
              <w:rPr>
                <w:sz w:val="20"/>
                <w:szCs w:val="20"/>
                <w:color w:val="auto"/>
              </w:rPr>
            </w:pPr>
            <w:r>
              <w:rPr>
                <w:rFonts w:ascii="Arial" w:cs="Arial" w:eastAsia="Arial" w:hAnsi="Arial"/>
                <w:sz w:val="18"/>
                <w:szCs w:val="18"/>
                <w:color w:val="auto"/>
              </w:rPr>
              <w:t>Operating lease liability, long-term</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6"/>
        </w:trPr>
        <w:tc>
          <w:tcPr>
            <w:tcW w:w="8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12,381</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8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8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Balance Sheet Information - Operating Leases</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8300" w:type="dxa"/>
            <w:vAlign w:val="bottom"/>
          </w:tcPr>
          <w:p>
            <w:pPr>
              <w:ind w:left="180"/>
              <w:spacing w:after="0"/>
              <w:rPr>
                <w:sz w:val="20"/>
                <w:szCs w:val="20"/>
                <w:color w:val="auto"/>
              </w:rPr>
            </w:pPr>
            <w:r>
              <w:rPr>
                <w:rFonts w:ascii="Arial" w:cs="Arial" w:eastAsia="Arial" w:hAnsi="Arial"/>
                <w:sz w:val="18"/>
                <w:szCs w:val="18"/>
                <w:color w:val="auto"/>
              </w:rPr>
              <w:t>Weighted-average remaining lease term (in years)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8300" w:type="dxa"/>
            <w:vAlign w:val="bottom"/>
          </w:tcPr>
          <w:p>
            <w:pPr>
              <w:ind w:left="180"/>
              <w:spacing w:after="0"/>
              <w:rPr>
                <w:sz w:val="20"/>
                <w:szCs w:val="20"/>
                <w:color w:val="auto"/>
              </w:rPr>
            </w:pPr>
            <w:r>
              <w:rPr>
                <w:rFonts w:ascii="Arial" w:cs="Arial" w:eastAsia="Arial" w:hAnsi="Arial"/>
                <w:sz w:val="18"/>
                <w:szCs w:val="18"/>
                <w:color w:val="auto"/>
              </w:rPr>
              <w:t>Weighted-average discount rate</w:t>
            </w:r>
          </w:p>
        </w:tc>
        <w:tc>
          <w:tcPr>
            <w:tcW w:w="18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7.50 %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-1919605</wp:posOffset>
            </wp:positionV>
            <wp:extent cx="60325"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-1602105</wp:posOffset>
            </wp:positionV>
            <wp:extent cx="6032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-633730</wp:posOffset>
            </wp:positionV>
            <wp:extent cx="60325" cy="180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18034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-144780</wp:posOffset>
            </wp:positionV>
            <wp:extent cx="641223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right="9340" w:firstLine="8"/>
        <w:spacing w:after="0" w:line="425" w:lineRule="auto"/>
        <w:tabs>
          <w:tab w:leader="none" w:pos="27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Equity Transactions</w:t>
      </w:r>
    </w:p>
    <w:p>
      <w:pPr>
        <w:ind w:left="52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In May 2023, outstanding warrants to purchase 802,949 shares of our common stock expired. The warrants were fully vested, exercisable at a price of $50.80 per share. Prior to their expiration, the warrants had been previously revalued to zero, as of December 31, 2022. All corresponding changes in fair value were recorded as a component of other income (expense) in our condensed consolidated statements of operations. No warrants were exercised during the three months ended September 30, 2022.</w:t>
      </w:r>
    </w:p>
    <w:p>
      <w:pPr>
        <w:spacing w:after="0" w:line="79"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As of September 30, 2023, we also have outstanding warrants to purchase 102,513 shares of our common stock issued to Torreya Partners. The warrants are fully vested, exercisable at a price of $6.80 per share and expire in October 2027. No warrants were exercised during the three months ended September 30,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Our total authorized share capital is 226,100,000 shares consisting of 226,000,000 shares of common stock, $0.00000002 par value per share, and 100,000 shares of preferred stock, $0.01 par value per share.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The holders of common stock are entitled to one vote per share. In the event of a liquidation, dissolution or winding up of our affairs, holders of the common stock will be entitled to share ratably in all our assets that are remaining after payment of our liabilities and the liquidation preference of any outstanding shares of preferred stock. All outstanding shares of common stock are fully paid and non-assessable. The rights, preferences and privileges of holders of common stock are subject to any series of preferred stock that we have issued or that we may issue in the future. The holders of common stock have no preemptive rights and are not subject to future calls or assessments by us.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Our Board has the authority to issue up to 100,000 shares of preferred stock with a par value of $0.01 per share in one or more series and to fix the rights, preferences, privileges and restrictions in respect of that preferred stock, including dividend rights, dividend rates, conversion rights, voting rights, terms of redemption (including sinking fund provisions), redemption prices and liquidation preferences, and the number of shares constituting such series and the designation of any such series, without future vote or action by the stockholders. Therefore, the Board, without the approval of the stockholders, could authorize the issuance of preferred stock with voting, conversion and other rights that could affect the voting power, dividend and other rights of the holders of shares or that could have the effect of delaying, deferring or preventing a change of control. There were no shares of preferred stock outstanding as of September 30, 2023 and June 30, 2023.</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121"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use equity-based compensation programs to provide long-term performance incentives for our employees. These incentives consist primarily of stock options and RSUs. In December 2008, we adopted the MEI Pharma, Inc. 2008 Stock Omnibus Equity Compensation Plan (“Omnibus Plan”), as amended and restated from time-to-time, under which 1,850,739 shares of common stock are currently authorized for issuance. The Omnibus Plan provides for the grant of options and/or other stock-based or stock-denominated awards to our non-employee directors, officers, and employees. As of September 30, 2023, there were 398,718 shares available for future grant under the Omnibus Plan.</w:t>
      </w:r>
    </w:p>
    <w:p>
      <w:pPr>
        <w:spacing w:after="0" w:line="68"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In May 2021, we adopted the 2021 Inducement Plan ("Inducement Plan"), under which 125,000 shares of common stock are authorized for issuance. The Inducement Plan is intended to assist us in attracting and retaining selected individuals to serve as employees who are expected to contribute to our success, by providing an inducement for such individuals to enter into employment with us, and to achieve long-term objectives that will benefit our stockholders. As of September 30, 2023, there were 107,738 shares available for future grant under the Inducement Plan.</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share-based compensation expense for all stock awards consisted of the following for the periods presented (in thousands):</w:t>
      </w:r>
    </w:p>
    <w:p>
      <w:pPr>
        <w:spacing w:after="0" w:line="127"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For the Three Months Ended September</w:t>
      </w:r>
    </w:p>
    <w:p>
      <w:pPr>
        <w:spacing w:after="0" w:line="27"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color w:val="auto"/>
        </w:rPr>
        <w:t>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8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1"/>
        </w:trPr>
        <w:tc>
          <w:tcPr>
            <w:tcW w:w="580" w:type="dxa"/>
            <w:vAlign w:val="bottom"/>
          </w:tcPr>
          <w:p>
            <w:pPr>
              <w:spacing w:after="0"/>
              <w:rPr>
                <w:sz w:val="20"/>
                <w:szCs w:val="20"/>
                <w:color w:val="auto"/>
              </w:rPr>
            </w:pPr>
          </w:p>
        </w:tc>
        <w:tc>
          <w:tcPr>
            <w:tcW w:w="3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284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38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share-based compensation</w:t>
            </w:r>
          </w:p>
        </w:tc>
        <w:tc>
          <w:tcPr>
            <w:tcW w:w="284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35"/>
        </w:trPr>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840" w:type="dxa"/>
            <w:vAlign w:val="bottom"/>
          </w:tcPr>
          <w:p>
            <w:pPr>
              <w:jc w:val="right"/>
              <w:ind w:right="1430"/>
              <w:spacing w:after="0"/>
              <w:rPr>
                <w:sz w:val="20"/>
                <w:szCs w:val="20"/>
                <w:color w:val="auto"/>
              </w:rPr>
            </w:pPr>
            <w:r>
              <w:rPr>
                <w:rFonts w:ascii="Arial" w:cs="Arial" w:eastAsia="Arial" w:hAnsi="Arial"/>
                <w:sz w:val="18"/>
                <w:szCs w:val="18"/>
                <w:color w:val="auto"/>
              </w:rPr>
              <w:t>16</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-521970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-504825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-521970</wp:posOffset>
            </wp:positionV>
            <wp:extent cx="60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Stock options granted to employees vest 25% one year from the date of grant and ratably each month thereafter for a period of 36 months and expire ten years from the date of grant. Stock options granted to directors vest ratably each month for a period of 12 months from the date of grant and expire ten years from the date of grant. Of the total options outstanding of 1,447,127 as of September 30, 2023, 1,337,865 were granted under the Omnibus Plan and 109,262 were granted under the Inducement Plan.</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stock option activity and related data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Weighted-</w:t>
            </w:r>
          </w:p>
        </w:tc>
        <w:tc>
          <w:tcPr>
            <w:tcW w:w="2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2"/>
              </w:rPr>
              <w:t>Remaining Contractual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Aggregate</w:t>
            </w:r>
          </w:p>
        </w:tc>
        <w:tc>
          <w:tcPr>
            <w:tcW w:w="10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Options</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2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1"/>
              </w:rPr>
              <w:t>Term (in years)</w:t>
            </w:r>
          </w:p>
        </w:tc>
        <w:tc>
          <w:tcPr>
            <w:tcW w:w="2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Intrinsic Value</w:t>
            </w:r>
          </w:p>
        </w:tc>
        <w:tc>
          <w:tcPr>
            <w:tcW w:w="100" w:type="dxa"/>
            <w:vAlign w:val="bottom"/>
          </w:tcPr>
          <w:p>
            <w:pPr>
              <w:spacing w:after="0"/>
              <w:rPr>
                <w:sz w:val="20"/>
                <w:szCs w:val="20"/>
                <w:color w:val="auto"/>
              </w:rPr>
            </w:pPr>
          </w:p>
        </w:tc>
      </w:tr>
      <w:tr>
        <w:trPr>
          <w:trHeight w:val="24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June 30, 2023</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1,284,907</w:t>
            </w:r>
          </w:p>
        </w:tc>
        <w:tc>
          <w:tcPr>
            <w:tcW w:w="2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38.32</w:t>
            </w:r>
          </w:p>
        </w:tc>
        <w:tc>
          <w:tcPr>
            <w:tcW w:w="220" w:type="dxa"/>
            <w:vAlign w:val="bottom"/>
            <w:shd w:val="clear" w:color="auto" w:fill="CFF0FC"/>
          </w:tcPr>
          <w:p>
            <w:pPr>
              <w:spacing w:after="0"/>
              <w:rPr>
                <w:sz w:val="21"/>
                <w:szCs w:val="21"/>
                <w:color w:val="auto"/>
              </w:rPr>
            </w:pPr>
          </w:p>
        </w:tc>
        <w:tc>
          <w:tcPr>
            <w:tcW w:w="20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6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227,037</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7.01</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Forfeited</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(64,817 )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36.35</w:t>
            </w:r>
          </w:p>
        </w:tc>
        <w:tc>
          <w:tcPr>
            <w:tcW w:w="220" w:type="dxa"/>
            <w:vAlign w:val="bottom"/>
            <w:shd w:val="clear" w:color="auto" w:fill="CFF0FC"/>
          </w:tcPr>
          <w:p>
            <w:pPr>
              <w:spacing w:after="0"/>
              <w:rPr>
                <w:sz w:val="21"/>
                <w:szCs w:val="21"/>
                <w:color w:val="auto"/>
              </w:rPr>
            </w:pPr>
          </w:p>
        </w:tc>
        <w:tc>
          <w:tcPr>
            <w:tcW w:w="2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Outstanding at September 30, 2023</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1,447,127</w:t>
            </w: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33.50</w:t>
            </w:r>
          </w:p>
        </w:tc>
        <w:tc>
          <w:tcPr>
            <w:tcW w:w="224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7.6</w:t>
            </w:r>
          </w:p>
        </w:tc>
        <w:tc>
          <w:tcPr>
            <w:tcW w:w="40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top w:val="single" w:sz="8" w:color="CFF0FC"/>
            </w:tcBorders>
          </w:tcPr>
          <w:p>
            <w:pPr>
              <w:spacing w:after="0"/>
              <w:rPr>
                <w:sz w:val="20"/>
                <w:szCs w:val="20"/>
                <w:color w:val="auto"/>
              </w:rPr>
            </w:pPr>
          </w:p>
        </w:tc>
      </w:tr>
      <w:tr>
        <w:trPr>
          <w:trHeight w:val="20"/>
        </w:trPr>
        <w:tc>
          <w:tcPr>
            <w:tcW w:w="4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Vested and exercisable at September 30, 2023</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819,813</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49.16</w:t>
            </w:r>
          </w:p>
        </w:tc>
        <w:tc>
          <w:tcPr>
            <w:tcW w:w="2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-368300</wp:posOffset>
            </wp:positionV>
            <wp:extent cx="7747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-25400</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4"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As of September 30, 2023, the aggregate intrinsic value of outstanding options was calculated as the difference between the exercise price of the underlying options and the closing price of our common stock of $7.01 on that date.</w:t>
      </w:r>
    </w:p>
    <w:p>
      <w:pPr>
        <w:spacing w:after="0" w:line="62" w:lineRule="exact"/>
        <w:rPr>
          <w:sz w:val="20"/>
          <w:szCs w:val="20"/>
          <w:color w:val="auto"/>
        </w:rPr>
      </w:pPr>
    </w:p>
    <w:p>
      <w:pPr>
        <w:ind w:right="40" w:firstLine="509"/>
        <w:spacing w:after="0" w:line="308" w:lineRule="auto"/>
        <w:rPr>
          <w:sz w:val="20"/>
          <w:szCs w:val="20"/>
          <w:color w:val="auto"/>
        </w:rPr>
      </w:pPr>
      <w:r>
        <w:rPr>
          <w:rFonts w:ascii="Arial" w:cs="Arial" w:eastAsia="Arial" w:hAnsi="Arial"/>
          <w:sz w:val="17"/>
          <w:szCs w:val="17"/>
          <w:color w:val="auto"/>
        </w:rPr>
        <w:t>Unrecognized compensation expense related to non-vested stock options totaled $3.1 million as of September 30, 2023. Such compensation expense is expected to be recognized over a weighted-average period of 1.6 years. As of September 30, 2023, we expect all options to vest.</w:t>
      </w:r>
    </w:p>
    <w:p>
      <w:pPr>
        <w:spacing w:after="0" w:line="38"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We use the Black-Scholes valuation model to estimate the grant date fair value of stock options. To calculate these fair values, the following weighted-average assumptions were used for the periods presented:</w:t>
      </w:r>
    </w:p>
    <w:p>
      <w:pPr>
        <w:spacing w:after="0" w:line="7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262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91"/>
              </w:rPr>
              <w:t>For the Three Months Ended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9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47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59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5920" w:type="dxa"/>
            <w:vAlign w:val="bottom"/>
          </w:tcPr>
          <w:p>
            <w:pPr>
              <w:spacing w:after="0"/>
              <w:rPr>
                <w:sz w:val="20"/>
                <w:szCs w:val="20"/>
                <w:color w:val="auto"/>
              </w:rPr>
            </w:pPr>
            <w:r>
              <w:rPr>
                <w:rFonts w:ascii="Arial" w:cs="Arial" w:eastAsia="Arial" w:hAnsi="Arial"/>
                <w:sz w:val="18"/>
                <w:szCs w:val="18"/>
                <w:color w:val="auto"/>
              </w:rPr>
              <w:t>Expected life (years)</w:t>
            </w: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5920" w:type="dxa"/>
            <w:vAlign w:val="bottom"/>
          </w:tcPr>
          <w:p>
            <w:pPr>
              <w:spacing w:after="0"/>
              <w:rPr>
                <w:sz w:val="20"/>
                <w:szCs w:val="20"/>
                <w:color w:val="auto"/>
              </w:rPr>
            </w:pPr>
            <w:r>
              <w:rPr>
                <w:rFonts w:ascii="Arial" w:cs="Arial" w:eastAsia="Arial" w:hAnsi="Arial"/>
                <w:sz w:val="18"/>
                <w:szCs w:val="18"/>
                <w:color w:val="auto"/>
              </w:rPr>
              <w:t>Expected volatility</w:t>
            </w:r>
          </w:p>
        </w:tc>
        <w:tc>
          <w:tcPr>
            <w:tcW w:w="9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89.8 %</w:t>
            </w:r>
          </w:p>
        </w:tc>
        <w:tc>
          <w:tcPr>
            <w:tcW w:w="98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9"/>
              </w:rPr>
              <w:t>84.1 %</w:t>
            </w:r>
          </w:p>
        </w:tc>
      </w:tr>
      <w:tr>
        <w:trPr>
          <w:trHeight w:val="250"/>
        </w:trPr>
        <w:tc>
          <w:tcPr>
            <w:tcW w:w="5920" w:type="dxa"/>
            <w:vAlign w:val="bottom"/>
          </w:tcPr>
          <w:p>
            <w:pPr>
              <w:spacing w:after="0"/>
              <w:rPr>
                <w:sz w:val="20"/>
                <w:szCs w:val="20"/>
                <w:color w:val="auto"/>
              </w:rPr>
            </w:pPr>
            <w:r>
              <w:rPr>
                <w:rFonts w:ascii="Arial" w:cs="Arial" w:eastAsia="Arial" w:hAnsi="Arial"/>
                <w:sz w:val="18"/>
                <w:szCs w:val="18"/>
                <w:color w:val="auto"/>
              </w:rPr>
              <w:t>Dividend yield</w:t>
            </w:r>
          </w:p>
        </w:tc>
        <w:tc>
          <w:tcPr>
            <w:tcW w:w="9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98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grant date fair value</w:t>
            </w:r>
          </w:p>
        </w:tc>
        <w:tc>
          <w:tcPr>
            <w:tcW w:w="92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7.80</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-770890</wp:posOffset>
            </wp:positionV>
            <wp:extent cx="5700395"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-462280</wp:posOffset>
            </wp:positionV>
            <wp:extent cx="5700395"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On October 1, 2023, our Board approved and adopted a Rights Agreement, ("Rights Agreement") by and between us and Computershare, Inc., as Rights Agent (as defined in the Rights Agreement). Pursuant to the Rights Agreement, the Board declared a dividend of one preferred share purchase right (each a "Right") for each outstanding share of our common stock, par value $0.00000002 (each a "Common Share" and collectively, the "Common Shares"). The Rights are distributable to stockholders of record as of the close of business on October 12, 2023. One Right also will be issued together with each Common Share issued by the Company after October 12, 2023, but before the Distribution Date, as defined in the Rights Agreement, (or the earlier of the redemption or expiration of the Rights) and, in certain circumstances, after the Distribution Date.</w:t>
      </w:r>
    </w:p>
    <w:p>
      <w:pPr>
        <w:spacing w:after="0" w:line="70"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As more fully described in Note 1. Description of Business and Basis of Presentation, we announced a Cooperation Agreement (“Cooperation Agreement”) with Anson Funds and Cable Car Capital effective as of October 31, 2023. On November 6, 2023, pursuant to the Cooperation Agreement, the Board declared a special cash dividend of $1.75 per share of common stock, payable on December 6, 2023, to stockholders of record at the close of business on November 17, 2023.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This Quarterly Report on Form 10-Q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the future financial position, business strategy and plans and objectives of management for future operations, are forward-looking statements. The words “believe,” “may,” “will,” “estimate,” “continue,” “anticipate,” “intend,” “should,” “plan,” “expect,” and similar expressions, as they relate to us, are intended to identify forward-looking statements. We have based these forward-looking statements largely on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without limitation, those described in “Risk Factors” in our 2023 Annual Report on Form 10-K ("2023 Annual Report"), as filed with the Securities and Exchange Commission on September 26, 2023. Set forth below is a summary of the principal risks we face: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common stock. Set forth below is a summary of the principal risks we face:</w:t>
      </w:r>
    </w:p>
    <w:p>
      <w:pPr>
        <w:spacing w:after="0" w:line="278"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currently operating in a period of capital markets disruption and economic uncertainty;</w:t>
      </w:r>
    </w:p>
    <w:p>
      <w:pPr>
        <w:spacing w:after="0" w:line="117" w:lineRule="exact"/>
        <w:rPr>
          <w:rFonts w:ascii="Arial" w:cs="Arial" w:eastAsia="Arial" w:hAnsi="Arial"/>
          <w:sz w:val="18"/>
          <w:szCs w:val="18"/>
          <w:color w:val="auto"/>
        </w:rPr>
      </w:pPr>
    </w:p>
    <w:p>
      <w:pPr>
        <w:ind w:left="1020" w:right="340" w:hanging="503"/>
        <w:spacing w:after="0" w:line="26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need substantial additional funds to progress the clinical trial programs for our drug candidates, to commercialize our drug candidates and to develop new compounds. The actual amount of funds we will need will be determined by a number of factors, some of which are beyond our control;</w:t>
      </w:r>
    </w:p>
    <w:p>
      <w:pPr>
        <w:spacing w:after="0" w:line="75"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required to seek additional capital through marketing and distribution arrangements or other collaborations, strategic alliances or licensing arrangements with third parties at terms which maybe unfavorable to us;</w:t>
      </w:r>
    </w:p>
    <w:p>
      <w:pPr>
        <w:spacing w:after="0" w:line="62"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a clinical-stage pharmaceutical company focused on developing potential new therapies for cancer and are likely to incur operating losses for the foreseeable future;</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results of pre-clinical studies and completed clinical trials are not necessarily predictive of future results, and our current drug candidates may not have favorable results in later studies or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drug candidate manufacturing or formulation may result in additional costs or delay;</w:t>
      </w:r>
    </w:p>
    <w:p>
      <w:pPr>
        <w:spacing w:after="0" w:line="117" w:lineRule="exact"/>
        <w:rPr>
          <w:rFonts w:ascii="Arial" w:cs="Arial" w:eastAsia="Arial" w:hAnsi="Arial"/>
          <w:sz w:val="18"/>
          <w:szCs w:val="18"/>
          <w:color w:val="auto"/>
        </w:rPr>
      </w:pPr>
    </w:p>
    <w:p>
      <w:pPr>
        <w:jc w:val="both"/>
        <w:ind w:left="1020" w:right="100" w:hanging="503"/>
        <w:spacing w:after="0" w:line="26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third parties with whom we collaborate on the development and commercialization of our drug candidates do not satisfy their obligations, do not otherwise pursue development or commercialization of our drug candidates or if they terminate their agreements with us, we may not be able to develop or commercialize our drug candidates;</w:t>
      </w:r>
    </w:p>
    <w:p>
      <w:pPr>
        <w:spacing w:after="0" w:line="75" w:lineRule="exact"/>
        <w:rPr>
          <w:rFonts w:ascii="Arial" w:cs="Arial" w:eastAsia="Arial" w:hAnsi="Arial"/>
          <w:sz w:val="18"/>
          <w:szCs w:val="18"/>
          <w:color w:val="auto"/>
        </w:rPr>
      </w:pPr>
    </w:p>
    <w:p>
      <w:pPr>
        <w:ind w:left="1020" w:right="160" w:hanging="503"/>
        <w:spacing w:after="0" w:line="25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significant obligations to Presage in connection with our license of voruciclib, and we may become subject to significant obligations in connection with future licenses we obtain, which could adversely affect the overall profitability of any products we may seek to commercialize, and such licenses of drug candidates, the development and commercialization for which we are solely responsible, may never become profitable;</w:t>
      </w:r>
    </w:p>
    <w:p>
      <w:pPr>
        <w:spacing w:after="0" w:line="78"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strategy may include entry into additional collaborative or license agreements. We may not be able to enter into collaborative or license agreements or may not be able to negotiate commercially acceptable terms for these agreements;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Final approval by regulatory authorities of our drug candidates for commercial use may be delayed, limited or prevented, any of which would adversely affect our ability to generate operating revenues;</w:t>
      </w:r>
    </w:p>
    <w:p>
      <w:pPr>
        <w:spacing w:after="0" w:line="62" w:lineRule="exact"/>
        <w:rPr>
          <w:rFonts w:ascii="Arial" w:cs="Arial" w:eastAsia="Arial" w:hAnsi="Arial"/>
          <w:sz w:val="18"/>
          <w:szCs w:val="18"/>
          <w:color w:val="auto"/>
        </w:rPr>
      </w:pPr>
    </w:p>
    <w:p>
      <w:pPr>
        <w:ind w:left="1020" w:right="86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determine that our drug candidates have undesirable side effects that could delay or prevent regulatory approval or commercialization;</w:t>
      </w:r>
    </w:p>
    <w:p>
      <w:pPr>
        <w:spacing w:after="0" w:line="62"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completion of clinical trials and receipt of necessary regulatory approvals could be delayed or prevented;</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funding for the FDA and other government agencies or future government shutdowns could cause delays in the submission and regulatory review of marketing applications, which could negatively impact our business or prospects;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obtain regulatory approval in foreign jurisdictions would prevent us from marketing our products internationally;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left="1020" w:hanging="503"/>
        <w:spacing w:after="0" w:line="26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designation granted by the FDA for any of our product candidates may not lead to a faster development or regulatory review or approval process, and does not increase the likelihood that our product candidates will receive marketing approval. We may also not be able to obtain or maintain any such designation;</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orphan drug designations we receive may not confer marketing exclusivity or other benefits;</w:t>
      </w:r>
    </w:p>
    <w:p>
      <w:pPr>
        <w:spacing w:after="0" w:line="117"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Even if we or our licensees receive regulatory approval to commercialize our drug candidates, our ability to generate revenues from any resulting products will be subject to a variety of risks, many of which are out of our control;</w:t>
      </w:r>
    </w:p>
    <w:p>
      <w:pPr>
        <w:spacing w:after="0" w:line="62"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any products we develop become subject to unfavorable pricing regulations, third party reimbursement practices or healthcare reform initiatives, our ability to successfully commercialize our products will be impaired;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drug candidates are subject to ongoing government regulation both before and after regulatory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establish the contractual arrangements necessary to develop, market and distribute our drug candidates;</w:t>
      </w:r>
    </w:p>
    <w:p>
      <w:pPr>
        <w:spacing w:after="0" w:line="117"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commercial opportunity will be reduced or eliminated if competitors develop and market products that are more effective, have fewer side effects or are less expensive than our drug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 candidates may face competition sooner than anticipated;</w:t>
      </w:r>
    </w:p>
    <w:p>
      <w:pPr>
        <w:spacing w:after="0" w:line="117"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and pre-clinical studies. If those parties do not successfully carry out their contractual duties or meet expected deadlines, our drug candidates may not advance in a timely manner or at all;</w:t>
      </w:r>
    </w:p>
    <w:p>
      <w:pPr>
        <w:spacing w:after="0" w:line="62" w:lineRule="exact"/>
        <w:rPr>
          <w:rFonts w:ascii="Arial" w:cs="Arial" w:eastAsia="Arial" w:hAnsi="Arial"/>
          <w:sz w:val="18"/>
          <w:szCs w:val="18"/>
          <w:color w:val="auto"/>
        </w:rPr>
      </w:pPr>
    </w:p>
    <w:p>
      <w:pPr>
        <w:ind w:left="1020" w:right="160" w:hanging="503"/>
        <w:spacing w:after="0" w:line="286"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will depend on third party suppliers and contract manufacturers for the manufacturing of our drug candidates and have no direct control over the cost and timing of manufacturing our drug candidates. Increases in the cost of manufacturing our drug candidates or delays in manufacturing would increase our costs of conducting clinical trials and could adversely affect our future profitability;</w:t>
      </w:r>
    </w:p>
    <w:p>
      <w:pPr>
        <w:spacing w:after="0" w:line="57" w:lineRule="exact"/>
        <w:rPr>
          <w:rFonts w:ascii="Arial" w:cs="Arial" w:eastAsia="Arial" w:hAnsi="Arial"/>
          <w:sz w:val="17"/>
          <w:szCs w:val="17"/>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acquisitions or licenses from third parties to expand our pipeline of drug candidates;</w:t>
      </w:r>
    </w:p>
    <w:p>
      <w:pPr>
        <w:spacing w:after="0" w:line="117"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commercial success is dependent, in part, on obtaining and maintaining patent protection and preserving trade secrets, which cannot be guaranteed;</w:t>
      </w:r>
    </w:p>
    <w:p>
      <w:pPr>
        <w:spacing w:after="0" w:line="62"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Claims by other companies that we infringe on their proprietary technology may result in liability for damages or stop our development and commercialization efforts;</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subject to substantial costs stemming from our defense against third party intellectual property infringement claims;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a risk of product liability claims and claims may exceed our insurance limits;</w:t>
      </w:r>
    </w:p>
    <w:p>
      <w:pPr>
        <w:spacing w:after="0" w:line="117" w:lineRule="exact"/>
        <w:rPr>
          <w:rFonts w:ascii="Arial" w:cs="Arial" w:eastAsia="Arial" w:hAnsi="Arial"/>
          <w:sz w:val="18"/>
          <w:szCs w:val="18"/>
          <w:color w:val="auto"/>
        </w:rPr>
      </w:pPr>
    </w:p>
    <w:p>
      <w:pPr>
        <w:ind w:left="1020" w:right="40" w:hanging="503"/>
        <w:spacing w:after="0" w:line="26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employees, independent contractors, consultants, commercial partners, principal investigators, or clinical contract research organizations ("CROs") may engage in misconduct or other improper activities, including noncompliance with regulatory standards and requirements, which could have a material adverse effect on our business;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and operations would suffer in the event of system failures;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efforts will be seriously jeopardized if we are unable to retain and attract key employees;</w:t>
      </w:r>
    </w:p>
    <w:p>
      <w:pPr>
        <w:spacing w:after="0" w:line="117"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Negative U.S. and global economic conditions may pose challenges to our business strategy, which relies on funding from the financial markets or collaborators;</w:t>
      </w:r>
    </w:p>
    <w:p>
      <w:pPr>
        <w:spacing w:after="0" w:line="62"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Laws, rules and regulations relating to public companies may be costly and impact our ability to attract and retain directors and executive officers;</w:t>
      </w:r>
    </w:p>
    <w:p>
      <w:pPr>
        <w:spacing w:after="0" w:line="62"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Security breaches and other disruptions could compromise our information and expose us to liability, which would cause our business and reputation to suffer;</w:t>
      </w:r>
    </w:p>
    <w:p>
      <w:pPr>
        <w:spacing w:after="0" w:line="62"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left="1020" w:right="62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or the third parties upon whom we depend may be adversely affected by natural disasters and our business continuity and disaster recovery plans may not adequately protect us from a serious disaster;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the tax deductibility of net operating losses could adversely affect our business and financial condition;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could be negatively impacted as a result of actions by activist investors;</w:t>
      </w:r>
    </w:p>
    <w:p>
      <w:pPr>
        <w:spacing w:after="0" w:line="11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trading price of the shares of our common stock has been and may continue to be highly volatile and could decline in value and we may incur significant costs from class action litigation;</w:t>
      </w:r>
    </w:p>
    <w:p>
      <w:pPr>
        <w:spacing w:after="0" w:line="62"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sales of our common stock, including common stock issued upon exercise of outstanding warrants or options, may depress the market price of our common stock and cause stockholders to experience dilution;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have broad discretion over the use of the net proceeds from any exercise of outstanding warrants and options;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authorized to issue blank check preferred stock, which could adversely affect the holders of our common stock;</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Anti-takeover provisions contained in our amended and restated certificate of incorporation and fifth amended and restated bylaws, as well as provisions of Delaware law, could impair a takeover attempt;</w:t>
      </w:r>
    </w:p>
    <w:p>
      <w:pPr>
        <w:spacing w:after="0" w:line="62" w:lineRule="exact"/>
        <w:rPr>
          <w:rFonts w:ascii="Arial" w:cs="Arial" w:eastAsia="Arial" w:hAnsi="Arial"/>
          <w:sz w:val="18"/>
          <w:szCs w:val="18"/>
          <w:color w:val="auto"/>
        </w:rPr>
      </w:pPr>
    </w:p>
    <w:p>
      <w:pPr>
        <w:ind w:left="1020" w:right="100" w:hanging="503"/>
        <w:spacing w:after="0" w:line="25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fifth amended and restated bylaws require,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 and</w:t>
      </w:r>
    </w:p>
    <w:p>
      <w:pPr>
        <w:spacing w:after="0" w:line="79"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executive officers and directors may sell shares of their stock, and these sales could adversely affect our stock price.</w:t>
      </w:r>
    </w:p>
    <w:p>
      <w:pPr>
        <w:spacing w:after="0" w:line="225"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These risks are not exhaustive. Other sections of this report and our other filings with the Securities and Exchange Commission ("SEC") include additional factors which could adversely impact our business and financial performance. Moreover, we operate in a very competitive and rapidly changing environment. 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Past performance may not be an indicator of future results. The following discussion is qualified in its entirety by, and should be read in conjunction with, the more detailed information set forth in the condensed consolidated financial statements and the notes thereto appearing elsewhere in this Quarterly Report and the audited financial statements and notes thereto included in our 2023 Annual Report, as filed with the SEC. Operating results are not necessarily indicative of results that may occur in future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509"/>
        <w:spacing w:after="0" w:line="293" w:lineRule="auto"/>
        <w:rPr>
          <w:sz w:val="20"/>
          <w:szCs w:val="20"/>
          <w:color w:val="auto"/>
        </w:rPr>
      </w:pPr>
      <w:r>
        <w:rPr>
          <w:rFonts w:ascii="Arial" w:cs="Arial" w:eastAsia="Arial" w:hAnsi="Arial"/>
          <w:sz w:val="16"/>
          <w:szCs w:val="16"/>
          <w:color w:val="auto"/>
        </w:rPr>
        <w:t>MEI Pharma, Inc. (Nasdaq: MEIP) is a clinical-stage pharmaceutical company committed to developing novel and differentiated cancer therapies. We build our pipeline by acquiring promising cancer agents and creating value in programs through clinical development, strategic partnerships, and out-licensing or commercialization, as appropriate. Our approach to oncology drug development is to evaluate our drug candidates in combinations with standard-of-care therapies to overcome known resistance mechanisms and address clear medical needs to provide improved patient benefit. The drug candidate pipeline includes voruciclib, an oral cyclin-dependent kinase 9 ("CDK9") inhibitor, and ME-344, an intravenous small molecule mitochondrial inhibitor targeting the oxidative phosphorylation pathway. Our common stock is listed on the Nasdaq Capital Market under the symbol “MEIP.”</w:t>
      </w:r>
    </w:p>
    <w:p>
      <w:pPr>
        <w:spacing w:after="0" w:line="56"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Following our announcement in December 2022 to realign our clinical development efforts to focus on our two clinical assets, voruciclib and ME-344 that are currently in Phase 1 and Phase 1b clinical programs, respectively, we initiated a staggered workforce reduction to streamline our operations that has resulted in a 61% reduction in full-time employees since our announcement. We believe our cash is sufficient to fund operations for at least 12 months and through the reporting of clinical data readouts from the ongoing and planned voruciclib and ME-344 Phase 1 and Phase 1b clinical programs, respectively.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On October 31, 2023, we announced a Cooperation Agreement (“Cooperation Agreement”) with Anson Funds ("Anson") and Cable Car Capital ("Cable Car") of which contained the following key terms:</w:t>
      </w:r>
    </w:p>
    <w:p>
      <w:pPr>
        <w:spacing w:after="0" w:line="62" w:lineRule="exact"/>
        <w:rPr>
          <w:sz w:val="20"/>
          <w:szCs w:val="20"/>
          <w:color w:val="auto"/>
        </w:rPr>
      </w:pPr>
    </w:p>
    <w:p>
      <w:pPr>
        <w:ind w:left="1020" w:right="20" w:hanging="503"/>
        <w:spacing w:after="0" w:line="293"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Capital Return to Stockholders: Payment of a dividend in the amount of $1.75 per share of common stock to all stockholders. Additionally, a second return of capital of approximately $9.33 million in the aggregate will be authorized by the board of directors ("Board") should our ongoing ME-344 phase 1b trial fail to meet certain endpoints or our Board determines not to proceed with a second cohort, both as further described in the Cooperation Agreement. The second return of capital may take the form of a dividend or tender offer and is subject to Board approval as well as modification associated with applicable requirements under Delaware law, both as detailed in the Cooperation Agreement. The $1.75 dividend is anticipated to be distributed during the second quarter of fiscal year 2024.</w:t>
      </w:r>
    </w:p>
    <w:p>
      <w:pPr>
        <w:spacing w:after="0" w:line="56" w:lineRule="exact"/>
        <w:rPr>
          <w:rFonts w:ascii="Arial" w:cs="Arial" w:eastAsia="Arial" w:hAnsi="Arial"/>
          <w:sz w:val="16"/>
          <w:szCs w:val="16"/>
          <w:color w:val="auto"/>
        </w:rPr>
      </w:pPr>
    </w:p>
    <w:p>
      <w:pPr>
        <w:ind w:left="1020" w:right="44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Three of our current directors resigned from the Board concurrently with the execution of the Cooperation Agreement and will not seek reelection at the 2024 Annual Meeting of Stockholders ("2024 Annual Meeting").</w:t>
      </w:r>
    </w:p>
    <w:p>
      <w:pPr>
        <w:spacing w:after="0" w:line="62" w:lineRule="exact"/>
        <w:rPr>
          <w:rFonts w:ascii="Arial" w:cs="Arial" w:eastAsia="Arial" w:hAnsi="Arial"/>
          <w:sz w:val="18"/>
          <w:szCs w:val="18"/>
          <w:color w:val="auto"/>
        </w:rPr>
      </w:pPr>
    </w:p>
    <w:p>
      <w:pPr>
        <w:ind w:left="1020" w:right="140" w:hanging="503"/>
        <w:spacing w:after="0" w:line="259"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Stockholder Designees Added to the Board: The appointment of two directors designated by Anson and Cable Car, with an additional director appointment mutually agreed upon by us and Anson and Cable Car. These appointments were effective immediately and the new directors will be nominated for election by us in connection with our upcoming fiscal 2024 Annual Meeting to serve for a three-year term if elected.</w:t>
      </w:r>
    </w:p>
    <w:p>
      <w:pPr>
        <w:spacing w:after="0" w:line="78" w:lineRule="exact"/>
        <w:rPr>
          <w:rFonts w:ascii="Arial" w:cs="Arial" w:eastAsia="Arial" w:hAnsi="Arial"/>
          <w:sz w:val="18"/>
          <w:szCs w:val="18"/>
          <w:color w:val="auto"/>
        </w:rPr>
      </w:pPr>
    </w:p>
    <w:p>
      <w:pPr>
        <w:ind w:left="1020" w:right="160" w:hanging="503"/>
        <w:spacing w:after="0" w:line="259"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Formation of a Capital Allocation Committee: The formation of a Capital Allocation Committee, comprising of five directors including the three new directors. The Capital Allocation Committee will advise the Board on the strategic allocation of capital to support (i) the development of our drug candidate programs and (ii) other value creation or preservation measures, with a view toward maximizing stockholder value.</w:t>
      </w:r>
    </w:p>
    <w:p>
      <w:pPr>
        <w:spacing w:after="0" w:line="79" w:lineRule="exact"/>
        <w:rPr>
          <w:sz w:val="20"/>
          <w:szCs w:val="20"/>
          <w:color w:val="auto"/>
        </w:rPr>
      </w:pPr>
    </w:p>
    <w:p>
      <w:pPr>
        <w:ind w:right="400" w:firstLine="509"/>
        <w:spacing w:after="0" w:line="311" w:lineRule="auto"/>
        <w:rPr>
          <w:sz w:val="20"/>
          <w:szCs w:val="20"/>
          <w:color w:val="auto"/>
        </w:rPr>
      </w:pPr>
      <w:r>
        <w:rPr>
          <w:rFonts w:ascii="Arial" w:cs="Arial" w:eastAsia="Arial" w:hAnsi="Arial"/>
          <w:sz w:val="16"/>
          <w:szCs w:val="16"/>
          <w:color w:val="auto"/>
        </w:rPr>
        <w:t>As part of the Cooperation Agreement, Anson and Cable Car withdrew their consent solicitation and agreed to abide by customary standstill provisions. Additionally, we will reimburse Anson and Cable Car’s fees and expenses related to their engagement with us to date, in an amount not to exceed $1.2 million. As of September 30, 2023, no amounts were expensed or accrued in connection with the Cooperation Agreement.</w:t>
      </w:r>
    </w:p>
    <w:p>
      <w:pPr>
        <w:spacing w:after="0" w:line="41"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On November 6, 2023, we announced that pursuant to the Cooperation Agreement, the Board declared a special cash dividend of $1.75 per share of common stock, payable on December 6, 2023, to stockholders of record at the close of business on November 17,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12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Our clinical-stage drug candidate pipeline includes voruciclib, an oral CDK9 inhibitor, and ME-344, an intravenous small molecule mitochondrial inhibitor targeting the oxidative phosphorylation pathway in the mitochondria.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117475</wp:posOffset>
            </wp:positionV>
            <wp:extent cx="6172200" cy="17316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7220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Voruciclib: Potent Orally Administered CDK9 Inhibitor in Phase 1 Studies</w:t>
      </w:r>
    </w:p>
    <w:p>
      <w:pPr>
        <w:spacing w:after="0" w:line="117"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Voruciclib is a potent and selective orally administered CDK9 inhibitor. Voruciclib is being studied in a Phase 1 trial evaluating dose and schedule in patients with acute myeloid leukemia (“AML”) and B-cell malignancies as a single-agent, and in combination with the B-cell lymphoma 2 (“BCL2”) inhibitor venetoclax (marketed as Venclexta®) in patients with AML. Voruciclib is also being evaluated in pre-clinical studies to explore potential activity in various solid tumor cancers including in combination with therapies that target the RAS signaling pathway, such as KRAS inhibitors.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231F20"/>
        </w:rPr>
        <w:t>Voruciclib Scientific Overview: Cell Cycle Signaling</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CDK9 has important functions in cell cycle regulation, including the modulation of two therapeutic targets in cancer:</w:t>
      </w:r>
    </w:p>
    <w:p>
      <w:pPr>
        <w:spacing w:after="0" w:line="117" w:lineRule="exact"/>
        <w:rPr>
          <w:sz w:val="20"/>
          <w:szCs w:val="20"/>
          <w:color w:val="auto"/>
        </w:rPr>
      </w:pPr>
    </w:p>
    <w:p>
      <w:pPr>
        <w:ind w:left="1020" w:right="80" w:hanging="503"/>
        <w:spacing w:after="0" w:line="311" w:lineRule="auto"/>
        <w:tabs>
          <w:tab w:leader="none" w:pos="1020" w:val="left"/>
        </w:tabs>
        <w:numPr>
          <w:ilvl w:val="0"/>
          <w:numId w:val="10"/>
        </w:numPr>
        <w:rPr>
          <w:rFonts w:ascii="Arial" w:cs="Arial" w:eastAsia="Arial" w:hAnsi="Arial"/>
          <w:sz w:val="16"/>
          <w:szCs w:val="16"/>
          <w:color w:val="231F20"/>
        </w:rPr>
      </w:pPr>
      <w:r>
        <w:rPr>
          <w:rFonts w:ascii="Arial" w:cs="Arial" w:eastAsia="Arial" w:hAnsi="Arial"/>
          <w:sz w:val="16"/>
          <w:szCs w:val="16"/>
          <w:color w:val="231F20"/>
        </w:rPr>
        <w:t>CDK9 is a transcriptional regulator of the myeloid leukemia cell differentiation protein (“MCL1”), a member of the family of anti-apoptotic proteins which, when elevated, may prevent the cell from undergoing cell death and result in poor prognosis in cancer. Inhibition of CDK9 blocks the production of MCL1, which is also an established resistance mechanism to the BCL2 inhibitor venetoclax.</w:t>
      </w:r>
    </w:p>
    <w:p>
      <w:pPr>
        <w:spacing w:after="0" w:line="40" w:lineRule="exact"/>
        <w:rPr>
          <w:rFonts w:ascii="Arial" w:cs="Arial" w:eastAsia="Arial" w:hAnsi="Arial"/>
          <w:sz w:val="16"/>
          <w:szCs w:val="16"/>
          <w:color w:val="231F20"/>
        </w:rPr>
      </w:pPr>
    </w:p>
    <w:p>
      <w:pPr>
        <w:ind w:left="1020" w:right="140" w:hanging="503"/>
        <w:spacing w:after="0" w:line="259" w:lineRule="auto"/>
        <w:tabs>
          <w:tab w:leader="none" w:pos="10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CDK9 is a transcriptional regulator of the MYC proto-oncogene protein (“MYC”) which regulates cell proliferation and growth. Up regulation of MYC is implicated in many human cancers and is frequently associated with poor prognosis and unfavorable patient survival. CDK9, in addition to being a transcription factor for MYC, also decreases phosphorylation of MYC protein that is implicated in stabilizing MYC in KRAS mutant cancers.</w:t>
      </w:r>
    </w:p>
    <w:p>
      <w:pPr>
        <w:spacing w:after="0" w:line="79" w:lineRule="exact"/>
        <w:rPr>
          <w:sz w:val="20"/>
          <w:szCs w:val="20"/>
          <w:color w:val="auto"/>
        </w:rPr>
      </w:pPr>
    </w:p>
    <w:p>
      <w:pPr>
        <w:ind w:right="680" w:firstLine="509"/>
        <w:spacing w:after="0" w:line="375" w:lineRule="auto"/>
        <w:rPr>
          <w:sz w:val="20"/>
          <w:szCs w:val="20"/>
          <w:color w:val="auto"/>
        </w:rPr>
      </w:pPr>
      <w:r>
        <w:rPr>
          <w:rFonts w:ascii="Arial" w:cs="Arial" w:eastAsia="Arial" w:hAnsi="Arial"/>
          <w:sz w:val="18"/>
          <w:szCs w:val="18"/>
          <w:color w:val="231F20"/>
        </w:rPr>
        <w:t xml:space="preserve">Directly inhibiting MCL1 and MYC has historically been difficult, but CDK9 is a promising approach to indirectly target these oncogenes. </w:t>
      </w:r>
      <w:r>
        <w:rPr>
          <w:rFonts w:ascii="Arial" w:cs="Arial" w:eastAsia="Arial" w:hAnsi="Arial"/>
          <w:sz w:val="18"/>
          <w:szCs w:val="18"/>
          <w:i w:val="1"/>
          <w:iCs w:val="1"/>
          <w:color w:val="231F20"/>
        </w:rPr>
        <w:t>Voruciclib: Inhibition of MCL1</w:t>
      </w:r>
    </w:p>
    <w:p>
      <w:pPr>
        <w:spacing w:after="0" w:line="1" w:lineRule="exact"/>
        <w:rPr>
          <w:sz w:val="20"/>
          <w:szCs w:val="20"/>
          <w:color w:val="auto"/>
        </w:rPr>
      </w:pPr>
    </w:p>
    <w:p>
      <w:pPr>
        <w:ind w:right="240" w:firstLine="509"/>
        <w:spacing w:after="0" w:line="342" w:lineRule="auto"/>
        <w:rPr>
          <w:sz w:val="20"/>
          <w:szCs w:val="20"/>
          <w:color w:val="auto"/>
        </w:rPr>
      </w:pPr>
      <w:r>
        <w:rPr>
          <w:rFonts w:ascii="Arial" w:cs="Arial" w:eastAsia="Arial" w:hAnsi="Arial"/>
          <w:sz w:val="16"/>
          <w:szCs w:val="16"/>
          <w:color w:val="231F20"/>
        </w:rPr>
        <w:t>Over expression of MCL1 is frequently observed in many tumor types and is closely associated with tumorigenesis, poor prognosis and drug resistance. Further, up regulation of MCL1 is understood to play a role in resistance to venetoclax. CDK9 is a known transcriptional regulator of MCL1.</w:t>
      </w:r>
    </w:p>
    <w:p>
      <w:pPr>
        <w:spacing w:after="0" w:line="16"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231F20"/>
        </w:rPr>
        <w:t>In pre-clinical studies voruciclib shows dose-dependent suppression of MCL1; in December 2017, a study of voruciclib published in the journal Nature Scientific Reports reported that the combination of voruciclib plus the BCL-2 inhibitor venetoclax was capable of inhibiting two master regulators of cell survival, MCL-1 and BCL-2, and achieved synergistic antitumor effect in an aggressive subset of DLBCL cells.</w:t>
      </w:r>
    </w:p>
    <w:p>
      <w:pPr>
        <w:spacing w:after="0" w:line="57"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231F20"/>
        </w:rPr>
        <w:t>In a peer reviewed manuscript published in 2020, it was reported that the inhibition of CDK9 by voruciclib synergistically enhances cell death induced by the BCL-2 inhibitor venetoclax in preclinical models of AML. The data demonstrated that voruciclib synergizes with venetoclax to induce programmed cell death, or apoptosis, in both AML cell lines and primary patient samples. It was also demonstrated that voruciclib downregulates MCL1, which is relevant for the synergy between voruciclib and venetoclax, and further that voruciclib downregulates MYC, which also contributes to the synergies with venetoclax.</w:t>
      </w:r>
    </w:p>
    <w:p>
      <w:pPr>
        <w:spacing w:after="0" w:line="80"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231F20"/>
        </w:rPr>
        <w:t>The research suggests that voruciclib is potentially an attractive therapeutic agent for treating cancers in combination with venetoclax or other BCL-2 inhibitors, to address potential resistance associated with MCL1, and is supportive of our ongoing clinical evaluation of voruciclib in B-cell malignancies and AML.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Voruciclib: Inhibition of MYC</w:t>
      </w:r>
    </w:p>
    <w:p>
      <w:pPr>
        <w:spacing w:after="0" w:line="117" w:lineRule="exact"/>
        <w:rPr>
          <w:sz w:val="20"/>
          <w:szCs w:val="20"/>
          <w:color w:val="auto"/>
        </w:rPr>
      </w:pPr>
    </w:p>
    <w:p>
      <w:pPr>
        <w:jc w:val="both"/>
        <w:ind w:right="580" w:firstLine="509"/>
        <w:spacing w:after="0" w:line="263" w:lineRule="auto"/>
        <w:rPr>
          <w:sz w:val="20"/>
          <w:szCs w:val="20"/>
          <w:color w:val="auto"/>
        </w:rPr>
      </w:pPr>
      <w:r>
        <w:rPr>
          <w:rFonts w:ascii="Arial" w:cs="Arial" w:eastAsia="Arial" w:hAnsi="Arial"/>
          <w:sz w:val="18"/>
          <w:szCs w:val="18"/>
          <w:color w:val="231F20"/>
        </w:rPr>
        <w:t>Many cancers are associated with over expression of MYC, a transcription factor regulating cell proliferation and growth. CDK9 is a known regulator of MYC transcription and a modulator of MYC protein phosphorylation. Data reported at the American Association for Cancer Research (“AACR”) Annual Meeting 2021 in preclinical models demonstrated that voruciclib:</w:t>
      </w:r>
    </w:p>
    <w:p>
      <w:pPr>
        <w:spacing w:after="0" w:line="76"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Results in a rapid decrease in the phosphorylation of proteins that promote MYC transcription;</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Rapidly decreases phosphorylation of MYC protein on Ser62, a site implicated in stabilizing MYC in KRAS mutant cancers;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Possesses single agent activity against multiple KRAS mutant cancer cell lines both in vitro and in vivo; and</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Synergistically inhibits KRAS G12C mutant cancer cell lines in combination with KRAS G12C inhibitors, both in vitro and in vivo.</w:t>
      </w:r>
    </w:p>
    <w:p>
      <w:pPr>
        <w:spacing w:after="0" w:line="117"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231F20"/>
        </w:rPr>
        <w:t>The research presented suggests that voruciclib could be an attractive therapeutic agent for both hematological cancers, as well as solid tumors, dependent on the activity of MYC.</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231F20"/>
        </w:rPr>
        <w:t>Clinical Programs</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231F20"/>
        </w:rPr>
        <w:t xml:space="preserve">We are evaluating patients with hematological malignancies in a Phase 1 clinical trial evaluating the dose and schedule of voruciclib. The trial started with the evaluation of dose and schedule of voruciclib as a monotherapy in patients with relapsed and refractory B-cell malignancies and AML after failure of prior standard therapies to determine the safety, preliminary efficacy and maximum tolerated dose. After completing the monotherapy dose escalation stage of the study, we are now evaluating the dose and schedule of voruciclib in combination with venetoclax, a BCL-2 inhibitor, initially in patients with AML. The primary goal of the Phase 1 study is to assess the safety, and possible synergies, of voruciclib administered in combination with venetoclax. </w:t>
      </w:r>
      <w:r>
        <w:rPr>
          <w:rFonts w:ascii="Arial" w:cs="Arial" w:eastAsia="Arial" w:hAnsi="Arial"/>
          <w:sz w:val="17"/>
          <w:szCs w:val="17"/>
          <w:color w:val="000000"/>
        </w:rPr>
        <w:t>Clinical data is expected to be reported from the voruciclib Phase 1 study early in calendar 2024.</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54"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231F20"/>
        </w:rPr>
        <w:t>As we reported in May 2023, the voruciclib monotherapy dose escalation/expansion stage of the study, which enrolled 40 patients with relapsed and refractory (“R/R”) AML and B-cell malignancies, is complete. Of the 40 patients enrolled, the first 16 were dosed daily continuously at 50 and 100 mg and the following 24 were dosed on an intermittent schedule (14 consecutive days on therapy in a 28-day cycle) at 100, 150 and 200 mg. All patients were heavily pre-treated with a median of 3 prior therapies (range 1-8). The most common (≥5% of all patients) adverse events related to voruciclib were diarrhea (15%), nausea (10%) and fatigue (7.5%), all graded 1 or 2. On the intermittent dosing schedule selected for further development, no dose-limiting toxicities (DLT) were observed, there were no grade three or higher drug related toxicities, and dose escalation was stopped at 200 mg before reaching the maximum tolerated dose because plasma concentrations reached levels considered sufficient for target inhibition. Of the 10 AML patients treated at the highest dose evaluated, 200 mg daily on the intermittent schedule, the disease control rate among these patients was 50%, with a median duration on therapy of 72 days (range 27-127) at the time of evaluation.</w:t>
      </w:r>
    </w:p>
    <w:p>
      <w:pPr>
        <w:spacing w:after="0" w:line="73"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231F20"/>
        </w:rPr>
        <w:t>As further reported in our May 2023 update, the second stage of the study evaluating the combination of voruciclib and venetoclax in patients with R/R AML is ongoing. The first cohort in the dose escalation stage enrolled 6 patients administered 50 mg of voruciclib every other day for 14 days followed by 14 days without any therapy in a 28-day cycle, plus standard dose venetoclax. All patients were heavily pre-treated with a median of three prior therapies. Notably, all patients previously progressed after receiving treatment with venetoclax. No DLTs or overlapping bone marrow toxicities were observed. The disease control rate was 50%, including one patient who received five prior therapies including stem cell transplant and who achieved a partial response after the 1st cycle of therapy and a 2nd patient with stable disease and a reduction in transfusion requirement. Subsequently, the study Safety Review Committee has cleared enrollment in the three dose levels: 50 mg, 100 mg, 150 mg and 200 mg administered daily for 14 consecutive days followed by 14 days without any therapy in a 28-day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6172200" cy="27000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7220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231F20"/>
        </w:rPr>
        <w:t>Voruciclib was also previously evaluated in more than 70 patients with solid tumors in multiple Phase 1 studies. The totality of the clinical data, along with data from pre-clinical studies, suggests voruciclib’s ability to inhibit its molecular target at a projected dose as low as 150 mg daily. In one clinical study, voruciclib was evaluated in combination with vemurafenib (marketed as Zelboraf®) in nine patients with BRAF mutated advanced/ inoperable malignant melanoma. All three BRAF/MEK naive patients achieved a response: two partial responses and one complete response. In this study voruciclib was dosed at 150 mg daily plus vemurafenib 720 mg or 960 mg twice daily in 28-day cycles. The most common adverse events were fatigue, constipation, diarrhea, arthralgia and headache. One instance of grade 3 fatigue was dose limiting and no serious adverse events related to voruciclib were reported. Other clinical studies evaluated voruciclib at doses up to 850 mg in patients with solid tumors, demonstrating additional evidence of potential biologic activity and an adverse event profile generally consistent with other drugs in its class.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ME-344: Clinical-stage Mitochondrial Inhibitor with Combinatorial Potential</w:t>
      </w:r>
    </w:p>
    <w:p>
      <w:pPr>
        <w:spacing w:after="0" w:line="117"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ME-344 is a novel mitochondrial inhibitor drug candidate that demonstrates tumor selective activity in pre-clinical studies. It targets the OXPHOS pathway involved in the production of adenosine triphosphate, or ATP. By disrupting the production of ATP, the main source of energy for cells, ME-344 has been shown pre-clinically to induce cancer cell death through the induction of DNA fragmentation and through a process known as autophagy, whereby a cell consumes itself. ME-344 has also demonstrated evidence of antitumor activity in preclinical and clinical studies.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ME-344 Scientific Overview: Cancer Metabolism</w:t>
      </w:r>
    </w:p>
    <w:p>
      <w:pPr>
        <w:spacing w:after="0" w:line="117"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 xml:space="preserve">Energy supplied in the form of ATP fuels tumor metabolism supporting cell division and growth. Accordingly, </w:t>
      </w:r>
      <w:r>
        <w:rPr>
          <w:rFonts w:ascii="Arial" w:cs="Arial" w:eastAsia="Arial" w:hAnsi="Arial"/>
          <w:sz w:val="17"/>
          <w:szCs w:val="17"/>
          <w:color w:val="231F20"/>
        </w:rPr>
        <w:t>tumor cells often display a high</w:t>
      </w:r>
      <w:r>
        <w:rPr>
          <w:rFonts w:ascii="Arial" w:cs="Arial" w:eastAsia="Arial" w:hAnsi="Arial"/>
          <w:sz w:val="17"/>
          <w:szCs w:val="17"/>
          <w:color w:val="auto"/>
        </w:rPr>
        <w:t xml:space="preserve"> </w:t>
      </w:r>
      <w:r>
        <w:rPr>
          <w:rFonts w:ascii="Arial" w:cs="Arial" w:eastAsia="Arial" w:hAnsi="Arial"/>
          <w:sz w:val="17"/>
          <w:szCs w:val="17"/>
          <w:color w:val="231F20"/>
        </w:rPr>
        <w:t>metabolic rate to support tumor cell survival and proliferation. This heightened metabolism requires a continual supply of energy in the form of ATP. The two major sources of ATP are oxidative phosphorylation in specialized cellular organelles termed mitochondria and through the metabolism of carbohydrates via the glycolysis pathway, which is frequently unregulated in cancer cells in a phenomenon called the Warburg Effect.</w:t>
      </w:r>
    </w:p>
    <w:p>
      <w:pPr>
        <w:spacing w:after="0" w:line="63" w:lineRule="exact"/>
        <w:rPr>
          <w:sz w:val="20"/>
          <w:szCs w:val="20"/>
          <w:color w:val="auto"/>
        </w:rPr>
      </w:pPr>
    </w:p>
    <w:p>
      <w:pPr>
        <w:ind w:right="320" w:firstLine="509"/>
        <w:spacing w:after="0" w:line="279" w:lineRule="auto"/>
        <w:rPr>
          <w:sz w:val="20"/>
          <w:szCs w:val="20"/>
          <w:color w:val="auto"/>
        </w:rPr>
      </w:pPr>
      <w:r>
        <w:rPr>
          <w:rFonts w:ascii="Arial" w:cs="Arial" w:eastAsia="Arial" w:hAnsi="Arial"/>
          <w:sz w:val="17"/>
          <w:szCs w:val="17"/>
          <w:color w:val="231F20"/>
        </w:rPr>
        <w:t>It is understood that anti-angiogenics, like the vascular endothelial growth factor (“VEGF”) inhibitor bevacizumab (marketed as Avastin®), may reduce the rate of glycolysis in tumors. As a result, tumor metabolism may then shift to mitochondria for energy production. In such cases of tumor plasticity in the presence of treatment with anti-angiogenics, contemporaneously targeting the alternative metabolic source by also inhibiting ATP production with the mitochondrial drug inhibitor ME-344 presents an important therapeutic opportunity for clinical evaluation.</w:t>
      </w:r>
    </w:p>
    <w:p>
      <w:pPr>
        <w:spacing w:after="0" w:line="63" w:lineRule="exact"/>
        <w:rPr>
          <w:sz w:val="20"/>
          <w:szCs w:val="20"/>
          <w:color w:val="auto"/>
        </w:rPr>
      </w:pPr>
    </w:p>
    <w:p>
      <w:pPr>
        <w:ind w:firstLine="554"/>
        <w:spacing w:after="0" w:line="259" w:lineRule="auto"/>
        <w:rPr>
          <w:sz w:val="20"/>
          <w:szCs w:val="20"/>
          <w:color w:val="auto"/>
        </w:rPr>
      </w:pPr>
      <w:r>
        <w:rPr>
          <w:rFonts w:ascii="Arial" w:cs="Arial" w:eastAsia="Arial" w:hAnsi="Arial"/>
          <w:sz w:val="18"/>
          <w:szCs w:val="18"/>
          <w:color w:val="auto"/>
        </w:rPr>
        <w:t xml:space="preserve">MEI is pursuing evaluation of ME-344 in combination with VEGF inhibition and obtained preliminary clinical validation of the approach in </w:t>
      </w:r>
      <w:r>
        <w:rPr>
          <w:rFonts w:ascii="Arial" w:cs="Arial" w:eastAsia="Arial" w:hAnsi="Arial"/>
          <w:sz w:val="18"/>
          <w:szCs w:val="18"/>
          <w:color w:val="231F20"/>
        </w:rPr>
        <w:t>a</w:t>
      </w:r>
      <w:r>
        <w:rPr>
          <w:rFonts w:ascii="Arial" w:cs="Arial" w:eastAsia="Arial" w:hAnsi="Arial"/>
          <w:sz w:val="18"/>
          <w:szCs w:val="18"/>
          <w:color w:val="auto"/>
        </w:rPr>
        <w:t xml:space="preserve"> </w:t>
      </w:r>
      <w:r>
        <w:rPr>
          <w:rFonts w:ascii="Arial" w:cs="Arial" w:eastAsia="Arial" w:hAnsi="Arial"/>
          <w:sz w:val="18"/>
          <w:szCs w:val="18"/>
          <w:color w:val="231F20"/>
        </w:rPr>
        <w:t xml:space="preserve">completed investigator-initiated, multi-center, randomized, controlled, window of opportunity clinical trial in combination with bevacizumab that enrolled a total of 42 patients with human epidermal growth factor receptor 2 (“HER2”) negative breast cancer. </w:t>
      </w:r>
      <w:r>
        <w:rPr>
          <w:rFonts w:ascii="Arial" w:cs="Arial" w:eastAsia="Arial" w:hAnsi="Arial"/>
          <w:sz w:val="18"/>
          <w:szCs w:val="18"/>
          <w:color w:val="000000"/>
        </w:rPr>
        <w:t>Additionally, we are currently evaluating the</w:t>
      </w:r>
      <w:r>
        <w:rPr>
          <w:rFonts w:ascii="Arial" w:cs="Arial" w:eastAsia="Arial" w:hAnsi="Arial"/>
          <w:sz w:val="18"/>
          <w:szCs w:val="18"/>
          <w:color w:val="231F20"/>
        </w:rPr>
        <w:t xml:space="preserve"> </w:t>
      </w:r>
      <w:r>
        <w:rPr>
          <w:rFonts w:ascii="Arial" w:cs="Arial" w:eastAsia="Arial" w:hAnsi="Arial"/>
          <w:sz w:val="18"/>
          <w:szCs w:val="18"/>
          <w:color w:val="000000"/>
        </w:rPr>
        <w:t>combination of ME-344 and bevacizumab in patients with metastatic colorectal cancer.</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231F20"/>
        </w:rPr>
        <w:t>Clinical Program</w:t>
      </w:r>
    </w:p>
    <w:p>
      <w:pPr>
        <w:spacing w:after="0" w:line="11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231F20"/>
        </w:rPr>
        <w:t>ME-344 has been evaluated pre-clinically and clinically as a single agent and in combination with anti-angiogenics such as bevacizumab. When evaluated as a single agent, ME-344 demonstrated evidence of activity against refractory solid tumors in a Phase 1b trial, and in pre-clinical studies tumor cells treated with ME-344 resulted in a rapid loss of ATP and cancer cell death. In addition to single agent activity, ME-344 has also demonstrated significant potential in combination with anti-angiogenic therapeutics.</w:t>
      </w:r>
    </w:p>
    <w:p>
      <w:pPr>
        <w:spacing w:after="0" w:line="79" w:lineRule="exact"/>
        <w:rPr>
          <w:sz w:val="20"/>
          <w:szCs w:val="20"/>
          <w:color w:val="auto"/>
        </w:rPr>
      </w:pPr>
    </w:p>
    <w:p>
      <w:pPr>
        <w:ind w:right="200" w:firstLine="554"/>
        <w:spacing w:after="0" w:line="301" w:lineRule="auto"/>
        <w:rPr>
          <w:sz w:val="20"/>
          <w:szCs w:val="20"/>
          <w:color w:val="auto"/>
        </w:rPr>
      </w:pPr>
      <w:r>
        <w:rPr>
          <w:rFonts w:ascii="Arial" w:cs="Arial" w:eastAsia="Arial" w:hAnsi="Arial"/>
          <w:sz w:val="16"/>
          <w:szCs w:val="16"/>
          <w:color w:val="231F20"/>
        </w:rPr>
        <w:t>Pre-clinical studies, have shown that one outcome of anti-angiogenics is a reduced rate of glycolysis in tumors as a mechanism to slow tumor growth. However, when faced with reduced glycolysis and reduced ATP production, tumor metabolism was able to shift to mitochondrial metabolism for energy production to support continued tumor proliferation. In such cases of tumor plasticity in the presence of treatment with anti-angiogenics, contemporaneously targeting the mitochondria as an alternative metabolic source of ATP with ME-344 may open an important therapeutic opportunity.</w:t>
      </w:r>
    </w:p>
    <w:p>
      <w:pPr>
        <w:spacing w:after="0" w:line="49"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231F20"/>
        </w:rPr>
        <w:t>Support for this combinatorial use of ME-344 was first published in the June 2016 edition of Cell Reports; pre-clinical data from a collaboration with the Spanish National Cancer Research Centre in Madrid demonstrated mitochondria-specific effects of ME-344 in cancer cells, including substantially enhanced anti-tumor activity when combined with agents that inhibit the activity of VEGF. These data demonstrating the potential anti-cancer effects of combining ME-344 with a VEGF inhibitor due to an inhibition of both mitochondrial and glycolytic metabolism provided a basis for commencement of an investigator-initiated trial of ME-344 in combination with bevacizumab in HER2 negative breast cancer patients.</w:t>
      </w:r>
    </w:p>
    <w:p>
      <w:pPr>
        <w:spacing w:after="0" w:line="68" w:lineRule="exact"/>
        <w:rPr>
          <w:sz w:val="20"/>
          <w:szCs w:val="20"/>
          <w:color w:val="auto"/>
        </w:rPr>
      </w:pPr>
    </w:p>
    <w:p>
      <w:pPr>
        <w:ind w:right="500" w:firstLine="509"/>
        <w:spacing w:after="0" w:line="263" w:lineRule="auto"/>
        <w:rPr>
          <w:sz w:val="20"/>
          <w:szCs w:val="20"/>
          <w:color w:val="auto"/>
        </w:rPr>
      </w:pPr>
      <w:r>
        <w:rPr>
          <w:rFonts w:ascii="Arial" w:cs="Arial" w:eastAsia="Arial" w:hAnsi="Arial"/>
          <w:sz w:val="18"/>
          <w:szCs w:val="18"/>
          <w:color w:val="231F20"/>
        </w:rPr>
        <w:t>Results published in the November 2019 issue of Clinical Cancer Research from a multi-center, investigator-initiated, randomized, controlled, clinical trial that evaluated the combination of ME-344 and bevacizumab in 42 women with early HER2-negative breast cancer further support the combinatorial use of ME-344 with anti-angiogenic therapeutics.</w:t>
      </w:r>
    </w:p>
    <w:p>
      <w:pPr>
        <w:spacing w:after="0" w:line="76"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231F20"/>
        </w:rPr>
        <w:t>The primary objective of the trial was to show proof of ME-344 biologic activity as measured by reductions in the nuclear protein Ki67 (expression of which is strongly associated with tumor cell proliferation and growth) from days 0 to 28 compared to the control group who received bevacizumab alone. Secondary objectives included determining whether ME-344 biologic activity correlates with vascular normalization. The data demonstrated significant biologic activity in the ME-344 treatment group:</w:t>
      </w:r>
    </w:p>
    <w:p>
      <w:pPr>
        <w:spacing w:after="0" w:line="79" w:lineRule="exact"/>
        <w:rPr>
          <w:sz w:val="20"/>
          <w:szCs w:val="20"/>
          <w:color w:val="auto"/>
        </w:rPr>
      </w:pPr>
    </w:p>
    <w:p>
      <w:pPr>
        <w:ind w:left="1020" w:right="100" w:hanging="503"/>
        <w:spacing w:after="0" w:line="277" w:lineRule="auto"/>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In ME-344 treated patients, mean absolute Ki67 decreases were 13.3 compared to an increase of 1.1 in the bevacizumab monotherapy group (P=0.01).</w:t>
      </w:r>
    </w:p>
    <w:p>
      <w:pPr>
        <w:spacing w:after="0" w:line="62" w:lineRule="exact"/>
        <w:rPr>
          <w:rFonts w:ascii="Arial" w:cs="Arial" w:eastAsia="Arial" w:hAnsi="Arial"/>
          <w:sz w:val="18"/>
          <w:szCs w:val="18"/>
          <w:color w:val="231F20"/>
        </w:rPr>
      </w:pPr>
    </w:p>
    <w:p>
      <w:pPr>
        <w:ind w:left="1020" w:right="420" w:hanging="503"/>
        <w:spacing w:after="0" w:line="277" w:lineRule="auto"/>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In ME-344 treated patients, mean relative Ki67 decreases were 23% compared to an increase of 186% in the bevacizumab monotherapy group (P &lt; 0.01).</w:t>
      </w:r>
    </w:p>
    <w:p>
      <w:pPr>
        <w:spacing w:after="0" w:line="62" w:lineRule="exact"/>
        <w:rPr>
          <w:rFonts w:ascii="Arial" w:cs="Arial" w:eastAsia="Arial" w:hAnsi="Arial"/>
          <w:sz w:val="18"/>
          <w:szCs w:val="18"/>
          <w:color w:val="231F20"/>
        </w:rPr>
      </w:pPr>
    </w:p>
    <w:p>
      <w:pPr>
        <w:jc w:val="both"/>
        <w:ind w:left="1020" w:right="200" w:hanging="503"/>
        <w:spacing w:after="0" w:line="263" w:lineRule="auto"/>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 mean relative Ki67 reduction in patients experiencing vascular normalization in the ME-344 treated patients was 33%, compared to an increase of 11.8% in normalized patients from the bevacizumab monotherapy group (P=0.09). Approximately one-third of patients in each arm had vascular normalization.</w:t>
      </w:r>
    </w:p>
    <w:p>
      <w:pPr>
        <w:spacing w:after="0" w:line="76"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231F20"/>
        </w:rPr>
        <w:t>Treatment was generally well tolerated; three grade 3 adverse events of high blood pressure were reported, two in the ME-344 arm and one in the bevacizumab monotherapy arm.</w:t>
      </w:r>
    </w:p>
    <w:p>
      <w:pPr>
        <w:spacing w:after="0" w:line="62"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231F20"/>
        </w:rPr>
        <w:t>Results from our earlier, first-in-human, single-agent Phase 1 clinical trial of ME-344 in patients with refractory solid tumors were published in the April 1, 2015 edition of Cancer. The results indicated that eight of 21 evaluable patients (38%) treated 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5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231F20"/>
        </w:rPr>
        <w:t>ME-344 achieved stable disease or better, including five who experienced progression-free survival that was at least twice the duration of their last prior treatment before entry into the trial. In addition, one of these patients, a heavily pre-treated patient with small cell lung cancer, achieved a confirmed partial response and remained on study for two years. ME-344 was generally well tolerated at doses equal to or less than 10 mg/kg delivered on a weekly schedule for extended durations. Treatment-related adverse events included nausea, dizziness and fatigue. Dose-limiting toxicities were observed at both the 15 mg/kg and 20 mg/kg dose levels, consisting primarily of grade 3 peripheral neuropathy.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6172200" cy="27514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7220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231F20"/>
        </w:rPr>
        <w:t>We are advancing ME-344 in combination with the anti-angiogenic antibody bevacizumab in a Phase 1b study evaluating patients with relapsed colorectal cancer. The study is enrolling patients with progressive disease after failure of standard therapies with patients treated until disease progression or intolerance. The primary objective is progression free survival. Secondary endpoints include overall response rate, duration of response, overall survival and safety. S</w:t>
      </w:r>
      <w:r>
        <w:rPr>
          <w:rFonts w:ascii="Arial" w:cs="Arial" w:eastAsia="Arial" w:hAnsi="Arial"/>
          <w:sz w:val="17"/>
          <w:szCs w:val="17"/>
          <w:color w:val="000000"/>
        </w:rPr>
        <w:t>afety and efficacy data from the first cohort of 20 patients in the ongoing ME-344 Phase 1b study is expected to be reported in the first half of</w:t>
      </w:r>
      <w:r>
        <w:rPr>
          <w:rFonts w:ascii="Arial" w:cs="Arial" w:eastAsia="Arial" w:hAnsi="Arial"/>
          <w:sz w:val="17"/>
          <w:szCs w:val="17"/>
          <w:color w:val="231F20"/>
        </w:rPr>
        <w:t xml:space="preserve"> </w:t>
      </w:r>
      <w:r>
        <w:rPr>
          <w:rFonts w:ascii="Arial" w:cs="Arial" w:eastAsia="Arial" w:hAnsi="Arial"/>
          <w:sz w:val="17"/>
          <w:szCs w:val="17"/>
          <w:color w:val="000000"/>
        </w:rPr>
        <w:t xml:space="preserve">calendar 2024. </w:t>
      </w:r>
      <w:r>
        <w:rPr>
          <w:rFonts w:ascii="Arial" w:cs="Arial" w:eastAsia="Arial" w:hAnsi="Arial"/>
          <w:sz w:val="17"/>
          <w:szCs w:val="17"/>
          <w:color w:val="231F20"/>
        </w:rPr>
        <w:t>Additionally, ME-344 may also have clinical potential against hematological malignancies. At the AACR Annual Meeting 2022, a poster</w:t>
      </w:r>
      <w:r>
        <w:rPr>
          <w:rFonts w:ascii="Arial" w:cs="Arial" w:eastAsia="Arial" w:hAnsi="Arial"/>
          <w:sz w:val="17"/>
          <w:szCs w:val="17"/>
          <w:color w:val="000000"/>
        </w:rPr>
        <w:t xml:space="preserve"> </w:t>
      </w:r>
      <w:r>
        <w:rPr>
          <w:rFonts w:ascii="Arial" w:cs="Arial" w:eastAsia="Arial" w:hAnsi="Arial"/>
          <w:sz w:val="17"/>
          <w:szCs w:val="17"/>
          <w:color w:val="231F20"/>
        </w:rPr>
        <w:t>presentation reported results from preclinical studies exploring the ability of ME-344 to enhance the activity of venetoclax against AML. Data from the in vitro and in vivo preclinical studies evaluating the combination of ME-344 with venetoclax in standard-of-care-resistant AML cell lines and relapsed or refractory AML patient samples suggest that ME-344, both alone and in combination with venetoclax, inhibits purine biosynthesis, suppresses oxidative phosphorylation, induces apoptosis and decreases MCL-1, which together target metabolic vulnerabilities of AML cells. The data demonstrated that ME-344 and venetoclax prolong survival in MV4-11 and MV4-11/AraC-R-derived xenograft AML models. The poster concluded that ME-344 enhances venetoclax activity against AML cells including resistant AML.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Zandelisib: PI3Kδ Inhibitor Overview</w:t>
      </w:r>
    </w:p>
    <w:p>
      <w:pPr>
        <w:spacing w:after="0" w:line="117"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231F20"/>
        </w:rPr>
        <w:t>Zandelisib is an oral, once-daily, selective PI3Kδ inhibitor that we were jointly developing with KKC under a global license, development and commercialization agreement entered into in April 2020.</w:t>
      </w:r>
    </w:p>
    <w:p>
      <w:pPr>
        <w:spacing w:after="0" w:line="62"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231F20"/>
        </w:rPr>
        <w:t>Zandelisib completed the global Phase 2 TIDAL study evaluating it as a single agent in adults with relapsed/refractory (“r/r”) follicular lymphoma (“FL”) after failure of at least two prior systemic therapies, including chemotherapy and an anti-CD20 antibody. A total of 121 patients with r/r FL were enrolled in the intermittent dosing arm, 91 of which were enrolled in the primary efficacy population for the evaluation of objective response rate (“ORR”) and duration of response (“DOR”). The median age of patients with FL was 64 years old; 45% of patients had disease refractory to last therapy, and patients received a median of 3 prior lines of treatment (range: 2-8). Patients were administered zandelisib once daily for two 28-day cycles as response induction therapy, followed thereafter by once daily dosing for the first seven days of each subsequent 28-day cycle, a schedule called Intermittent Dosing Therapy (IDT).</w:t>
      </w:r>
    </w:p>
    <w:p>
      <w:pPr>
        <w:spacing w:after="0" w:line="87"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231F20"/>
        </w:rPr>
        <w:t>By independent review, the ORR was 73% (95% CI, 63.9 to 80.4%), the complete response rate 38% (95% CI, 29.3 to 47.3%), and the median DOR 16.4 months (95% CI, 9.5 months to not reached). With a median follow up of 14.3 months (range, 1 to 30.5 months), the median PFS was 11.6 months (95% CI, 8.3 to not reached). Twenty-one patients (17%) discontinued zandelisib due to an adverse event. Grade 3-4 class-related toxicities were diarrhea in 6% of patients, lung infections 5 %, rash 3%, colitis 3%, AST elevation 2%, and non-infectious pneumonitis 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54" w:lineRule="exact"/>
        <w:rPr>
          <w:sz w:val="20"/>
          <w:szCs w:val="20"/>
          <w:color w:val="auto"/>
        </w:rPr>
      </w:pPr>
    </w:p>
    <w:p>
      <w:pPr>
        <w:ind w:right="200" w:firstLine="509"/>
        <w:spacing w:after="0" w:line="273" w:lineRule="auto"/>
        <w:rPr>
          <w:sz w:val="20"/>
          <w:szCs w:val="20"/>
          <w:color w:val="auto"/>
        </w:rPr>
      </w:pPr>
      <w:r>
        <w:rPr>
          <w:rFonts w:ascii="Arial" w:cs="Arial" w:eastAsia="Arial" w:hAnsi="Arial"/>
          <w:sz w:val="17"/>
          <w:szCs w:val="17"/>
          <w:color w:val="231F20"/>
        </w:rPr>
        <w:t>In March 2022, we and KKC reported the outcome of an end of Phase 2 meeting with the FDA wherein the agency discouraged a filing based on data from a single-arm Phase 2 TIDAL trial. At this meeting, the FDA stated that data generated from single arm studies such as the Phase 2 TIDAL trial are insufficient to adequately assess the risk/benefit of PI3Kδ inhibitors evaluating indolent non-Hodgkin lymphoma. At that time, the FDA emphasized that the company continue efforts with the ongoing randomized Phase 3 COASTAL trial evaluating patients with relapsed or refractory follicular or marginal zone lymphomas. Subsequently, at an April 2022 meeting of the FDA Oncology Drugs Advisory Committee, the committee voted that future approvals of PI3Kδ inhibitors for hematologic malignancies should be supported by randomized data.</w:t>
      </w:r>
    </w:p>
    <w:p>
      <w:pPr>
        <w:spacing w:after="0" w:line="70"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color w:val="231F20"/>
        </w:rPr>
        <w:t>In November 2022, we and KKC met with the FDA in a follow-up meeting to the March 2022 end of Phase 2 meeting. At this meeting, the FDA provided further guidance regarding the design and statistical analysis for the Phase 3 COASTAL trial. Following the November meeting, the companies jointly concluded that a clinical trial consistent with the recent FDA guidance, including modification of the ongoing COASTAL trial, would likely not be feasible to complete within a time period that would support further investment or with sufficient certainty of the regulatory requirements for approval to justify continued global development efforts. As a result, we and KKC jointly decided to discontinue global development of zandelisib for indolent forms of non-Hodgkin lymphoma outside of Japan. The discontinuation of zandelisib development outside of Japan was a business decision based on the most recent regulatory guidance from the FDA and is not related to the zandelisib clinical data generated to date. After making the joint decision to terminate development outside of Japan, we and KKC began closing all ongoing zandelisib clinical studies outside of Japan, including the Phase 3 COASTAL trial, the Phase 2 TIDAL trial, and the Phase 2 CORAL trial.</w:t>
      </w:r>
    </w:p>
    <w:p>
      <w:pPr>
        <w:spacing w:after="0" w:line="73"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231F20"/>
        </w:rPr>
        <w:t>Subsequently, in May 2023, KKC decided to discontinue development of zandelisib in Japan. The discontinuation of zandelisib in Japan was a business decision by KKC based on the most recent regulatory guidance from the PMDA and was not related to the zandelisib clinical data generated to date.</w:t>
      </w:r>
    </w:p>
    <w:p>
      <w:pPr>
        <w:spacing w:after="0" w:line="76"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On July 14, 2023, we entered into a Termination Agreement (the “Termination Agreement”) with KKC to terminate all agreements between the parties and cease further zandelisib clinical development globally. As of September 30, 2023, activities associated with the compassionate use supply were completed. We anticipate completing the wind-down activities associated with the KKC Commercialization Agreement to be completed in fiscal year 2024.</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KKC License, Development and Commercialization Agreement</w:t>
      </w:r>
    </w:p>
    <w:p>
      <w:pPr>
        <w:spacing w:after="0" w:line="117"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231F20"/>
        </w:rPr>
        <w:t>In April 2020, we entered into the KKC Commercialization Agreement under which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 bearing, license under certain patents and know-how controlled by us to develop and commercialize zandelisib and any pharmaceutical product containing zandelisib for all human indications in countries outside of the U.S. (the “Ex-U.S.” and the “Ex-U.S. License”). Also under the KKC Commercialization Agreement, we were granted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and were paid an initial non-refundable payment of $100.0 million. Additionally, in Japan, the KKC Commercialization Agreement included potential regulatory and commercialization milestone payments plus royalties on net sales of zandelisib in Japan, which are tiered beginning in the teens. Prior to the execution of the Termination Agreement on July 14, 2023, KKC was responsible for the development and commercialization of zandelisib in the Ex-U.S. and, subject to certain exceptions, solely responsible for all costs related thereto. We also provided to KKC certain drug supplies necessary for the development and commercialization of zandelisib in the Ex-U.S., with the understanding that KKC would have assumed responsibility for manufacturing for the Ex-U.S. as soon as practicable.</w:t>
      </w:r>
    </w:p>
    <w:p>
      <w:pPr>
        <w:spacing w:after="0" w:line="76"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231F20"/>
        </w:rPr>
        <w:t>As noted above, on July 14, 2023, we entered into a Termination Agreement with KKC to mutually terminate the original KKC Commercialization Agreement and all other related agreements between the parties. Pursuant to the Termi</w:t>
      </w:r>
      <w:r>
        <w:rPr>
          <w:rFonts w:ascii="Arial" w:cs="Arial" w:eastAsia="Arial" w:hAnsi="Arial"/>
          <w:sz w:val="18"/>
          <w:szCs w:val="18"/>
          <w:color w:val="000000"/>
        </w:rPr>
        <w:t>nation Agreement:</w:t>
      </w:r>
    </w:p>
    <w:p>
      <w:pPr>
        <w:spacing w:after="0" w:line="62" w:lineRule="exact"/>
        <w:rPr>
          <w:sz w:val="20"/>
          <w:szCs w:val="20"/>
          <w:color w:val="auto"/>
        </w:rPr>
      </w:pPr>
    </w:p>
    <w:p>
      <w:pPr>
        <w:ind w:left="1020" w:right="280" w:hanging="503"/>
        <w:spacing w:after="0" w:line="311"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regained full, global rights to develop, manufacture and commercialize ME-401, subject to KKC's limited rights to use ME-401 for “compassionate use” (as more specifically defined in the Termination Agreement) in certain expanded access programs for the existing patients who have been enrolled in Japanese clinical trial sponsored by KKC until November 30, 2027, and for which KKC is fully liable;</w:t>
      </w:r>
    </w:p>
    <w:p>
      <w:pPr>
        <w:spacing w:after="0" w:line="40" w:lineRule="exact"/>
        <w:rPr>
          <w:rFonts w:ascii="Arial" w:cs="Arial" w:eastAsia="Arial" w:hAnsi="Arial"/>
          <w:sz w:val="16"/>
          <w:szCs w:val="16"/>
          <w:color w:val="auto"/>
        </w:rPr>
      </w:pPr>
    </w:p>
    <w:p>
      <w:pPr>
        <w:ind w:left="1020" w:right="38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each party released the other party from any and all claims, demands, etc. arising from the </w:t>
      </w:r>
      <w:r>
        <w:rPr>
          <w:rFonts w:ascii="Arial" w:cs="Arial" w:eastAsia="Arial" w:hAnsi="Arial"/>
          <w:sz w:val="18"/>
          <w:szCs w:val="18"/>
          <w:color w:val="231F20"/>
        </w:rPr>
        <w:t>original KKC Commercialization Agreement</w:t>
      </w:r>
      <w:r>
        <w:rPr>
          <w:rFonts w:ascii="Arial" w:cs="Arial" w:eastAsia="Arial" w:hAnsi="Arial"/>
          <w:sz w:val="18"/>
          <w:szCs w:val="18"/>
          <w:color w:val="auto"/>
        </w:rPr>
        <w:t>, excluding certain surviving claims;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obligated to deliver a discrete quantity of materials to facilitate KKC's activities.</w:t>
      </w:r>
    </w:p>
    <w:p>
      <w:pPr>
        <w:spacing w:after="0" w:line="117"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231F20"/>
        </w:rPr>
        <w:t>As of June 30, 2023, we had $64.9 million of deferred revenue associated with the KKC Commercialization Agreement, of which $64.5 million was allocated to the U.S. License and $317,000 was allocated to the Development Services performance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5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231F20"/>
        </w:rPr>
        <w:t xml:space="preserve">obligations that continue to be recognized based on the proportional performance of these development activities through wind-down of the associated trials. As further discussed in </w:t>
      </w:r>
      <w:r>
        <w:rPr>
          <w:rFonts w:ascii="Arial" w:cs="Arial" w:eastAsia="Arial" w:hAnsi="Arial"/>
          <w:sz w:val="18"/>
          <w:szCs w:val="18"/>
          <w:i w:val="1"/>
          <w:iCs w:val="1"/>
          <w:u w:val="single" w:color="auto"/>
          <w:color w:val="0000FF"/>
        </w:rPr>
        <w:t>Note 7. License Agreements</w:t>
      </w:r>
      <w:r>
        <w:rPr>
          <w:rFonts w:ascii="Arial" w:cs="Arial" w:eastAsia="Arial" w:hAnsi="Arial"/>
          <w:sz w:val="18"/>
          <w:szCs w:val="18"/>
          <w:color w:val="231F20"/>
        </w:rPr>
        <w:t>, in connection with the execution of the Termination Agreement during the three months ended September 30, 2023, we recognized the $64.5 million of deferred revenue associated with the U.S. License as well as the remaining $317,000 noncash deferred revenue associated with the completion of the underlying proportional performance activities. As of September 30, 2023, all deferred revenue associated with the KKC Commercialization Agreement has been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1369695</wp:posOffset>
            </wp:positionH>
            <wp:positionV relativeFrom="paragraph">
              <wp:posOffset>-445135</wp:posOffset>
            </wp:positionV>
            <wp:extent cx="12712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September 30, 2023 and 2022</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We recognized revenue of $65.3 million for the three months ended September 30, 2023 compared to $8.7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September 30, 2022. The increase in revenue is due to the recognition of deferred revenue associated with the U.S. License </w:t>
      </w:r>
      <w:r>
        <w:rPr>
          <w:rFonts w:ascii="Arial" w:cs="Arial" w:eastAsia="Arial" w:hAnsi="Arial"/>
          <w:sz w:val="18"/>
          <w:szCs w:val="18"/>
          <w:color w:val="231F20"/>
        </w:rPr>
        <w:t>that was terminated in July</w:t>
      </w:r>
      <w:r>
        <w:rPr>
          <w:rFonts w:ascii="Arial" w:cs="Arial" w:eastAsia="Arial" w:hAnsi="Arial"/>
          <w:sz w:val="18"/>
          <w:szCs w:val="18"/>
          <w:color w:val="auto"/>
        </w:rPr>
        <w:t xml:space="preserve"> </w:t>
      </w:r>
      <w:r>
        <w:rPr>
          <w:rFonts w:ascii="Arial" w:cs="Arial" w:eastAsia="Arial" w:hAnsi="Arial"/>
          <w:sz w:val="18"/>
          <w:szCs w:val="18"/>
          <w:color w:val="231F20"/>
        </w:rPr>
        <w:t>2023, offset by a decrease in revenue recognized during the three months ending September 30, 2023, related to cost sharing from the KKC Commercialization Agreement.</w:t>
      </w:r>
    </w:p>
    <w:p>
      <w:pPr>
        <w:spacing w:after="0" w:line="7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is a summary of our research and development expenses to supplement the more detailed discussion below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6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332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92"/>
              </w:rPr>
              <w:t>For the Three Months Ended September</w:t>
            </w:r>
          </w:p>
        </w:tc>
        <w:tc>
          <w:tcPr>
            <w:tcW w:w="100" w:type="dxa"/>
            <w:vAlign w:val="bottom"/>
          </w:tcPr>
          <w:p>
            <w:pPr>
              <w:spacing w:after="0"/>
              <w:rPr>
                <w:sz w:val="18"/>
                <w:szCs w:val="18"/>
                <w:color w:val="auto"/>
              </w:rPr>
            </w:pPr>
          </w:p>
        </w:tc>
      </w:tr>
      <w:tr>
        <w:trPr>
          <w:trHeight w:val="241"/>
        </w:trPr>
        <w:tc>
          <w:tcPr>
            <w:tcW w:w="66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66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41"/>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zandelisib</w:t>
            </w: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11,606</w:t>
            </w:r>
          </w:p>
        </w:tc>
        <w:tc>
          <w:tcPr>
            <w:tcW w:w="100" w:type="dxa"/>
            <w:vAlign w:val="bottom"/>
            <w:shd w:val="clear" w:color="auto" w:fill="CFF0FC"/>
          </w:tcPr>
          <w:p>
            <w:pPr>
              <w:spacing w:after="0"/>
              <w:rPr>
                <w:sz w:val="20"/>
                <w:szCs w:val="20"/>
                <w:color w:val="auto"/>
              </w:rPr>
            </w:pPr>
          </w:p>
        </w:tc>
      </w:tr>
      <w:tr>
        <w:trPr>
          <w:trHeight w:val="237"/>
        </w:trPr>
        <w:tc>
          <w:tcPr>
            <w:tcW w:w="6680" w:type="dxa"/>
            <w:vAlign w:val="bottom"/>
          </w:tcPr>
          <w:p>
            <w:pPr>
              <w:spacing w:after="0"/>
              <w:rPr>
                <w:sz w:val="20"/>
                <w:szCs w:val="20"/>
                <w:color w:val="auto"/>
              </w:rPr>
            </w:pPr>
            <w:r>
              <w:rPr>
                <w:rFonts w:ascii="Arial" w:cs="Arial" w:eastAsia="Arial" w:hAnsi="Arial"/>
                <w:sz w:val="18"/>
                <w:szCs w:val="18"/>
                <w:color w:val="auto"/>
              </w:rPr>
              <w:t>voruciclib</w:t>
            </w:r>
          </w:p>
        </w:tc>
        <w:tc>
          <w:tcPr>
            <w:tcW w:w="10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(335 )</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r>
      <w:tr>
        <w:trPr>
          <w:trHeight w:val="24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ME-344</w:t>
            </w:r>
          </w:p>
        </w:tc>
        <w:tc>
          <w:tcPr>
            <w:tcW w:w="10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FF0FC"/>
          </w:tcPr>
          <w:p>
            <w:pPr>
              <w:spacing w:after="0"/>
              <w:rPr>
                <w:sz w:val="21"/>
                <w:szCs w:val="21"/>
                <w:color w:val="auto"/>
              </w:rPr>
            </w:pPr>
          </w:p>
        </w:tc>
      </w:tr>
      <w:tr>
        <w:trPr>
          <w:trHeight w:val="237"/>
        </w:trPr>
        <w:tc>
          <w:tcPr>
            <w:tcW w:w="6680" w:type="dxa"/>
            <w:vAlign w:val="bottom"/>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6,339</w:t>
            </w:r>
          </w:p>
        </w:tc>
        <w:tc>
          <w:tcPr>
            <w:tcW w:w="100" w:type="dxa"/>
            <w:vAlign w:val="bottom"/>
          </w:tcPr>
          <w:p>
            <w:pPr>
              <w:spacing w:after="0"/>
              <w:rPr>
                <w:sz w:val="20"/>
                <w:szCs w:val="20"/>
                <w:color w:val="auto"/>
              </w:rPr>
            </w:pPr>
          </w:p>
        </w:tc>
      </w:tr>
      <w:tr>
        <w:trPr>
          <w:trHeight w:val="277"/>
        </w:trPr>
        <w:tc>
          <w:tcPr>
            <w:tcW w:w="66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3,485</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Research and development expenses consist primarily of clinical trial costs (including payments to contract research organizations “CROs”), pre-clinical study costs, and costs to manufacture our drug candidates for non-clinical and clinical studies. Other research and development expenses consist primarily of salaries and personnel costs, share-based compensation, legal costs, and other costs not allocated to specific drug programs. Costs related to zandelisib decreased $11.2 million, primarily as a result of the discontinuation of the program during fiscal year 2023 and the completion of wind-down related activities. Costs related to voruciclib decreased $1.1 million mainly due to lower recognized clinical costs in the Phase 1 study. Costs related to ME-344 increased $0.4 million due to increased clinical costs related to the Phase 1b study. Other research and development costs decreased $4.2 million primarily due to a decrease of $3.4 million in personnel costs related to the reduced headcount and a $0.7 million decrease in noncash stock-based compensation.</w:t>
      </w:r>
    </w:p>
    <w:p>
      <w:pPr>
        <w:spacing w:after="0" w:line="188"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expenses decreased by $1.0 million to $6.5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2023 compared to $7.5 million for the three months ended September 30, 2022. The decrease is primarily due to $1.0 million lower personnel costs due to reduced headcount, $0.5 million lower noncash stock-based compensation, and $0.3 million lower corporate overhead costs partially offset by a $0.8 million increase in external professional services primarily related to advisory and legal fees associated with various stockholder-related activities, including stockholder-initiated consent solicitation efforts.</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 xml:space="preserve">Other Income, net: </w:t>
      </w:r>
      <w:r>
        <w:rPr>
          <w:rFonts w:ascii="Arial" w:cs="Arial" w:eastAsia="Arial" w:hAnsi="Arial"/>
          <w:sz w:val="17"/>
          <w:szCs w:val="17"/>
          <w:color w:val="auto"/>
        </w:rPr>
        <w:t>Other income, net decreased by $0.5 million to $1.1 million for the three months ended September 30, 2023 compared to $1.6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three months ended September 30, 2022. We recorded a non-cash gain of $1.1 million during the three months ended September 30, 2022 due to a change in the fair value of our warrant liability with no similar gain during the three months ended September 30, 2023 as a result of the warrants expiring in May 2023. Additionally, we received interest and dividend income of $1.1 million for the three months ended September 30, 2023 compared to $0.5 million for the three months ended September 30, 2022. The increase in interest and dividend income is primarily due to higher yields during the three months ended September 30, 2023 compared to the three months ended September 30,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have accumulated losses of $349.6 million since inception and expect to incur operating losses and generate negative cash flows from operations for the foreseeable future. As of September 30, 2023, we had $82.2 million in cash and cash equivalents, and short-term investments. We believe that these resources will be sufficient to fund our operations for at least 12 months from the issuance of this Quarterly Report. Our current business operations are focused on continuing the clinical development of our drug candidates. Changes to our research and development plans or other changes affecting our operations and operating expenses may affect actual future use of existing cash resources. We cannot determine with certainty costs associated with ongoing and future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62" w:lineRule="exact"/>
        <w:rPr>
          <w:sz w:val="20"/>
          <w:szCs w:val="20"/>
          <w:color w:val="auto"/>
        </w:rPr>
      </w:pPr>
    </w:p>
    <w:p>
      <w:pPr>
        <w:ind w:right="280" w:firstLine="509"/>
        <w:spacing w:after="0" w:line="259" w:lineRule="auto"/>
        <w:rPr>
          <w:sz w:val="20"/>
          <w:szCs w:val="20"/>
          <w:color w:val="auto"/>
        </w:rPr>
      </w:pPr>
      <w:r>
        <w:rPr>
          <w:rFonts w:ascii="Arial" w:cs="Arial" w:eastAsia="Arial" w:hAnsi="Arial"/>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Sources and Uses of Our Cash</w:t>
      </w:r>
    </w:p>
    <w:p>
      <w:pPr>
        <w:spacing w:after="0" w:line="117"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Net cash used in operating activities for the three months ended September 30, 2023 of $18.5 million consisted of our net income of $56.4 million offset by $75.7 million in changes in our operating assets and liabilities primarily due to recognition of $64.9 million in deferred revenue, partially offset by $0.8 million for noncash items. Net cash used in operating activities for the three months ended September 30, 2022, of $14.8 million consisted of our net loss of $16.6 million partially offset by changes in our operating assets and liabilities of $1.0 million and $0.9 million in noncash items.</w:t>
      </w:r>
    </w:p>
    <w:p>
      <w:pPr>
        <w:spacing w:after="0" w:line="49"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Net cash provided by investing activities for the three months ended September 30, 2023 was $5.0 million as compared to $13.7 million cash provided by investing activities for the three months ended September 30, 2022. The decrease was primarily due to less proceeds from maturities of short-term investments during the three months ended September 30, 2023, net of purchases.</w:t>
      </w:r>
    </w:p>
    <w:p>
      <w:pPr>
        <w:spacing w:after="0" w:line="76"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Net cash used in financing activities during the three months ended September 30, 2022 was $40,000 due to the payment of RSU withholding in exchange for common shares surrendered by RSU holders. There were no cash flows from financing activities during the three months ended September 30, 2023.</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Capital Resource Requirements</w:t>
      </w:r>
    </w:p>
    <w:p>
      <w:pPr>
        <w:spacing w:after="0" w:line="117"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color w:val="auto"/>
        </w:rPr>
        <w:t>As previously discussed in the overview section above, in conjunction with our Cooperation Agreement with Anson and Cable Car, we agreed to reimburse up to $1.2 million of their legal fees. In addition, we also agreed to at least one capital return to shareholders in the form of a dividend in the amount of $1.75 per share of common stock to all stockholders. Lastly, a potential second return of capital of approximately $9.33 million in the aggregate could be authorized by the Board if our ongoing ME-344 Phase 1b trial fails to meet certain endpoints or our Board determines not to proceed with a second cohort, both as further described in the Cooperation Agreement. The second return of capital may take the form of a dividend or tender offer and is subject to Board approval as well as modification associated with applicable requirements under Delaware law, both as detailed in the Cooperation Agreement. The $1.75 dividend is anticipated to be distributed during the second quarter of fiscal year 2024.</w:t>
      </w:r>
    </w:p>
    <w:p>
      <w:pPr>
        <w:spacing w:after="0" w:line="69"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In January 2022, we amended our facility lease for an additional 20 months through November 2029. The amended lease agreement also provided for additional lease space that we took control over on July 1, 2022. Under the terms of the lease, we are obligated to make aggregate remaining lease payments as of September 30, 2023, of $15.8 million, excluding common area maintenance and other variable consideration due under the lease agreement. Estimated lease payments for the remainder of our fiscal year ended June 30, 2024, are expected to be $1.8 million, excluding common area maintenance and other variable consideration due under the lease agreement.</w:t>
      </w:r>
    </w:p>
    <w:p>
      <w:pPr>
        <w:spacing w:after="0" w:line="80" w:lineRule="exact"/>
        <w:rPr>
          <w:sz w:val="20"/>
          <w:szCs w:val="20"/>
          <w:color w:val="auto"/>
        </w:rPr>
      </w:pPr>
    </w:p>
    <w:p>
      <w:pPr>
        <w:ind w:right="180" w:firstLine="509"/>
        <w:spacing w:after="0" w:line="342" w:lineRule="auto"/>
        <w:rPr>
          <w:sz w:val="20"/>
          <w:szCs w:val="20"/>
          <w:color w:val="auto"/>
        </w:rPr>
      </w:pPr>
      <w:r>
        <w:rPr>
          <w:rFonts w:ascii="Arial" w:cs="Arial" w:eastAsia="Arial" w:hAnsi="Arial"/>
          <w:sz w:val="16"/>
          <w:szCs w:val="16"/>
          <w:color w:val="auto"/>
        </w:rPr>
        <w:t>As of September 30, 2023, we have the following potential purchase obligations for which the timing and/or likelihood of occurrence is unknown; however, if such claims arise in the future, they could have a material effect on our financial position, results of operations, and cash flows.</w:t>
      </w:r>
    </w:p>
    <w:p>
      <w:pPr>
        <w:spacing w:after="0" w:line="16" w:lineRule="exact"/>
        <w:rPr>
          <w:sz w:val="20"/>
          <w:szCs w:val="20"/>
          <w:color w:val="auto"/>
        </w:rPr>
      </w:pPr>
    </w:p>
    <w:p>
      <w:pPr>
        <w:ind w:left="1020" w:right="120" w:hanging="503"/>
        <w:spacing w:after="0" w:line="25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Under our remaining license agreements, we have payment obligations, which are contingent upon future events such as our achievement of specified development, regulatory and commercial milestones and are required to make royalty payments in connection with the sales of products developed under those agreements. For additional details regarding these agreements, see the section titled </w:t>
      </w:r>
      <w:r>
        <w:rPr>
          <w:rFonts w:ascii="Arial" w:cs="Arial" w:eastAsia="Arial" w:hAnsi="Arial"/>
          <w:sz w:val="18"/>
          <w:szCs w:val="18"/>
          <w:i w:val="1"/>
          <w:iCs w:val="1"/>
          <w:u w:val="single" w:color="auto"/>
          <w:color w:val="0000FF"/>
        </w:rPr>
        <w:t>Note 8—Other License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Agreements</w:t>
      </w:r>
      <w:r>
        <w:rPr>
          <w:rFonts w:ascii="Arial" w:cs="Arial" w:eastAsia="Arial" w:hAnsi="Arial"/>
          <w:sz w:val="18"/>
          <w:szCs w:val="18"/>
          <w:i w:val="1"/>
          <w:iCs w:val="1"/>
          <w:color w:val="0000FF"/>
        </w:rPr>
        <w:t xml:space="preserve"> </w:t>
      </w:r>
      <w:r>
        <w:rPr>
          <w:rFonts w:ascii="Arial" w:cs="Arial" w:eastAsia="Arial" w:hAnsi="Arial"/>
          <w:sz w:val="18"/>
          <w:szCs w:val="18"/>
          <w:color w:val="000000"/>
        </w:rPr>
        <w:t>and</w:t>
      </w:r>
      <w:r>
        <w:rPr>
          <w:rFonts w:ascii="Arial" w:cs="Arial" w:eastAsia="Arial" w:hAnsi="Arial"/>
          <w:sz w:val="18"/>
          <w:szCs w:val="18"/>
          <w:i w:val="1"/>
          <w:iCs w:val="1"/>
          <w:color w:val="0000FF"/>
        </w:rPr>
        <w:t xml:space="preserve"> </w:t>
      </w:r>
      <w:r>
        <w:rPr>
          <w:rFonts w:ascii="Arial" w:cs="Arial" w:eastAsia="Arial" w:hAnsi="Arial"/>
          <w:sz w:val="18"/>
          <w:szCs w:val="18"/>
          <w:i w:val="1"/>
          <w:iCs w:val="1"/>
          <w:u w:val="single" w:color="auto"/>
          <w:color w:val="0000FF"/>
        </w:rPr>
        <w:t>Note 6—Commitments and Contingencies</w:t>
      </w:r>
      <w:r>
        <w:rPr>
          <w:rFonts w:ascii="Arial" w:cs="Arial" w:eastAsia="Arial" w:hAnsi="Arial"/>
          <w:sz w:val="18"/>
          <w:szCs w:val="18"/>
          <w:i w:val="1"/>
          <w:iCs w:val="1"/>
          <w:color w:val="0000FF"/>
        </w:rPr>
        <w:t xml:space="preserve"> </w:t>
      </w:r>
      <w:r>
        <w:rPr>
          <w:rFonts w:ascii="Arial" w:cs="Arial" w:eastAsia="Arial" w:hAnsi="Arial"/>
          <w:sz w:val="18"/>
          <w:szCs w:val="18"/>
          <w:color w:val="000000"/>
        </w:rPr>
        <w:t>to our condensed consolidated financial statements and related notes included</w:t>
      </w:r>
      <w:r>
        <w:rPr>
          <w:rFonts w:ascii="Arial" w:cs="Arial" w:eastAsia="Arial" w:hAnsi="Arial"/>
          <w:sz w:val="18"/>
          <w:szCs w:val="18"/>
          <w:i w:val="1"/>
          <w:iCs w:val="1"/>
          <w:color w:val="0000FF"/>
        </w:rPr>
        <w:t xml:space="preserve"> </w:t>
      </w:r>
      <w:r>
        <w:rPr>
          <w:rFonts w:ascii="Arial" w:cs="Arial" w:eastAsia="Arial" w:hAnsi="Arial"/>
          <w:sz w:val="18"/>
          <w:szCs w:val="18"/>
          <w:color w:val="000000"/>
        </w:rPr>
        <w:t>elsewhere in this Quarterly Report;</w:t>
      </w:r>
    </w:p>
    <w:p>
      <w:pPr>
        <w:spacing w:after="0" w:line="79"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Obligations under contracts which are cancelable without significant penalty;</w:t>
      </w:r>
    </w:p>
    <w:p>
      <w:pPr>
        <w:spacing w:after="0" w:line="117" w:lineRule="exact"/>
        <w:rPr>
          <w:rFonts w:ascii="Arial" w:cs="Arial" w:eastAsia="Arial" w:hAnsi="Arial"/>
          <w:sz w:val="18"/>
          <w:szCs w:val="18"/>
          <w:color w:val="auto"/>
        </w:rPr>
      </w:pPr>
    </w:p>
    <w:p>
      <w:pPr>
        <w:ind w:left="1020" w:right="80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 orders issued in the ordinary course of business as they represent authorizations to purchase the items rather than binding agreements; and</w:t>
      </w:r>
    </w:p>
    <w:p>
      <w:pPr>
        <w:spacing w:after="0" w:line="62" w:lineRule="exact"/>
        <w:rPr>
          <w:rFonts w:ascii="Arial" w:cs="Arial" w:eastAsia="Arial" w:hAnsi="Arial"/>
          <w:sz w:val="18"/>
          <w:szCs w:val="18"/>
          <w:color w:val="auto"/>
        </w:rPr>
      </w:pPr>
    </w:p>
    <w:p>
      <w:pPr>
        <w:ind w:left="1020" w:right="20" w:hanging="503"/>
        <w:spacing w:after="0" w:line="342"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Contracts in the normal course of business with clinical supply manufactures and with vendors for preclinical studies, research supplies and other services and products for operating purposes. These contracts are cancelable and generally provide for termination after a notice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-1240790</wp:posOffset>
            </wp:positionV>
            <wp:extent cx="10756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7569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-1103630</wp:posOffset>
            </wp:positionV>
            <wp:extent cx="26708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70810" cy="825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20" w:right="68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020" w:right="48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marketing and distribution capabilities if we obtain regulatory approvals to market our product candidates;</w:t>
      </w:r>
    </w:p>
    <w:p>
      <w:pPr>
        <w:spacing w:after="0" w:line="62"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securing and producing drug substance and drug product material for use in preclinical studies, clinical trials and for use as commercial supply;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development activities and commercial production;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17"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 and</w:t>
      </w:r>
    </w:p>
    <w:p>
      <w:pPr>
        <w:spacing w:after="0" w:line="62"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Estimate Considerations Related to Macroeconomic Conditions and other Geopolitical Conditions</w:t>
      </w:r>
    </w:p>
    <w:p>
      <w:pPr>
        <w:spacing w:after="0" w:line="225"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Due to recent disruptions in access to bank deposits and lending commitments associated with bank failures, the COVID-19 pandemic and macroeconomic and geopolitical conditions, there has been uncertainty and disruption in the global economy and financial markets. We are not aware of any specific event or circumstance that would require an update to its estimates or judgments or a revision of the carrying value of its assets or liabilities as of September 30, 2023. While there was no material impact to our condensed consolidated financial statements as of and for the three months ended September 30, 2023, these estimates may change, as new events occur and additional information is obtained, which could materially impact our condensed consolidated financial statements in future reporting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Management Estimates</w:t>
      </w:r>
    </w:p>
    <w:p>
      <w:pPr>
        <w:spacing w:after="0" w:line="121"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 xml:space="preserve">We describe our significant accounting policies in </w:t>
      </w:r>
      <w:r>
        <w:rPr>
          <w:rFonts w:ascii="Arial" w:cs="Arial" w:eastAsia="Arial" w:hAnsi="Arial"/>
          <w:sz w:val="18"/>
          <w:szCs w:val="18"/>
          <w:i w:val="1"/>
          <w:iCs w:val="1"/>
          <w:color w:val="auto"/>
        </w:rPr>
        <w:t>Note 2. The Company and Summary of Significant Accounting Policies</w:t>
      </w:r>
      <w:r>
        <w:rPr>
          <w:rFonts w:ascii="Arial" w:cs="Arial" w:eastAsia="Arial" w:hAnsi="Arial"/>
          <w:sz w:val="18"/>
          <w:szCs w:val="18"/>
          <w:color w:val="auto"/>
        </w:rPr>
        <w:t xml:space="preserve">, of the notes to the financial statements included in our 2023 Annual Report. We discuss our critical accounting estimates in </w:t>
      </w:r>
      <w:r>
        <w:rPr>
          <w:rFonts w:ascii="Arial" w:cs="Arial" w:eastAsia="Arial" w:hAnsi="Arial"/>
          <w:sz w:val="18"/>
          <w:szCs w:val="18"/>
          <w:i w:val="1"/>
          <w:iCs w:val="1"/>
          <w:color w:val="auto"/>
        </w:rPr>
        <w:t>Item 7.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 in our 2023 Annual Report. There have been no changes in our significant accounting policies or 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estimates since June 30,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u w:val="single" w:color="auto"/>
          <w:color w:val="0000FF"/>
        </w:rPr>
        <w:t>Note 2.Summary of Significant Accounting Policies</w:t>
      </w:r>
      <w:r>
        <w:rPr>
          <w:rFonts w:ascii="Arial" w:cs="Arial" w:eastAsia="Arial" w:hAnsi="Arial"/>
          <w:sz w:val="16"/>
          <w:szCs w:val="16"/>
          <w:color w:val="auto"/>
        </w:rPr>
        <w:t xml:space="preserve"> in the Notes to Condensed Consolidated Financial Statements in this Quarterly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3810</wp:posOffset>
            </wp:positionV>
            <wp:extent cx="23482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48230" cy="825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Our exposure to market interest rates relates primarily to the investments of cash balances and short-term investments. We have cash reserves held in U.S. dollars and we place funds on deposit with financial institutions, which are readily available. Our short-term investments consist solely of U.S. government securities with a maturity of three to twelve months.</w:t>
      </w:r>
    </w:p>
    <w:p>
      <w:pPr>
        <w:spacing w:after="0" w:line="76"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We place our cash deposits with high credit quality financial institutions and by policy limit the amount of credit exposure to any one corporation or bank. These deposits are in excess of the Federal Deposit Insurance Corporation (“FDIC”) insurance limits. We are adverse to principal loss and we ensure the safety and preservation of our invested funds by limiting default risk, market risk and reinvestment risk. We seek to mitigate default risk by depositing funds with high credit quality financial institutions, by limiting the amount of credit exposure to any one corporation or bank, by purchasing short-term investments consisting of U.S. government securities, and by positioning our portfolio to respond appropriately to a significant reduction in a credit rating of any such financial institution.</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consider the effects of interest rate movements to be a material risk to our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Disclosure Controls and Procedures</w:t>
      </w:r>
    </w:p>
    <w:p>
      <w:pPr>
        <w:spacing w:after="0" w:line="117" w:lineRule="exact"/>
        <w:rPr>
          <w:sz w:val="20"/>
          <w:szCs w:val="20"/>
          <w:color w:val="auto"/>
        </w:rPr>
      </w:pPr>
    </w:p>
    <w:p>
      <w:pPr>
        <w:ind w:right="940" w:firstLine="509"/>
        <w:spacing w:after="0" w:line="308" w:lineRule="auto"/>
        <w:rPr>
          <w:sz w:val="20"/>
          <w:szCs w:val="20"/>
          <w:color w:val="auto"/>
        </w:rPr>
      </w:pPr>
      <w:r>
        <w:rPr>
          <w:rFonts w:ascii="Arial" w:cs="Arial" w:eastAsia="Arial" w:hAnsi="Arial"/>
          <w:sz w:val="17"/>
          <w:szCs w:val="17"/>
          <w:color w:val="auto"/>
        </w:rPr>
        <w:t>Our management, with the participation of our Chief Executive Officer, or CEO, and Chief Financial Officer, or CFO, has evaluated the effectiveness of our disclosure controls and procedures (as defined in Exchange Act Rules 13a-15(e) and 15d-15(e)) as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of September 30, 2023. Based on such evaluation, our CEO and CFO have concluded that, as of September 30, 2023, our disclosure controls and procedures were effective to ensure that information required to be disclosed by us in the reports that we file or submit under the Exchange Act is recorded, processed, summarized and reported, within the time periods specified in the U.S. Securities and Exchange Commission, or SEC’s, rules and forms, and is accumulated and communicated to our management, including our CEO and CFO, as appropriate to allow timely decisions regarding required disclosure.</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40" w:firstLine="509"/>
        <w:spacing w:after="0" w:line="220" w:lineRule="exact"/>
        <w:rPr>
          <w:sz w:val="20"/>
          <w:szCs w:val="20"/>
          <w:color w:val="auto"/>
        </w:rPr>
      </w:pPr>
      <w:r>
        <w:rPr>
          <w:rFonts w:ascii="Arial" w:cs="Arial" w:eastAsia="Arial" w:hAnsi="Arial"/>
          <w:sz w:val="17"/>
          <w:szCs w:val="17"/>
          <w:color w:val="auto"/>
        </w:rPr>
        <w:t>Under the supervision and with the participation of our management, including our CEO and CFO, we carried out an evaluation of any potential changes in our internal control over financial reporting during the fiscal quarter ended September 30, 2023. There were no changes in our internal control over financial reporting (as defined in Rule 13a</w:t>
      </w:r>
      <w:r>
        <w:rPr>
          <w:rFonts w:ascii="MS PGothic" w:cs="MS PGothic" w:eastAsia="MS PGothic" w:hAnsi="MS PGothic"/>
          <w:sz w:val="17"/>
          <w:szCs w:val="17"/>
          <w:color w:val="auto"/>
        </w:rPr>
        <w:t>‑</w:t>
      </w:r>
      <w:r>
        <w:rPr>
          <w:rFonts w:ascii="Arial" w:cs="Arial" w:eastAsia="Arial" w:hAnsi="Arial"/>
          <w:sz w:val="17"/>
          <w:szCs w:val="17"/>
          <w:color w:val="auto"/>
        </w:rPr>
        <w:t>15(f) of the Exchange Act) that occurred during the fiscal quarter ended September 30, 2023, that has materially affected, or is reasonably likely to materially affect, our internal control over financial reporting.</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Inherent Limitations of Internal Controls</w:t>
      </w:r>
    </w:p>
    <w:p>
      <w:pPr>
        <w:spacing w:after="0" w:line="117" w:lineRule="exact"/>
        <w:rPr>
          <w:sz w:val="20"/>
          <w:szCs w:val="20"/>
          <w:color w:val="auto"/>
        </w:rPr>
      </w:pPr>
    </w:p>
    <w:p>
      <w:pPr>
        <w:ind w:right="40" w:firstLine="554"/>
        <w:spacing w:after="0" w:line="288" w:lineRule="auto"/>
        <w:rPr>
          <w:sz w:val="20"/>
          <w:szCs w:val="20"/>
          <w:color w:val="auto"/>
        </w:rPr>
      </w:pPr>
      <w:r>
        <w:rPr>
          <w:rFonts w:ascii="Arial" w:cs="Arial" w:eastAsia="Arial" w:hAnsi="Arial"/>
          <w:sz w:val="16"/>
          <w:szCs w:val="16"/>
          <w:color w:val="auto"/>
        </w:rPr>
        <w:t>Our management, including our CEO and CFO, does not expect that our disclosure controls and procedures or our internal controls over financial reporting will prevent or detect all error and all fraud. A control system, no matter how well designed and operated, can provide only reasonable, not absolute, assurance that the objectives of the control system are met. Due to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have been no material changes in our risk factors from those included in our 2023 Annual Report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580" w:type="dxa"/>
            <w:vAlign w:val="bottom"/>
            <w:gridSpan w:val="14"/>
          </w:tcPr>
          <w:p>
            <w:pPr>
              <w:ind w:left="246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Exhibits</w:t>
            </w: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95"/>
              </w:rPr>
              <w:t>3.1</w:t>
            </w:r>
          </w:p>
        </w:tc>
        <w:tc>
          <w:tcPr>
            <w:tcW w:w="140" w:type="dxa"/>
            <w:vAlign w:val="bottom"/>
          </w:tcPr>
          <w:p>
            <w:pPr>
              <w:spacing w:after="0"/>
              <w:rPr>
                <w:sz w:val="17"/>
                <w:szCs w:val="17"/>
                <w:color w:val="auto"/>
              </w:rPr>
            </w:pPr>
          </w:p>
        </w:tc>
        <w:tc>
          <w:tcPr>
            <w:tcW w:w="1018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163">
              <w:r>
                <w:rPr>
                  <w:rFonts w:ascii="Arial" w:cs="Arial" w:eastAsia="Arial" w:hAnsi="Arial"/>
                  <w:sz w:val="18"/>
                  <w:szCs w:val="18"/>
                  <w:color w:val="0000FF"/>
                  <w:w w:val="91"/>
                </w:rPr>
                <w:t>Certificate of Designation of Series A Junior Participating Preferred Stock of MEI Pharma, Inc. effective as of October 1, 2023 (incorporated</w:t>
              </w:r>
            </w:hyperlink>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2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163">
              <w:r>
                <w:rPr>
                  <w:rFonts w:ascii="Arial" w:cs="Arial" w:eastAsia="Arial" w:hAnsi="Arial"/>
                  <w:sz w:val="18"/>
                  <w:szCs w:val="18"/>
                  <w:color w:val="0000FF"/>
                  <w:w w:val="91"/>
                </w:rPr>
                <w:t>by reference to Exhibit 3.1 to the Registrant's Current Report on Form 8-K filed on October 3, 2023 (File No. 000-50484))</w:t>
              </w:r>
            </w:hyperlink>
          </w:p>
        </w:tc>
        <w:tc>
          <w:tcPr>
            <w:tcW w:w="20" w:type="dxa"/>
            <w:vAlign w:val="bottom"/>
            <w:tcBorders>
              <w:bottom w:val="single" w:sz="8" w:color="0000EE"/>
            </w:tcBorders>
          </w:tcPr>
          <w:p>
            <w:pPr>
              <w:spacing w:after="0"/>
              <w:rPr>
                <w:sz w:val="17"/>
                <w:szCs w:val="17"/>
                <w:color w:val="auto"/>
              </w:rPr>
            </w:pPr>
          </w:p>
        </w:tc>
        <w:tc>
          <w:tcPr>
            <w:tcW w:w="1340" w:type="dxa"/>
            <w:vAlign w:val="bottom"/>
            <w:gridSpan w:val="5"/>
          </w:tcPr>
          <w:p>
            <w:pPr>
              <w:spacing w:after="0"/>
              <w:rPr>
                <w:sz w:val="17"/>
                <w:szCs w:val="17"/>
                <w:color w:val="auto"/>
              </w:rPr>
            </w:pPr>
          </w:p>
        </w:tc>
      </w:tr>
      <w:tr>
        <w:trPr>
          <w:trHeight w:val="223"/>
        </w:trPr>
        <w:tc>
          <w:tcPr>
            <w:tcW w:w="8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40" w:type="dxa"/>
            <w:vAlign w:val="bottom"/>
          </w:tcPr>
          <w:p>
            <w:pPr>
              <w:spacing w:after="0"/>
              <w:rPr>
                <w:sz w:val="19"/>
                <w:szCs w:val="19"/>
                <w:color w:val="auto"/>
              </w:rPr>
            </w:pPr>
          </w:p>
        </w:tc>
        <w:tc>
          <w:tcPr>
            <w:tcW w:w="9740" w:type="dxa"/>
            <w:vAlign w:val="bottom"/>
            <w:tcBorders>
              <w:bottom w:val="single" w:sz="8" w:color="0000FF"/>
            </w:tcBorders>
            <w:gridSpan w:val="11"/>
          </w:tcPr>
          <w:p>
            <w:pPr>
              <w:spacing w:after="0"/>
              <w:rPr>
                <w:rFonts w:ascii="Arial" w:cs="Arial" w:eastAsia="Arial" w:hAnsi="Arial"/>
                <w:sz w:val="18"/>
                <w:szCs w:val="18"/>
                <w:color w:val="0000FF"/>
                <w:w w:val="90"/>
              </w:rPr>
            </w:pPr>
            <w:hyperlink r:id="rId164">
              <w:r>
                <w:rPr>
                  <w:rFonts w:ascii="Arial" w:cs="Arial" w:eastAsia="Arial" w:hAnsi="Arial"/>
                  <w:sz w:val="18"/>
                  <w:szCs w:val="18"/>
                  <w:color w:val="0000FF"/>
                  <w:w w:val="90"/>
                </w:rPr>
                <w:t>Rights Agreement between MEI Pharma, Inc. and Computershare, Inc. (as Rights Agent) dated as of October 1, 2023 (incorporated by</w:t>
              </w:r>
            </w:hyperlink>
          </w:p>
        </w:tc>
        <w:tc>
          <w:tcPr>
            <w:tcW w:w="440" w:type="dxa"/>
            <w:vAlign w:val="bottom"/>
            <w:gridSpan w:val="4"/>
          </w:tcPr>
          <w:p>
            <w:pPr>
              <w:spacing w:after="0"/>
              <w:rPr>
                <w:sz w:val="19"/>
                <w:szCs w:val="19"/>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15"/>
          </w:tcPr>
          <w:p>
            <w:pPr>
              <w:spacing w:after="0" w:line="196" w:lineRule="exact"/>
              <w:rPr>
                <w:rFonts w:ascii="Arial" w:cs="Arial" w:eastAsia="Arial" w:hAnsi="Arial"/>
                <w:sz w:val="18"/>
                <w:szCs w:val="18"/>
                <w:color w:val="0000FF"/>
              </w:rPr>
            </w:pPr>
            <w:hyperlink r:id="rId164">
              <w:r>
                <w:rPr>
                  <w:rFonts w:ascii="Arial" w:cs="Arial" w:eastAsia="Arial" w:hAnsi="Arial"/>
                  <w:sz w:val="18"/>
                  <w:szCs w:val="18"/>
                  <w:color w:val="0000FF"/>
                </w:rPr>
                <w:t>reference to the Registrant's Current Report on Form 8-K filed on October 3, 2023 (File No. 000-50484))</w:t>
              </w:r>
            </w:hyperlink>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19"/>
                <w:szCs w:val="19"/>
                <w:color w:val="auto"/>
              </w:rPr>
            </w:pPr>
          </w:p>
        </w:tc>
        <w:tc>
          <w:tcPr>
            <w:tcW w:w="9980" w:type="dxa"/>
            <w:vAlign w:val="bottom"/>
            <w:tcBorders>
              <w:bottom w:val="single" w:sz="8" w:color="0000FF"/>
            </w:tcBorders>
            <w:gridSpan w:val="13"/>
          </w:tcPr>
          <w:p>
            <w:pPr>
              <w:spacing w:after="0"/>
              <w:rPr>
                <w:rFonts w:ascii="Arial" w:cs="Arial" w:eastAsia="Arial" w:hAnsi="Arial"/>
                <w:sz w:val="18"/>
                <w:szCs w:val="18"/>
                <w:color w:val="0000FF"/>
                <w:w w:val="93"/>
              </w:rPr>
            </w:pPr>
            <w:hyperlink r:id="rId165">
              <w:r>
                <w:rPr>
                  <w:rFonts w:ascii="Arial" w:cs="Arial" w:eastAsia="Arial" w:hAnsi="Arial"/>
                  <w:sz w:val="18"/>
                  <w:szCs w:val="18"/>
                  <w:color w:val="0000FF"/>
                  <w:w w:val="93"/>
                </w:rPr>
                <w:t>Termination Agreement by and between MEI Pharma, Inc. and Kyowa Kirin Co., Ltd. (formerly known as Kyowa Hakko Kirin Co., Ltd.)</w:t>
              </w:r>
            </w:hyperlink>
          </w:p>
        </w:tc>
        <w:tc>
          <w:tcPr>
            <w:tcW w:w="200" w:type="dxa"/>
            <w:vAlign w:val="bottom"/>
            <w:gridSpan w:val="2"/>
          </w:tcPr>
          <w:p>
            <w:pPr>
              <w:spacing w:after="0"/>
              <w:rPr>
                <w:sz w:val="19"/>
                <w:szCs w:val="19"/>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165">
              <w:r>
                <w:rPr>
                  <w:rFonts w:ascii="Arial" w:cs="Arial" w:eastAsia="Arial" w:hAnsi="Arial"/>
                  <w:sz w:val="18"/>
                  <w:szCs w:val="18"/>
                  <w:color w:val="0000FF"/>
                  <w:w w:val="91"/>
                </w:rPr>
                <w:t>dated as of July 14, 2023 (incorporated by reference to Exhibit 10.1 to the Registrant's Current Report on Form 8-K filed on July 19, 2023</w:t>
              </w:r>
            </w:hyperlink>
          </w:p>
        </w:tc>
        <w:tc>
          <w:tcPr>
            <w:tcW w:w="20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15"/>
          </w:tcPr>
          <w:p>
            <w:pPr>
              <w:spacing w:after="0" w:line="196" w:lineRule="exact"/>
              <w:rPr>
                <w:rFonts w:ascii="Arial" w:cs="Arial" w:eastAsia="Arial" w:hAnsi="Arial"/>
                <w:sz w:val="18"/>
                <w:szCs w:val="18"/>
                <w:color w:val="0000FF"/>
              </w:rPr>
            </w:pPr>
            <w:hyperlink r:id="rId165">
              <w:r>
                <w:rPr>
                  <w:rFonts w:ascii="Arial" w:cs="Arial" w:eastAsia="Arial" w:hAnsi="Arial"/>
                  <w:sz w:val="18"/>
                  <w:szCs w:val="18"/>
                  <w:color w:val="0000FF"/>
                </w:rPr>
                <w:t>(File No. 000-50484))</w:t>
              </w:r>
            </w:hyperlink>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right w:val="single" w:sz="8" w:color="0000EE"/>
            </w:tcBorders>
            <w:shd w:val="clear" w:color="auto" w:fill="0000FF"/>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19"/>
                <w:szCs w:val="19"/>
                <w:color w:val="auto"/>
              </w:rPr>
            </w:pPr>
          </w:p>
        </w:tc>
        <w:tc>
          <w:tcPr>
            <w:tcW w:w="10180" w:type="dxa"/>
            <w:vAlign w:val="bottom"/>
            <w:tcBorders>
              <w:bottom w:val="single" w:sz="8" w:color="0000FF"/>
            </w:tcBorders>
            <w:gridSpan w:val="15"/>
          </w:tcPr>
          <w:p>
            <w:pPr>
              <w:spacing w:after="0"/>
              <w:rPr>
                <w:rFonts w:ascii="Arial" w:cs="Arial" w:eastAsia="Arial" w:hAnsi="Arial"/>
                <w:sz w:val="18"/>
                <w:szCs w:val="18"/>
                <w:color w:val="0000FF"/>
                <w:w w:val="91"/>
              </w:rPr>
            </w:pPr>
            <w:hyperlink r:id="rId166">
              <w:r>
                <w:rPr>
                  <w:rFonts w:ascii="Arial" w:cs="Arial" w:eastAsia="Arial" w:hAnsi="Arial"/>
                  <w:sz w:val="18"/>
                  <w:szCs w:val="18"/>
                  <w:color w:val="0000FF"/>
                  <w:w w:val="91"/>
                </w:rPr>
                <w:t>Termination Letter from MEI Pharma, Inc. to Infinity Pharmaceuticals, Inc. dated July 23, 2023 (incorporated by reference to the Registrant's</w:t>
              </w:r>
            </w:hyperlink>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15"/>
          </w:tcPr>
          <w:p>
            <w:pPr>
              <w:spacing w:after="0" w:line="196" w:lineRule="exact"/>
              <w:rPr>
                <w:rFonts w:ascii="Arial" w:cs="Arial" w:eastAsia="Arial" w:hAnsi="Arial"/>
                <w:sz w:val="18"/>
                <w:szCs w:val="18"/>
                <w:color w:val="0000FF"/>
              </w:rPr>
            </w:pPr>
            <w:hyperlink r:id="rId166">
              <w:r>
                <w:rPr>
                  <w:rFonts w:ascii="Arial" w:cs="Arial" w:eastAsia="Arial" w:hAnsi="Arial"/>
                  <w:sz w:val="18"/>
                  <w:szCs w:val="18"/>
                  <w:color w:val="0000FF"/>
                </w:rPr>
                <w:t>Current Report on Form 8-K filed on July 24, 2023 (File No. 000-0050484))</w:t>
              </w:r>
            </w:hyperlink>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40" w:type="dxa"/>
            <w:vAlign w:val="bottom"/>
          </w:tcPr>
          <w:p>
            <w:pPr>
              <w:spacing w:after="0"/>
              <w:rPr>
                <w:sz w:val="19"/>
                <w:szCs w:val="19"/>
                <w:color w:val="auto"/>
              </w:rPr>
            </w:pPr>
          </w:p>
        </w:tc>
        <w:tc>
          <w:tcPr>
            <w:tcW w:w="9960" w:type="dxa"/>
            <w:vAlign w:val="bottom"/>
            <w:tcBorders>
              <w:bottom w:val="single" w:sz="8" w:color="0000FF"/>
            </w:tcBorders>
            <w:gridSpan w:val="12"/>
          </w:tcPr>
          <w:p>
            <w:pPr>
              <w:spacing w:after="0"/>
              <w:rPr>
                <w:rFonts w:ascii="Arial" w:cs="Arial" w:eastAsia="Arial" w:hAnsi="Arial"/>
                <w:sz w:val="18"/>
                <w:szCs w:val="18"/>
                <w:color w:val="0000FF"/>
                <w:w w:val="90"/>
              </w:rPr>
            </w:pPr>
            <w:hyperlink r:id="rId167">
              <w:r>
                <w:rPr>
                  <w:rFonts w:ascii="Arial" w:cs="Arial" w:eastAsia="Arial" w:hAnsi="Arial"/>
                  <w:sz w:val="18"/>
                  <w:szCs w:val="18"/>
                  <w:color w:val="0000FF"/>
                  <w:w w:val="90"/>
                </w:rPr>
                <w:t>Cooperation Agreement dated as of October 31, 2023 by and among the Investors and the Company (incorporated by reference to Exhibit</w:t>
              </w:r>
            </w:hyperlink>
          </w:p>
        </w:tc>
        <w:tc>
          <w:tcPr>
            <w:tcW w:w="220" w:type="dxa"/>
            <w:vAlign w:val="bottom"/>
            <w:gridSpan w:val="3"/>
          </w:tcPr>
          <w:p>
            <w:pPr>
              <w:spacing w:after="0"/>
              <w:rPr>
                <w:sz w:val="19"/>
                <w:szCs w:val="19"/>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15"/>
          </w:tcPr>
          <w:p>
            <w:pPr>
              <w:spacing w:after="0" w:line="196" w:lineRule="exact"/>
              <w:rPr>
                <w:rFonts w:ascii="Arial" w:cs="Arial" w:eastAsia="Arial" w:hAnsi="Arial"/>
                <w:sz w:val="18"/>
                <w:szCs w:val="18"/>
                <w:color w:val="0000FF"/>
              </w:rPr>
            </w:pPr>
            <w:hyperlink r:id="rId167">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Registrant's Current Report on Form 8-K filed on November 1, 2023 (File No. 001-41827)</w:t>
              </w:r>
              <w:r>
                <w:rPr>
                  <w:rFonts w:ascii="Arial" w:cs="Arial" w:eastAsia="Arial" w:hAnsi="Arial"/>
                  <w:sz w:val="18"/>
                  <w:szCs w:val="18"/>
                  <w:color w:val="000000"/>
                </w:rPr>
                <w:t>)</w:t>
              </w:r>
            </w:hyperlink>
          </w:p>
        </w:tc>
      </w:tr>
      <w:tr>
        <w:trPr>
          <w:trHeight w:val="223"/>
        </w:trPr>
        <w:tc>
          <w:tcPr>
            <w:tcW w:w="8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40" w:type="dxa"/>
            <w:vAlign w:val="bottom"/>
          </w:tcPr>
          <w:p>
            <w:pPr>
              <w:spacing w:after="0"/>
              <w:rPr>
                <w:sz w:val="19"/>
                <w:szCs w:val="19"/>
                <w:color w:val="auto"/>
              </w:rPr>
            </w:pPr>
          </w:p>
        </w:tc>
        <w:tc>
          <w:tcPr>
            <w:tcW w:w="562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2"/>
              </w:rPr>
              <w:t>Rule 13a-14(a) or Rule 15d-14(a) Certification of Principal Executive Officer.</w:t>
            </w:r>
          </w:p>
        </w:tc>
        <w:tc>
          <w:tcPr>
            <w:tcW w:w="1700" w:type="dxa"/>
            <w:vAlign w:val="bottom"/>
            <w:tcBorders>
              <w:top w:val="single" w:sz="8" w:color="0000FF"/>
            </w:tcBorders>
          </w:tcPr>
          <w:p>
            <w:pPr>
              <w:spacing w:after="0"/>
              <w:rPr>
                <w:sz w:val="19"/>
                <w:szCs w:val="19"/>
                <w:color w:val="auto"/>
              </w:rPr>
            </w:pPr>
          </w:p>
        </w:tc>
        <w:tc>
          <w:tcPr>
            <w:tcW w:w="2860" w:type="dxa"/>
            <w:vAlign w:val="bottom"/>
            <w:gridSpan w:val="8"/>
          </w:tcPr>
          <w:p>
            <w:pPr>
              <w:spacing w:after="0"/>
              <w:rPr>
                <w:sz w:val="19"/>
                <w:szCs w:val="19"/>
                <w:color w:val="auto"/>
              </w:rPr>
            </w:pPr>
          </w:p>
        </w:tc>
      </w:tr>
      <w:tr>
        <w:trPr>
          <w:trHeight w:val="223"/>
        </w:trPr>
        <w:tc>
          <w:tcPr>
            <w:tcW w:w="8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40" w:type="dxa"/>
            <w:vAlign w:val="bottom"/>
          </w:tcPr>
          <w:p>
            <w:pPr>
              <w:spacing w:after="0"/>
              <w:rPr>
                <w:sz w:val="19"/>
                <w:szCs w:val="19"/>
                <w:color w:val="auto"/>
              </w:rPr>
            </w:pPr>
          </w:p>
        </w:tc>
        <w:tc>
          <w:tcPr>
            <w:tcW w:w="10180" w:type="dxa"/>
            <w:vAlign w:val="bottom"/>
            <w:gridSpan w:val="15"/>
          </w:tcPr>
          <w:p>
            <w:pPr>
              <w:spacing w:after="0"/>
              <w:rPr>
                <w:sz w:val="20"/>
                <w:szCs w:val="20"/>
                <w:color w:val="auto"/>
              </w:rPr>
            </w:pPr>
            <w:r>
              <w:rPr>
                <w:rFonts w:ascii="Arial" w:cs="Arial" w:eastAsia="Arial" w:hAnsi="Arial"/>
                <w:sz w:val="18"/>
                <w:szCs w:val="18"/>
                <w:color w:val="0000FF"/>
              </w:rPr>
              <w:t>Rule 13a-14(a) or Rule 15d-14(a) Certification of Principal Financial Officer.</w:t>
            </w: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40" w:type="dxa"/>
            <w:vAlign w:val="bottom"/>
          </w:tcPr>
          <w:p>
            <w:pPr>
              <w:spacing w:after="0"/>
              <w:rPr>
                <w:sz w:val="19"/>
                <w:szCs w:val="19"/>
                <w:color w:val="auto"/>
              </w:rPr>
            </w:pPr>
          </w:p>
        </w:tc>
        <w:tc>
          <w:tcPr>
            <w:tcW w:w="100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2"/>
              </w:rPr>
              <w:t>Certification of Principal Executive Officer and Principal Financial Officer required by Rule 13a-14(b) or Rule 15d-14(b) and Section 1350</w:t>
            </w:r>
          </w:p>
        </w:tc>
        <w:tc>
          <w:tcPr>
            <w:tcW w:w="100" w:type="dxa"/>
            <w:vAlign w:val="bottom"/>
          </w:tcPr>
          <w:p>
            <w:pPr>
              <w:spacing w:after="0"/>
              <w:rPr>
                <w:sz w:val="19"/>
                <w:szCs w:val="19"/>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6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of Chapter 63 of Title 18 of the United States Code (18 U.S.C 1350).</w:t>
            </w:r>
          </w:p>
        </w:tc>
        <w:tc>
          <w:tcPr>
            <w:tcW w:w="20" w:type="dxa"/>
            <w:vAlign w:val="bottom"/>
            <w:tcBorders>
              <w:bottom w:val="single" w:sz="8" w:color="0000EE"/>
            </w:tcBorders>
          </w:tcPr>
          <w:p>
            <w:pPr>
              <w:spacing w:after="0"/>
              <w:rPr>
                <w:sz w:val="17"/>
                <w:szCs w:val="17"/>
                <w:color w:val="auto"/>
              </w:rPr>
            </w:pPr>
          </w:p>
        </w:tc>
        <w:tc>
          <w:tcPr>
            <w:tcW w:w="5200" w:type="dxa"/>
            <w:vAlign w:val="bottom"/>
            <w:gridSpan w:val="12"/>
          </w:tcPr>
          <w:p>
            <w:pPr>
              <w:spacing w:after="0"/>
              <w:rPr>
                <w:sz w:val="17"/>
                <w:szCs w:val="17"/>
                <w:color w:val="auto"/>
              </w:rPr>
            </w:pPr>
          </w:p>
        </w:tc>
      </w:tr>
      <w:tr>
        <w:trPr>
          <w:trHeight w:val="249"/>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1"/>
                <w:szCs w:val="21"/>
                <w:color w:val="auto"/>
              </w:rPr>
            </w:pPr>
          </w:p>
        </w:tc>
        <w:tc>
          <w:tcPr>
            <w:tcW w:w="10180" w:type="dxa"/>
            <w:vAlign w:val="bottom"/>
            <w:gridSpan w:val="15"/>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 File because XBRL tags are embedded</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15"/>
          </w:tcPr>
          <w:p>
            <w:pPr>
              <w:spacing w:after="0"/>
              <w:rPr>
                <w:sz w:val="20"/>
                <w:szCs w:val="20"/>
                <w:color w:val="auto"/>
              </w:rPr>
            </w:pPr>
            <w:r>
              <w:rPr>
                <w:rFonts w:ascii="Arial" w:cs="Arial" w:eastAsia="Arial" w:hAnsi="Arial"/>
                <w:sz w:val="18"/>
                <w:szCs w:val="18"/>
                <w:color w:val="auto"/>
              </w:rPr>
              <w:t>within the Inline XBRL document.</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1"/>
                <w:szCs w:val="21"/>
                <w:color w:val="auto"/>
              </w:rPr>
            </w:pPr>
          </w:p>
        </w:tc>
        <w:tc>
          <w:tcPr>
            <w:tcW w:w="1018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1"/>
                <w:szCs w:val="21"/>
                <w:color w:val="auto"/>
              </w:rPr>
            </w:pPr>
          </w:p>
        </w:tc>
        <w:tc>
          <w:tcPr>
            <w:tcW w:w="1018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1"/>
                <w:szCs w:val="21"/>
                <w:color w:val="auto"/>
              </w:rPr>
            </w:pPr>
          </w:p>
        </w:tc>
        <w:tc>
          <w:tcPr>
            <w:tcW w:w="1018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1"/>
                <w:szCs w:val="21"/>
                <w:color w:val="auto"/>
              </w:rPr>
            </w:pPr>
          </w:p>
        </w:tc>
        <w:tc>
          <w:tcPr>
            <w:tcW w:w="1018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1"/>
                <w:szCs w:val="21"/>
                <w:color w:val="auto"/>
              </w:rPr>
            </w:pPr>
          </w:p>
        </w:tc>
        <w:tc>
          <w:tcPr>
            <w:tcW w:w="1018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3" w:lineRule="exact"/>
        <w:rPr>
          <w:sz w:val="20"/>
          <w:szCs w:val="20"/>
          <w:color w:val="auto"/>
        </w:rPr>
      </w:pPr>
    </w:p>
    <w:p>
      <w:pPr>
        <w:ind w:left="5540" w:right="4400" w:hanging="5519"/>
        <w:spacing w:after="0" w:line="794"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to be signed on its behalf by the undersigned, thereunto duly authorized.</w:t>
      </w:r>
    </w:p>
    <w:p>
      <w:pPr>
        <w:spacing w:after="0" w:line="19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MEI Pharma, Inc.</w:t>
      </w:r>
    </w:p>
    <w:p>
      <w:pPr>
        <w:spacing w:after="0" w:line="25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Justin J. File</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and Secretary</w:t>
      </w:r>
    </w:p>
    <w:p>
      <w:pPr>
        <w:spacing w:after="0" w:line="200" w:lineRule="exact"/>
        <w:rPr>
          <w:sz w:val="20"/>
          <w:szCs w:val="20"/>
          <w:color w:val="auto"/>
        </w:rPr>
      </w:pPr>
    </w:p>
    <w:p>
      <w:pPr>
        <w:spacing w:after="0" w:line="25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November 9, 2023</w:t>
      </w: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M. Urso, certify that:</w:t>
      </w:r>
    </w:p>
    <w:p>
      <w:pPr>
        <w:spacing w:after="0" w:line="117"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MEI Pharma, Inc.;</w:t>
      </w:r>
    </w:p>
    <w:p>
      <w:pPr>
        <w:spacing w:after="0" w:line="117" w:lineRule="exact"/>
        <w:rPr>
          <w:rFonts w:ascii="Arial" w:cs="Arial" w:eastAsia="Arial" w:hAnsi="Arial"/>
          <w:sz w:val="18"/>
          <w:szCs w:val="18"/>
          <w:color w:val="auto"/>
        </w:rPr>
      </w:pPr>
    </w:p>
    <w:p>
      <w:pPr>
        <w:jc w:val="both"/>
        <w:ind w:left="520" w:right="100" w:hanging="512"/>
        <w:spacing w:after="0" w:line="263"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left="520" w:right="260" w:hanging="512"/>
        <w:spacing w:after="0" w:line="263"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020" w:right="40" w:hanging="503"/>
        <w:spacing w:after="0" w:line="263"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20" w:right="60" w:hanging="503"/>
        <w:spacing w:after="0" w:line="263"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75" w:lineRule="exact"/>
        <w:rPr>
          <w:rFonts w:ascii="Arial" w:cs="Arial" w:eastAsia="Arial" w:hAnsi="Arial"/>
          <w:sz w:val="18"/>
          <w:szCs w:val="18"/>
          <w:color w:val="auto"/>
        </w:rPr>
      </w:pPr>
    </w:p>
    <w:p>
      <w:pPr>
        <w:ind w:left="1020" w:right="120" w:hanging="503"/>
        <w:spacing w:after="0" w:line="263"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5" w:lineRule="exact"/>
        <w:rPr>
          <w:rFonts w:ascii="Arial" w:cs="Arial" w:eastAsia="Arial" w:hAnsi="Arial"/>
          <w:sz w:val="18"/>
          <w:szCs w:val="18"/>
          <w:color w:val="auto"/>
        </w:rPr>
      </w:pPr>
    </w:p>
    <w:p>
      <w:pPr>
        <w:ind w:left="520" w:right="140" w:hanging="512"/>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1020" w:right="740" w:hanging="503"/>
        <w:spacing w:after="0" w:line="342" w:lineRule="auto"/>
        <w:tabs>
          <w:tab w:leader="none" w:pos="10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600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6"/>
          <w:szCs w:val="16"/>
          <w:color w:val="auto"/>
        </w:rPr>
        <w:t>/s/ David M. Urso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0898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David M. Urso</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Justin J. File, certify that:</w:t>
      </w:r>
    </w:p>
    <w:p>
      <w:pPr>
        <w:spacing w:after="0" w:line="117"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MEI Pharma, Inc.;</w:t>
      </w:r>
    </w:p>
    <w:p>
      <w:pPr>
        <w:spacing w:after="0" w:line="117" w:lineRule="exact"/>
        <w:rPr>
          <w:rFonts w:ascii="Arial" w:cs="Arial" w:eastAsia="Arial" w:hAnsi="Arial"/>
          <w:sz w:val="18"/>
          <w:szCs w:val="18"/>
          <w:color w:val="auto"/>
        </w:rPr>
      </w:pPr>
    </w:p>
    <w:p>
      <w:pPr>
        <w:jc w:val="both"/>
        <w:ind w:left="520" w:right="100" w:hanging="512"/>
        <w:spacing w:after="0" w:line="263"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left="520" w:right="260" w:hanging="512"/>
        <w:spacing w:after="0" w:line="263"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020" w:right="40" w:hanging="503"/>
        <w:spacing w:after="0" w:line="263"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20" w:right="60" w:hanging="503"/>
        <w:spacing w:after="0" w:line="263"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75" w:lineRule="exact"/>
        <w:rPr>
          <w:rFonts w:ascii="Arial" w:cs="Arial" w:eastAsia="Arial" w:hAnsi="Arial"/>
          <w:sz w:val="18"/>
          <w:szCs w:val="18"/>
          <w:color w:val="auto"/>
        </w:rPr>
      </w:pPr>
    </w:p>
    <w:p>
      <w:pPr>
        <w:ind w:left="1020" w:right="120" w:hanging="503"/>
        <w:spacing w:after="0" w:line="263"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5" w:lineRule="exact"/>
        <w:rPr>
          <w:rFonts w:ascii="Arial" w:cs="Arial" w:eastAsia="Arial" w:hAnsi="Arial"/>
          <w:sz w:val="18"/>
          <w:szCs w:val="18"/>
          <w:color w:val="auto"/>
        </w:rPr>
      </w:pPr>
    </w:p>
    <w:p>
      <w:pPr>
        <w:ind w:left="520" w:right="140" w:hanging="512"/>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1020" w:right="740" w:hanging="503"/>
        <w:spacing w:after="0" w:line="342" w:lineRule="auto"/>
        <w:tabs>
          <w:tab w:leader="none" w:pos="10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600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6"/>
          <w:szCs w:val="16"/>
          <w:color w:val="auto"/>
        </w:rPr>
        <w:t>/s/ 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0898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Justin J. File</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Pursuant to the requirement set forth in Rule 13a-14(b) or Rule 15d-14(b) of the Securities Exchange Act of 1934, as amended, and Section 1350 of Chapter 63 of Title 18 of the United States Code (18 U.S.C. § 1350), David M. Urso, the President and Chief Executive Officer of MEI Pharma, Inc. (the “Registrant”), and Justin J. File, the Chief Financial Officer of the Registrant, each hereby certifies that, to his knowledge:</w:t>
      </w:r>
    </w:p>
    <w:p>
      <w:pPr>
        <w:spacing w:after="0" w:line="57" w:lineRule="exact"/>
        <w:rPr>
          <w:sz w:val="20"/>
          <w:szCs w:val="20"/>
          <w:color w:val="auto"/>
        </w:rPr>
      </w:pPr>
    </w:p>
    <w:p>
      <w:pPr>
        <w:ind w:left="520" w:right="20" w:hanging="512"/>
        <w:spacing w:after="0" w:line="342" w:lineRule="auto"/>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Quarterly Report on Form 10-Q for the period ended September 30, 2023, (the “Form 10-Q”) to which this Certification is attached as Exhibit 32.1, fully complies with the requirements of Section 13(a) or Section 15(d) of the Securities Exchange Act of 1934, as amended; and</w:t>
      </w:r>
    </w:p>
    <w:p>
      <w:pPr>
        <w:spacing w:after="0" w:line="15" w:lineRule="exact"/>
        <w:rPr>
          <w:rFonts w:ascii="Arial" w:cs="Arial" w:eastAsia="Arial" w:hAnsi="Arial"/>
          <w:sz w:val="16"/>
          <w:szCs w:val="16"/>
          <w:color w:val="auto"/>
        </w:rPr>
      </w:pPr>
    </w:p>
    <w:p>
      <w:pPr>
        <w:ind w:left="520" w:right="60" w:hanging="512"/>
        <w:spacing w:after="0" w:line="277"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of the Registrant at the end of the period covered by the Form 10-Q and results of operations of the registrant for the period covered by the Form 10-Q.</w:t>
      </w:r>
    </w:p>
    <w:p>
      <w:pPr>
        <w:spacing w:after="0" w:line="170"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These certifications accompanying the Form 10-Q to which they relate,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 filing.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Dated: November 9, 2023</w:t>
            </w:r>
          </w:p>
        </w:tc>
        <w:tc>
          <w:tcPr>
            <w:tcW w:w="66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466"/>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M. Urso</w:t>
            </w:r>
          </w:p>
        </w:tc>
        <w:tc>
          <w:tcPr>
            <w:tcW w:w="660" w:type="dxa"/>
            <w:vAlign w:val="bottom"/>
          </w:tcPr>
          <w:p>
            <w:pPr>
              <w:spacing w:after="0"/>
              <w:rPr>
                <w:sz w:val="24"/>
                <w:szCs w:val="24"/>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Justin J. File</w:t>
            </w:r>
          </w:p>
        </w:tc>
      </w:tr>
      <w:tr>
        <w:trPr>
          <w:trHeight w:val="215"/>
        </w:trPr>
        <w:tc>
          <w:tcPr>
            <w:tcW w:w="5300" w:type="dxa"/>
            <w:vAlign w:val="bottom"/>
          </w:tcPr>
          <w:p>
            <w:pPr>
              <w:ind w:left="20"/>
              <w:spacing w:after="0"/>
              <w:rPr>
                <w:sz w:val="20"/>
                <w:szCs w:val="20"/>
                <w:color w:val="auto"/>
              </w:rPr>
            </w:pPr>
            <w:r>
              <w:rPr>
                <w:rFonts w:ascii="Arial" w:cs="Arial" w:eastAsia="Arial" w:hAnsi="Arial"/>
                <w:sz w:val="18"/>
                <w:szCs w:val="18"/>
                <w:color w:val="auto"/>
              </w:rPr>
              <w:t>David. M. Urso</w:t>
            </w:r>
          </w:p>
        </w:tc>
        <w:tc>
          <w:tcPr>
            <w:tcW w:w="66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Justin J. File</w:t>
            </w: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66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Chief Financial Officer and Secretary</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66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560"/>
        </w:trPr>
        <w:tc>
          <w:tcPr>
            <w:tcW w:w="5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lvl w:ilvl="1">
      <w:lvlJc w:val="left"/>
      <w:lvlText w:val="(%2)"/>
      <w:numFmt w:val="decimal"/>
      <w:start w:val="1"/>
    </w:lvl>
  </w:abstractNum>
  <w:abstractNum w:abstractNumId="3">
    <w:nsid w:val="66EF438D"/>
    <w:multiLevelType w:val="hybridMultilevel"/>
    <w:lvl w:ilvl="0">
      <w:lvlJc w:val="left"/>
      <w:lvlText w:val="%1."/>
      <w:numFmt w:val="decimal"/>
      <w:start w:val="4"/>
    </w:lvl>
    <w:lvl w:ilvl="1">
      <w:lvlJc w:val="left"/>
      <w:lvlText w:val="%2"/>
      <w:numFmt w:val="decimal"/>
      <w:start w:val="1"/>
    </w:lvl>
  </w:abstractNum>
  <w:abstractNum w:abstractNumId="4">
    <w:nsid w:val="140E0F76"/>
    <w:multiLevelType w:val="hybridMultilevel"/>
    <w:lvl w:ilvl="0">
      <w:lvlJc w:val="left"/>
      <w:lvlText w:val="%1."/>
      <w:numFmt w:val="decimal"/>
      <w:start w:val="10"/>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04"/>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63" Type="http://schemas.openxmlformats.org/officeDocument/2006/relationships/hyperlink" Target="https://www.sec.gov/Archives/edgar/data/1262104/000119312523249423/d559817dex31.htm" TargetMode="External"/><Relationship Id="rId164" Type="http://schemas.openxmlformats.org/officeDocument/2006/relationships/hyperlink" Target="https://www.sec.gov/Archives/edgar/data/1262104/000119312523249423/d559817dex41.htm" TargetMode="External"/><Relationship Id="rId165" Type="http://schemas.openxmlformats.org/officeDocument/2006/relationships/hyperlink" Target="https://www.sec.gov/Archives/edgar/data/1262104/000119312523189610/d529233dex101.htm" TargetMode="External"/><Relationship Id="rId166" Type="http://schemas.openxmlformats.org/officeDocument/2006/relationships/hyperlink" Target="https://www.sec.gov/Archives/edgar/data/1262104/000119312523191945/d442693dex101.htm" TargetMode="External"/><Relationship Id="rId167" Type="http://schemas.openxmlformats.org/officeDocument/2006/relationships/hyperlink" Target="https://www.sec.gov/Archives/edgar/data/1262104/000119312523268167/d51492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2023-11-09T15:24:54Z</dcterms:created>
  <dcterms:modified xsi:type="dcterms:W3CDTF">2023-11-09T15:24:54Z</dcterms:modified>
</cp:coreProperties>
</file>