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820" w:right="1620" w:hanging="3799"/>
        <w:spacing w:after="0" w:line="376"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27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06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3725545</wp:posOffset>
            </wp:positionH>
            <wp:positionV relativeFrom="paragraph">
              <wp:posOffset>8890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000-50484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MEI Pharma,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jc w:val="center"/>
              <w:ind w:left="2028"/>
              <w:spacing w:after="0"/>
              <w:rPr>
                <w:sz w:val="20"/>
                <w:szCs w:val="20"/>
                <w:color w:val="auto"/>
              </w:rPr>
            </w:pPr>
            <w:r>
              <w:rPr>
                <w:rFonts w:ascii="Arial" w:cs="Arial" w:eastAsia="Arial" w:hAnsi="Arial"/>
                <w:sz w:val="16"/>
                <w:szCs w:val="16"/>
                <w:b w:val="1"/>
                <w:bCs w:val="1"/>
                <w:color w:val="auto"/>
                <w:w w:val="99"/>
              </w:rPr>
              <w:t>DELAWARE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960" w:type="dxa"/>
            <w:vAlign w:val="bottom"/>
          </w:tcPr>
          <w:p>
            <w:pPr>
              <w:jc w:val="center"/>
              <w:ind w:right="1468"/>
              <w:spacing w:after="0"/>
              <w:rPr>
                <w:sz w:val="20"/>
                <w:szCs w:val="20"/>
                <w:color w:val="auto"/>
              </w:rPr>
            </w:pPr>
            <w:r>
              <w:rPr>
                <w:rFonts w:ascii="Arial" w:cs="Arial" w:eastAsia="Arial" w:hAnsi="Arial"/>
                <w:sz w:val="16"/>
                <w:szCs w:val="16"/>
                <w:b w:val="1"/>
                <w:bCs w:val="1"/>
                <w:color w:val="auto"/>
                <w:w w:val="91"/>
              </w:rPr>
              <w:t>51-0407811</w:t>
            </w:r>
          </w:p>
        </w:tc>
        <w:tc>
          <w:tcPr>
            <w:tcW w:w="0" w:type="dxa"/>
            <w:vAlign w:val="bottom"/>
          </w:tcPr>
          <w:p>
            <w:pPr>
              <w:spacing w:after="0"/>
              <w:rPr>
                <w:sz w:val="1"/>
                <w:szCs w:val="1"/>
                <w:color w:val="auto"/>
              </w:rPr>
            </w:pPr>
          </w:p>
        </w:tc>
      </w:tr>
      <w:tr>
        <w:trPr>
          <w:trHeight w:val="126"/>
        </w:trPr>
        <w:tc>
          <w:tcPr>
            <w:tcW w:w="3860" w:type="dxa"/>
            <w:vAlign w:val="bottom"/>
          </w:tcPr>
          <w:p>
            <w:pPr>
              <w:jc w:val="center"/>
              <w:ind w:left="2008"/>
              <w:spacing w:after="0" w:line="126" w:lineRule="exact"/>
              <w:rPr>
                <w:sz w:val="20"/>
                <w:szCs w:val="20"/>
                <w:color w:val="auto"/>
              </w:rPr>
            </w:pPr>
            <w:r>
              <w:rPr>
                <w:rFonts w:ascii="Arial" w:cs="Arial" w:eastAsia="Arial" w:hAnsi="Arial"/>
                <w:sz w:val="13"/>
                <w:szCs w:val="13"/>
                <w:b w:val="1"/>
                <w:bCs w:val="1"/>
                <w:color w:val="auto"/>
                <w:w w:val="88"/>
              </w:rPr>
              <w:t>(State or other jurisdiction of</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960" w:type="dxa"/>
            <w:vAlign w:val="bottom"/>
          </w:tcPr>
          <w:p>
            <w:pPr>
              <w:jc w:val="center"/>
              <w:ind w:right="1468"/>
              <w:spacing w:after="0" w:line="126"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3860" w:type="dxa"/>
            <w:vAlign w:val="bottom"/>
          </w:tcPr>
          <w:p>
            <w:pPr>
              <w:jc w:val="center"/>
              <w:ind w:left="2028"/>
              <w:spacing w:after="0"/>
              <w:rPr>
                <w:sz w:val="20"/>
                <w:szCs w:val="20"/>
                <w:color w:val="auto"/>
              </w:rPr>
            </w:pPr>
            <w:r>
              <w:rPr>
                <w:rFonts w:ascii="Arial" w:cs="Arial" w:eastAsia="Arial" w:hAnsi="Arial"/>
                <w:sz w:val="13"/>
                <w:szCs w:val="13"/>
                <w:b w:val="1"/>
                <w:bCs w:val="1"/>
                <w:color w:val="auto"/>
                <w:w w:val="88"/>
              </w:rPr>
              <w:t>incorporation or organization)</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960" w:type="dxa"/>
            <w:vAlign w:val="bottom"/>
          </w:tcPr>
          <w:p>
            <w:pPr>
              <w:jc w:val="center"/>
              <w:ind w:right="1468"/>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344"/>
        </w:trPr>
        <w:tc>
          <w:tcPr>
            <w:tcW w:w="3860" w:type="dxa"/>
            <w:vAlign w:val="bottom"/>
          </w:tcPr>
          <w:p>
            <w:pPr>
              <w:spacing w:after="0"/>
              <w:rPr>
                <w:sz w:val="24"/>
                <w:szCs w:val="24"/>
                <w:color w:val="auto"/>
              </w:rPr>
            </w:pPr>
          </w:p>
        </w:tc>
        <w:tc>
          <w:tcPr>
            <w:tcW w:w="3420" w:type="dxa"/>
            <w:vAlign w:val="bottom"/>
            <w:gridSpan w:val="7"/>
          </w:tcPr>
          <w:p>
            <w:pPr>
              <w:jc w:val="center"/>
              <w:ind w:left="26"/>
              <w:spacing w:after="0"/>
              <w:rPr>
                <w:sz w:val="20"/>
                <w:szCs w:val="20"/>
                <w:color w:val="auto"/>
              </w:rPr>
            </w:pPr>
            <w:r>
              <w:rPr>
                <w:rFonts w:ascii="Arial" w:cs="Arial" w:eastAsia="Arial" w:hAnsi="Arial"/>
                <w:sz w:val="16"/>
                <w:szCs w:val="16"/>
                <w:b w:val="1"/>
                <w:bCs w:val="1"/>
                <w:color w:val="auto"/>
                <w:w w:val="92"/>
              </w:rPr>
              <w:t>11455 El Camino Real, San Diego, CA 92130</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860" w:type="dxa"/>
            <w:vAlign w:val="bottom"/>
          </w:tcPr>
          <w:p>
            <w:pPr>
              <w:spacing w:after="0"/>
              <w:rPr>
                <w:sz w:val="14"/>
                <w:szCs w:val="14"/>
                <w:color w:val="auto"/>
              </w:rPr>
            </w:pPr>
          </w:p>
        </w:tc>
        <w:tc>
          <w:tcPr>
            <w:tcW w:w="3420" w:type="dxa"/>
            <w:vAlign w:val="bottom"/>
            <w:gridSpan w:val="7"/>
          </w:tcPr>
          <w:p>
            <w:pPr>
              <w:jc w:val="center"/>
              <w:ind w:left="46"/>
              <w:spacing w:after="0"/>
              <w:rPr>
                <w:sz w:val="20"/>
                <w:szCs w:val="20"/>
                <w:color w:val="auto"/>
              </w:rPr>
            </w:pPr>
            <w:r>
              <w:rPr>
                <w:rFonts w:ascii="Arial" w:cs="Arial" w:eastAsia="Arial" w:hAnsi="Arial"/>
                <w:sz w:val="13"/>
                <w:szCs w:val="13"/>
                <w:b w:val="1"/>
                <w:bCs w:val="1"/>
                <w:color w:val="auto"/>
                <w:w w:val="86"/>
              </w:rPr>
              <w:t>(Address of principal executive offices) (Zip Code)</w:t>
            </w: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3860" w:type="dxa"/>
            <w:vAlign w:val="bottom"/>
          </w:tcPr>
          <w:p>
            <w:pPr>
              <w:spacing w:after="0"/>
              <w:rPr>
                <w:sz w:val="22"/>
                <w:szCs w:val="22"/>
                <w:color w:val="auto"/>
              </w:rPr>
            </w:pPr>
          </w:p>
        </w:tc>
        <w:tc>
          <w:tcPr>
            <w:tcW w:w="2340" w:type="dxa"/>
            <w:vAlign w:val="bottom"/>
            <w:gridSpan w:val="5"/>
          </w:tcPr>
          <w:p>
            <w:pPr>
              <w:jc w:val="center"/>
              <w:ind w:left="1126"/>
              <w:spacing w:after="0"/>
              <w:rPr>
                <w:sz w:val="20"/>
                <w:szCs w:val="20"/>
                <w:color w:val="auto"/>
              </w:rPr>
            </w:pPr>
            <w:r>
              <w:rPr>
                <w:rFonts w:ascii="Arial" w:cs="Arial" w:eastAsia="Arial" w:hAnsi="Arial"/>
                <w:sz w:val="16"/>
                <w:szCs w:val="16"/>
                <w:b w:val="1"/>
                <w:bCs w:val="1"/>
                <w:color w:val="auto"/>
                <w:w w:val="93"/>
              </w:rPr>
              <w:t>(858) 369-7100</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3860" w:type="dxa"/>
            <w:vAlign w:val="bottom"/>
          </w:tcPr>
          <w:p>
            <w:pPr>
              <w:spacing w:after="0"/>
              <w:rPr>
                <w:sz w:val="14"/>
                <w:szCs w:val="14"/>
                <w:color w:val="auto"/>
              </w:rPr>
            </w:pPr>
          </w:p>
        </w:tc>
        <w:tc>
          <w:tcPr>
            <w:tcW w:w="3420" w:type="dxa"/>
            <w:vAlign w:val="bottom"/>
            <w:gridSpan w:val="7"/>
          </w:tcPr>
          <w:p>
            <w:pPr>
              <w:jc w:val="center"/>
              <w:ind w:left="26"/>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5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3860" w:type="dxa"/>
            <w:vAlign w:val="bottom"/>
          </w:tcPr>
          <w:p>
            <w:pPr>
              <w:spacing w:after="0"/>
              <w:rPr>
                <w:sz w:val="21"/>
                <w:szCs w:val="21"/>
                <w:color w:val="auto"/>
              </w:rPr>
            </w:pPr>
          </w:p>
        </w:tc>
        <w:tc>
          <w:tcPr>
            <w:tcW w:w="7380" w:type="dxa"/>
            <w:vAlign w:val="bottom"/>
            <w:gridSpan w:val="8"/>
          </w:tcPr>
          <w:p>
            <w:pPr>
              <w:ind w:left="8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13"/>
        </w:trPr>
        <w:tc>
          <w:tcPr>
            <w:tcW w:w="386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89"/>
              </w:rPr>
              <w:t>Title of each class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97"/>
              </w:rPr>
              <w:t>Trading</w:t>
            </w:r>
          </w:p>
        </w:tc>
        <w:tc>
          <w:tcPr>
            <w:tcW w:w="3960" w:type="dxa"/>
            <w:vAlign w:val="bottom"/>
            <w:vMerge w:val="restart"/>
          </w:tcPr>
          <w:p>
            <w:pPr>
              <w:jc w:val="center"/>
              <w:ind w:right="100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3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91"/>
              </w:rPr>
              <w:t>Symbol(s)</w:t>
            </w:r>
          </w:p>
        </w:tc>
        <w:tc>
          <w:tcPr>
            <w:tcW w:w="3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60" w:type="dxa"/>
            <w:vAlign w:val="bottom"/>
            <w:tcBorders>
              <w:top w:val="single" w:sz="8" w:color="auto"/>
            </w:tcBorders>
          </w:tcPr>
          <w:p>
            <w:pPr>
              <w:jc w:val="center"/>
              <w:ind w:left="368"/>
              <w:spacing w:after="0"/>
              <w:rPr>
                <w:sz w:val="20"/>
                <w:szCs w:val="20"/>
                <w:color w:val="auto"/>
              </w:rPr>
            </w:pPr>
            <w:r>
              <w:rPr>
                <w:rFonts w:ascii="Arial" w:cs="Arial" w:eastAsia="Arial" w:hAnsi="Arial"/>
                <w:sz w:val="16"/>
                <w:szCs w:val="16"/>
                <w:b w:val="1"/>
                <w:bCs w:val="1"/>
                <w:color w:val="auto"/>
                <w:w w:val="91"/>
              </w:rPr>
              <w:t>Common Stock, $0.00000002 par value</w:t>
            </w: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5"/>
              <w:spacing w:after="0"/>
              <w:rPr>
                <w:sz w:val="20"/>
                <w:szCs w:val="20"/>
                <w:color w:val="auto"/>
              </w:rPr>
            </w:pPr>
            <w:r>
              <w:rPr>
                <w:rFonts w:ascii="Arial" w:cs="Arial" w:eastAsia="Arial" w:hAnsi="Arial"/>
                <w:sz w:val="16"/>
                <w:szCs w:val="16"/>
                <w:b w:val="1"/>
                <w:bCs w:val="1"/>
                <w:color w:val="auto"/>
              </w:rPr>
              <w:t>MEIP</w:t>
            </w:r>
          </w:p>
        </w:tc>
        <w:tc>
          <w:tcPr>
            <w:tcW w:w="120" w:type="dxa"/>
            <w:vAlign w:val="bottom"/>
          </w:tcPr>
          <w:p>
            <w:pPr>
              <w:spacing w:after="0"/>
              <w:rPr>
                <w:sz w:val="17"/>
                <w:szCs w:val="17"/>
                <w:color w:val="auto"/>
              </w:rPr>
            </w:pPr>
          </w:p>
        </w:tc>
        <w:tc>
          <w:tcPr>
            <w:tcW w:w="1080" w:type="dxa"/>
            <w:vAlign w:val="bottom"/>
            <w:tcBorders>
              <w:top w:val="single" w:sz="8" w:color="auto"/>
            </w:tcBorders>
            <w:gridSpan w:val="2"/>
          </w:tcPr>
          <w:p>
            <w:pPr>
              <w:spacing w:after="0"/>
              <w:rPr>
                <w:sz w:val="17"/>
                <w:szCs w:val="17"/>
                <w:color w:val="auto"/>
              </w:rPr>
            </w:pPr>
          </w:p>
        </w:tc>
        <w:tc>
          <w:tcPr>
            <w:tcW w:w="3960" w:type="dxa"/>
            <w:vAlign w:val="bottom"/>
            <w:tcBorders>
              <w:top w:val="single" w:sz="8" w:color="auto"/>
            </w:tcBorders>
          </w:tcPr>
          <w:p>
            <w:pPr>
              <w:jc w:val="center"/>
              <w:ind w:right="1008"/>
              <w:spacing w:after="0"/>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bl>
    <w:p>
      <w:pPr>
        <w:spacing w:after="0" w:line="63" w:lineRule="exact"/>
        <w:rPr>
          <w:sz w:val="24"/>
          <w:szCs w:val="24"/>
          <w:color w:val="auto"/>
        </w:rPr>
      </w:pPr>
    </w:p>
    <w:p>
      <w:pPr>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ind w:right="400"/>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right="120"/>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32" w:lineRule="exact"/>
        <w:rPr>
          <w:sz w:val="24"/>
          <w:szCs w:val="24"/>
          <w:color w:val="auto"/>
        </w:rPr>
      </w:pPr>
    </w:p>
    <w:p>
      <w:pPr>
        <w:ind w:right="58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1" w:lineRule="exact"/>
        <w:rPr>
          <w:sz w:val="24"/>
          <w:szCs w:val="24"/>
          <w:color w:val="auto"/>
        </w:rPr>
      </w:pPr>
    </w:p>
    <w:p>
      <w:pPr>
        <w:ind w:right="300"/>
        <w:spacing w:after="0" w:line="200"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As of May 19, 2022, the number of shares outstanding of the issuer’s common stock, $0.00000002 par value, was 133,152,045.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459740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560" w:type="dxa"/>
            <w:vAlign w:val="bottom"/>
            <w:gridSpan w:val="2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1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20" w:type="dxa"/>
            <w:vAlign w:val="bottom"/>
            <w:gridSpan w:val="9"/>
          </w:tcPr>
          <w:p>
            <w:pPr>
              <w:jc w:val="center"/>
              <w:ind w:right="3060"/>
              <w:spacing w:after="0"/>
              <w:rPr>
                <w:sz w:val="20"/>
                <w:szCs w:val="20"/>
                <w:color w:val="auto"/>
              </w:rPr>
            </w:pPr>
            <w:r>
              <w:rPr>
                <w:rFonts w:ascii="Arial" w:cs="Arial" w:eastAsia="Arial" w:hAnsi="Arial"/>
                <w:sz w:val="18"/>
                <w:szCs w:val="18"/>
                <w:b w:val="1"/>
                <w:bCs w:val="1"/>
                <w:color w:val="auto"/>
              </w:rPr>
              <w:t>MEI PHARMA, INC.</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20" w:type="dxa"/>
            <w:vAlign w:val="bottom"/>
            <w:gridSpan w:val="9"/>
          </w:tcPr>
          <w:p>
            <w:pPr>
              <w:jc w:val="center"/>
              <w:ind w:right="3060"/>
              <w:spacing w:after="0"/>
              <w:rPr>
                <w:sz w:val="20"/>
                <w:szCs w:val="20"/>
                <w:color w:val="auto"/>
              </w:rPr>
            </w:pPr>
            <w:r>
              <w:rPr>
                <w:rFonts w:ascii="Arial" w:cs="Arial" w:eastAsia="Arial" w:hAnsi="Arial"/>
                <w:sz w:val="18"/>
                <w:szCs w:val="18"/>
                <w:b w:val="1"/>
                <w:bCs w:val="1"/>
                <w:color w:val="auto"/>
                <w:w w:val="89"/>
              </w:rPr>
              <w:t>Table of Contents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0"/>
        </w:trPr>
        <w:tc>
          <w:tcPr>
            <w:tcW w:w="9560" w:type="dxa"/>
            <w:vAlign w:val="bottom"/>
            <w:gridSpan w:val="23"/>
          </w:tcPr>
          <w:p>
            <w:pPr>
              <w:ind w:left="240"/>
              <w:spacing w:after="0"/>
              <w:rPr>
                <w:sz w:val="20"/>
                <w:szCs w:val="20"/>
                <w:color w:val="auto"/>
              </w:rPr>
            </w:pPr>
            <w:r>
              <w:rPr>
                <w:rFonts w:ascii="Arial" w:cs="Arial" w:eastAsia="Arial" w:hAnsi="Arial"/>
                <w:sz w:val="18"/>
                <w:szCs w:val="18"/>
                <w:b w:val="1"/>
                <w:bCs w:val="1"/>
                <w:color w:val="auto"/>
              </w:rPr>
              <w:t>PART I</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280" w:type="dxa"/>
            <w:vAlign w:val="bottom"/>
            <w:gridSpan w:val="22"/>
          </w:tcPr>
          <w:p>
            <w:pP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INFORMATION</w:t>
              </w:r>
            </w:hyperlink>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1280" w:type="dxa"/>
            <w:vAlign w:val="bottom"/>
          </w:tcPr>
          <w:p>
            <w:pPr>
              <w:ind w:left="240"/>
              <w:spacing w:after="0"/>
              <w:rPr>
                <w:sz w:val="20"/>
                <w:szCs w:val="20"/>
                <w:color w:val="auto"/>
              </w:rPr>
            </w:pPr>
            <w:r>
              <w:rPr>
                <w:rFonts w:ascii="Arial" w:cs="Arial" w:eastAsia="Arial" w:hAnsi="Arial"/>
                <w:sz w:val="18"/>
                <w:szCs w:val="18"/>
                <w:color w:val="auto"/>
              </w:rPr>
              <w:t>Item 1:</w:t>
            </w:r>
          </w:p>
        </w:tc>
        <w:tc>
          <w:tcPr>
            <w:tcW w:w="2380" w:type="dxa"/>
            <w:vAlign w:val="bottom"/>
            <w:tcBorders>
              <w:top w:val="single" w:sz="8" w:color="0000FF"/>
            </w:tcBorders>
            <w:gridSpan w:val="12"/>
          </w:tcPr>
          <w:p>
            <w:pPr>
              <w:spacing w:after="0"/>
              <w:rPr>
                <w:sz w:val="24"/>
                <w:szCs w:val="24"/>
                <w:color w:val="auto"/>
              </w:rPr>
            </w:pPr>
          </w:p>
        </w:tc>
        <w:tc>
          <w:tcPr>
            <w:tcW w:w="5900" w:type="dxa"/>
            <w:vAlign w:val="bottom"/>
            <w:gridSpan w:val="10"/>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280" w:type="dxa"/>
            <w:vAlign w:val="bottom"/>
            <w:gridSpan w:val="22"/>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 (As Restated)</w:t>
              </w:r>
            </w:hyperlink>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280" w:type="dxa"/>
            <w:vAlign w:val="bottom"/>
          </w:tcPr>
          <w:p>
            <w:pPr>
              <w:spacing w:after="0"/>
              <w:rPr>
                <w:sz w:val="24"/>
                <w:szCs w:val="24"/>
                <w:color w:val="auto"/>
              </w:rPr>
            </w:pPr>
          </w:p>
        </w:tc>
        <w:tc>
          <w:tcPr>
            <w:tcW w:w="828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Balance Sheets as of March 31, 2022 and June 30, 2021</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280" w:type="dxa"/>
            <w:vAlign w:val="bottom"/>
          </w:tcPr>
          <w:p>
            <w:pPr>
              <w:spacing w:after="0"/>
              <w:rPr>
                <w:sz w:val="24"/>
                <w:szCs w:val="24"/>
                <w:color w:val="auto"/>
              </w:rPr>
            </w:pPr>
          </w:p>
        </w:tc>
        <w:tc>
          <w:tcPr>
            <w:tcW w:w="8220" w:type="dxa"/>
            <w:vAlign w:val="bottom"/>
            <w:tcBorders>
              <w:bottom w:val="single" w:sz="8" w:color="0000FF"/>
            </w:tcBorders>
            <w:gridSpan w:val="20"/>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Statements of Operations for the three and nine months ended March 31, 2022 and 2021 (As Restated)</w:t>
              </w:r>
            </w:hyperlink>
          </w:p>
        </w:tc>
        <w:tc>
          <w:tcPr>
            <w:tcW w:w="20" w:type="dxa"/>
            <w:vAlign w:val="bottom"/>
            <w:tcBorders>
              <w:bottom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280" w:type="dxa"/>
            <w:vAlign w:val="bottom"/>
          </w:tcPr>
          <w:p>
            <w:pPr>
              <w:spacing w:after="0"/>
              <w:rPr>
                <w:sz w:val="24"/>
                <w:szCs w:val="24"/>
                <w:color w:val="auto"/>
              </w:rPr>
            </w:pPr>
          </w:p>
        </w:tc>
        <w:tc>
          <w:tcPr>
            <w:tcW w:w="8280" w:type="dxa"/>
            <w:vAlign w:val="bottom"/>
            <w:tcBorders>
              <w:bottom w:val="single" w:sz="8" w:color="0000FF"/>
            </w:tcBorders>
            <w:gridSpan w:val="22"/>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Condensed Statements of Stockholders’ Equity for the three and nine months ended March 31, 2022 and 2021 (As</w:t>
              </w:r>
            </w:hyperlink>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680" w:type="dxa"/>
            <w:vAlign w:val="bottom"/>
            <w:tcBorders>
              <w:bottom w:val="single" w:sz="8" w:color="0000FF"/>
            </w:tcBorders>
            <w:gridSpan w:val="4"/>
          </w:tcPr>
          <w:p>
            <w:pPr>
              <w:spacing w:after="0" w:line="15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Restated)</w:t>
              </w:r>
            </w:hyperlink>
          </w:p>
        </w:tc>
        <w:tc>
          <w:tcPr>
            <w:tcW w:w="20" w:type="dxa"/>
            <w:vAlign w:val="bottom"/>
            <w:tcBorders>
              <w:bottom w:val="single" w:sz="8" w:color="0000EE"/>
            </w:tcBorders>
          </w:tcPr>
          <w:p>
            <w:pPr>
              <w:spacing w:after="0"/>
              <w:rPr>
                <w:sz w:val="13"/>
                <w:szCs w:val="13"/>
                <w:color w:val="auto"/>
              </w:rPr>
            </w:pPr>
          </w:p>
        </w:tc>
        <w:tc>
          <w:tcPr>
            <w:tcW w:w="7580" w:type="dxa"/>
            <w:vAlign w:val="bottom"/>
            <w:gridSpan w:val="17"/>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1280" w:type="dxa"/>
            <w:vAlign w:val="bottom"/>
          </w:tcPr>
          <w:p>
            <w:pPr>
              <w:spacing w:after="0"/>
              <w:rPr>
                <w:sz w:val="24"/>
                <w:szCs w:val="24"/>
                <w:color w:val="auto"/>
              </w:rPr>
            </w:pPr>
          </w:p>
        </w:tc>
        <w:tc>
          <w:tcPr>
            <w:tcW w:w="8280" w:type="dxa"/>
            <w:vAlign w:val="bottom"/>
            <w:gridSpan w:val="22"/>
          </w:tcPr>
          <w:p>
            <w:pPr>
              <w:spacing w:after="0"/>
              <w:rPr>
                <w:rFonts w:ascii="Arial" w:cs="Arial" w:eastAsia="Arial" w:hAnsi="Arial"/>
                <w:sz w:val="18"/>
                <w:szCs w:val="18"/>
                <w:color w:val="0000FF"/>
                <w:w w:val="97"/>
              </w:rPr>
            </w:pPr>
            <w:hyperlink w:anchor="page6">
              <w:r>
                <w:rPr>
                  <w:rFonts w:ascii="Arial" w:cs="Arial" w:eastAsia="Arial" w:hAnsi="Arial"/>
                  <w:sz w:val="18"/>
                  <w:szCs w:val="18"/>
                  <w:color w:val="0000FF"/>
                  <w:w w:val="97"/>
                </w:rPr>
                <w:t>Condensed Statements of Cash Flows for the nine months ended March 31, 2022 and 2021 (As Restated)</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79"/>
        </w:trPr>
        <w:tc>
          <w:tcPr>
            <w:tcW w:w="1280" w:type="dxa"/>
            <w:vAlign w:val="bottom"/>
          </w:tcPr>
          <w:p>
            <w:pPr>
              <w:spacing w:after="0"/>
              <w:rPr>
                <w:sz w:val="24"/>
                <w:szCs w:val="24"/>
                <w:color w:val="auto"/>
              </w:rPr>
            </w:pPr>
          </w:p>
        </w:tc>
        <w:tc>
          <w:tcPr>
            <w:tcW w:w="402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Condensed Financial Statements (As Restated)</w:t>
              </w:r>
            </w:hyperlink>
          </w:p>
        </w:tc>
        <w:tc>
          <w:tcPr>
            <w:tcW w:w="3540" w:type="dxa"/>
            <w:vAlign w:val="bottom"/>
            <w:tcBorders>
              <w:top w:val="single" w:sz="8" w:color="0000FF"/>
            </w:tcBorders>
            <w:gridSpan w:val="5"/>
          </w:tcPr>
          <w:p>
            <w:pPr>
              <w:spacing w:after="0"/>
              <w:rPr>
                <w:sz w:val="24"/>
                <w:szCs w:val="24"/>
                <w:color w:val="auto"/>
              </w:rPr>
            </w:pPr>
          </w:p>
        </w:tc>
        <w:tc>
          <w:tcPr>
            <w:tcW w:w="720" w:type="dxa"/>
            <w:vAlign w:val="bottom"/>
            <w:gridSpan w:val="3"/>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1"/>
        </w:trPr>
        <w:tc>
          <w:tcPr>
            <w:tcW w:w="9560" w:type="dxa"/>
            <w:vAlign w:val="bottom"/>
            <w:gridSpan w:val="23"/>
          </w:tcPr>
          <w:p>
            <w:pPr>
              <w:ind w:left="240"/>
              <w:spacing w:after="0"/>
              <w:rPr>
                <w:sz w:val="20"/>
                <w:szCs w:val="20"/>
                <w:color w:val="auto"/>
              </w:rPr>
            </w:pPr>
            <w:r>
              <w:rPr>
                <w:rFonts w:ascii="Arial" w:cs="Arial" w:eastAsia="Arial" w:hAnsi="Arial"/>
                <w:sz w:val="18"/>
                <w:szCs w:val="18"/>
                <w:color w:val="auto"/>
              </w:rPr>
              <w:t>Item 2:</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280" w:type="dxa"/>
            <w:vAlign w:val="bottom"/>
            <w:gridSpan w:val="22"/>
          </w:tcPr>
          <w:p>
            <w:pPr>
              <w:spacing w:after="0" w:line="189" w:lineRule="exact"/>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1280" w:type="dxa"/>
            <w:vAlign w:val="bottom"/>
          </w:tcPr>
          <w:p>
            <w:pPr>
              <w:ind w:left="240"/>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18"/>
          </w:tcPr>
          <w:p>
            <w:pPr>
              <w:spacing w:after="0"/>
              <w:rPr>
                <w:sz w:val="24"/>
                <w:szCs w:val="24"/>
                <w:color w:val="auto"/>
              </w:rPr>
            </w:pPr>
          </w:p>
        </w:tc>
        <w:tc>
          <w:tcPr>
            <w:tcW w:w="1840" w:type="dxa"/>
            <w:vAlign w:val="bottom"/>
            <w:gridSpan w:val="4"/>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4300" w:type="dxa"/>
            <w:vAlign w:val="bottom"/>
            <w:tcBorders>
              <w:bottom w:val="single" w:sz="8" w:color="0000FF"/>
            </w:tcBorders>
            <w:gridSpan w:val="15"/>
          </w:tcPr>
          <w:p>
            <w:pPr>
              <w:spacing w:after="0" w:line="189" w:lineRule="exact"/>
              <w:rPr>
                <w:rFonts w:ascii="Arial" w:cs="Arial" w:eastAsia="Arial" w:hAnsi="Arial"/>
                <w:sz w:val="18"/>
                <w:szCs w:val="18"/>
                <w:color w:val="0000FF"/>
                <w:w w:val="91"/>
              </w:rPr>
            </w:pPr>
            <w:hyperlink w:anchor="page34">
              <w:r>
                <w:rPr>
                  <w:rFonts w:ascii="Arial" w:cs="Arial" w:eastAsia="Arial" w:hAnsi="Arial"/>
                  <w:sz w:val="18"/>
                  <w:szCs w:val="18"/>
                  <w:color w:val="0000FF"/>
                  <w:w w:val="91"/>
                </w:rPr>
                <w:t>Quantitative and Qualitative Disclosures about Market Risk</w:t>
              </w:r>
            </w:hyperlink>
          </w:p>
        </w:tc>
        <w:tc>
          <w:tcPr>
            <w:tcW w:w="3980" w:type="dxa"/>
            <w:vAlign w:val="bottom"/>
            <w:gridSpan w:val="7"/>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9560" w:type="dxa"/>
            <w:vAlign w:val="bottom"/>
            <w:gridSpan w:val="23"/>
          </w:tcPr>
          <w:p>
            <w:pPr>
              <w:ind w:left="240"/>
              <w:spacing w:after="0"/>
              <w:rPr>
                <w:sz w:val="20"/>
                <w:szCs w:val="20"/>
                <w:color w:val="auto"/>
              </w:rPr>
            </w:pPr>
            <w:r>
              <w:rPr>
                <w:rFonts w:ascii="Arial" w:cs="Arial" w:eastAsia="Arial" w:hAnsi="Arial"/>
                <w:sz w:val="18"/>
                <w:szCs w:val="18"/>
                <w:color w:val="auto"/>
              </w:rPr>
              <w:t>Item 4:</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280" w:type="dxa"/>
            <w:vAlign w:val="bottom"/>
            <w:gridSpan w:val="22"/>
          </w:tcPr>
          <w:p>
            <w:pPr>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280" w:type="dxa"/>
            <w:vAlign w:val="bottom"/>
          </w:tcPr>
          <w:p>
            <w:pPr>
              <w:ind w:left="240"/>
              <w:spacing w:after="0"/>
              <w:rPr>
                <w:sz w:val="20"/>
                <w:szCs w:val="20"/>
                <w:color w:val="auto"/>
              </w:rPr>
            </w:pPr>
            <w:r>
              <w:rPr>
                <w:rFonts w:ascii="Arial" w:cs="Arial" w:eastAsia="Arial" w:hAnsi="Arial"/>
                <w:sz w:val="18"/>
                <w:szCs w:val="18"/>
                <w:b w:val="1"/>
                <w:bCs w:val="1"/>
                <w:color w:val="auto"/>
              </w:rPr>
              <w:t>PART II</w:t>
            </w:r>
          </w:p>
        </w:tc>
        <w:tc>
          <w:tcPr>
            <w:tcW w:w="1760" w:type="dxa"/>
            <w:vAlign w:val="bottom"/>
            <w:tcBorders>
              <w:top w:val="single" w:sz="8" w:color="0000FF"/>
            </w:tcBorders>
            <w:gridSpan w:val="9"/>
          </w:tcPr>
          <w:p>
            <w:pPr>
              <w:spacing w:after="0"/>
              <w:rPr>
                <w:sz w:val="24"/>
                <w:szCs w:val="24"/>
                <w:color w:val="auto"/>
              </w:rPr>
            </w:pPr>
          </w:p>
        </w:tc>
        <w:tc>
          <w:tcPr>
            <w:tcW w:w="6520" w:type="dxa"/>
            <w:vAlign w:val="bottom"/>
            <w:gridSpan w:val="13"/>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2020" w:type="dxa"/>
            <w:vAlign w:val="bottom"/>
            <w:tcBorders>
              <w:bottom w:val="single" w:sz="8" w:color="0000FF"/>
            </w:tcBorders>
            <w:gridSpan w:val="10"/>
          </w:tcPr>
          <w:p>
            <w:pPr>
              <w:spacing w:after="0" w:line="189" w:lineRule="exact"/>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OTHER INFORMATION</w:t>
              </w:r>
            </w:hyperlink>
          </w:p>
        </w:tc>
        <w:tc>
          <w:tcPr>
            <w:tcW w:w="6260" w:type="dxa"/>
            <w:vAlign w:val="bottom"/>
            <w:gridSpan w:val="12"/>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9560" w:type="dxa"/>
            <w:vAlign w:val="bottom"/>
            <w:gridSpan w:val="23"/>
          </w:tcPr>
          <w:p>
            <w:pPr>
              <w:ind w:left="240"/>
              <w:spacing w:after="0"/>
              <w:rPr>
                <w:sz w:val="20"/>
                <w:szCs w:val="20"/>
                <w:color w:val="auto"/>
              </w:rPr>
            </w:pPr>
            <w:r>
              <w:rPr>
                <w:rFonts w:ascii="Arial" w:cs="Arial" w:eastAsia="Arial" w:hAnsi="Arial"/>
                <w:sz w:val="18"/>
                <w:szCs w:val="18"/>
                <w:color w:val="auto"/>
              </w:rPr>
              <w:t>Item 1:</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280" w:type="dxa"/>
            <w:vAlign w:val="bottom"/>
            <w:gridSpan w:val="22"/>
          </w:tcPr>
          <w:p>
            <w:pPr>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280" w:type="dxa"/>
            <w:vAlign w:val="bottom"/>
          </w:tcPr>
          <w:p>
            <w:pPr>
              <w:ind w:left="240"/>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FF"/>
            </w:tcBorders>
            <w:gridSpan w:val="8"/>
          </w:tcPr>
          <w:p>
            <w:pPr>
              <w:spacing w:after="0"/>
              <w:rPr>
                <w:sz w:val="24"/>
                <w:szCs w:val="24"/>
                <w:color w:val="auto"/>
              </w:rPr>
            </w:pPr>
          </w:p>
        </w:tc>
        <w:tc>
          <w:tcPr>
            <w:tcW w:w="6960" w:type="dxa"/>
            <w:vAlign w:val="bottom"/>
            <w:gridSpan w:val="14"/>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900" w:type="dxa"/>
            <w:vAlign w:val="bottom"/>
            <w:tcBorders>
              <w:bottom w:val="single" w:sz="8" w:color="0000FF"/>
            </w:tcBorders>
            <w:gridSpan w:val="6"/>
          </w:tcPr>
          <w:p>
            <w:pPr>
              <w:spacing w:after="0" w:line="189" w:lineRule="exact"/>
              <w:rPr>
                <w:rFonts w:ascii="Arial" w:cs="Arial" w:eastAsia="Arial" w:hAnsi="Arial"/>
                <w:sz w:val="18"/>
                <w:szCs w:val="18"/>
                <w:color w:val="0000FF"/>
                <w:w w:val="87"/>
              </w:rPr>
            </w:pPr>
            <w:hyperlink w:anchor="page36">
              <w:r>
                <w:rPr>
                  <w:rFonts w:ascii="Arial" w:cs="Arial" w:eastAsia="Arial" w:hAnsi="Arial"/>
                  <w:sz w:val="18"/>
                  <w:szCs w:val="18"/>
                  <w:color w:val="0000FF"/>
                  <w:w w:val="87"/>
                </w:rPr>
                <w:t>Risk Factors</w:t>
              </w:r>
            </w:hyperlink>
          </w:p>
        </w:tc>
        <w:tc>
          <w:tcPr>
            <w:tcW w:w="7380" w:type="dxa"/>
            <w:vAlign w:val="bottom"/>
            <w:gridSpan w:val="16"/>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9560" w:type="dxa"/>
            <w:vAlign w:val="bottom"/>
            <w:gridSpan w:val="23"/>
          </w:tcPr>
          <w:p>
            <w:pPr>
              <w:ind w:left="240"/>
              <w:spacing w:after="0"/>
              <w:rPr>
                <w:sz w:val="20"/>
                <w:szCs w:val="20"/>
                <w:color w:val="auto"/>
              </w:rPr>
            </w:pPr>
            <w:r>
              <w:rPr>
                <w:rFonts w:ascii="Arial" w:cs="Arial" w:eastAsia="Arial" w:hAnsi="Arial"/>
                <w:sz w:val="18"/>
                <w:szCs w:val="18"/>
                <w:color w:val="auto"/>
              </w:rPr>
              <w:t>Item 2:</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4340" w:type="dxa"/>
            <w:vAlign w:val="bottom"/>
            <w:tcBorders>
              <w:bottom w:val="single" w:sz="8" w:color="0000FF"/>
            </w:tcBorders>
            <w:gridSpan w:val="16"/>
          </w:tcPr>
          <w:p>
            <w:pPr>
              <w:spacing w:after="0" w:line="189"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Unregistered Sales of Equity Securities and Use of Proceeds</w:t>
              </w:r>
            </w:hyperlink>
          </w:p>
        </w:tc>
        <w:tc>
          <w:tcPr>
            <w:tcW w:w="3940" w:type="dxa"/>
            <w:vAlign w:val="bottom"/>
            <w:gridSpan w:val="6"/>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9560" w:type="dxa"/>
            <w:vAlign w:val="bottom"/>
            <w:gridSpan w:val="23"/>
          </w:tcPr>
          <w:p>
            <w:pPr>
              <w:ind w:left="240"/>
              <w:spacing w:after="0"/>
              <w:rPr>
                <w:sz w:val="20"/>
                <w:szCs w:val="20"/>
                <w:color w:val="auto"/>
              </w:rPr>
            </w:pPr>
            <w:r>
              <w:rPr>
                <w:rFonts w:ascii="Arial" w:cs="Arial" w:eastAsia="Arial" w:hAnsi="Arial"/>
                <w:sz w:val="18"/>
                <w:szCs w:val="18"/>
                <w:color w:val="auto"/>
              </w:rPr>
              <w:t>Item 3:</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2280" w:type="dxa"/>
            <w:vAlign w:val="bottom"/>
            <w:tcBorders>
              <w:bottom w:val="single" w:sz="8" w:color="0000FF"/>
            </w:tcBorders>
            <w:gridSpan w:val="11"/>
          </w:tcPr>
          <w:p>
            <w:pPr>
              <w:spacing w:after="0" w:line="189"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Defaults upon Senior Securities</w:t>
              </w:r>
            </w:hyperlink>
          </w:p>
        </w:tc>
        <w:tc>
          <w:tcPr>
            <w:tcW w:w="6000" w:type="dxa"/>
            <w:vAlign w:val="bottom"/>
            <w:gridSpan w:val="11"/>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9560" w:type="dxa"/>
            <w:vAlign w:val="bottom"/>
            <w:gridSpan w:val="23"/>
          </w:tcPr>
          <w:p>
            <w:pPr>
              <w:ind w:left="240"/>
              <w:spacing w:after="0"/>
              <w:rPr>
                <w:sz w:val="20"/>
                <w:szCs w:val="20"/>
                <w:color w:val="auto"/>
              </w:rPr>
            </w:pPr>
            <w:r>
              <w:rPr>
                <w:rFonts w:ascii="Arial" w:cs="Arial" w:eastAsia="Arial" w:hAnsi="Arial"/>
                <w:sz w:val="18"/>
                <w:szCs w:val="18"/>
                <w:color w:val="auto"/>
              </w:rPr>
              <w:t>Item 4:</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280" w:type="dxa"/>
            <w:vAlign w:val="bottom"/>
            <w:gridSpan w:val="22"/>
          </w:tcPr>
          <w:p>
            <w:pPr>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Mine Safety Disclosures</w:t>
              </w:r>
            </w:hyperlink>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280" w:type="dxa"/>
            <w:vAlign w:val="bottom"/>
          </w:tcPr>
          <w:p>
            <w:pPr>
              <w:ind w:left="240"/>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9"/>
          </w:tcPr>
          <w:p>
            <w:pPr>
              <w:spacing w:after="0"/>
              <w:rPr>
                <w:sz w:val="24"/>
                <w:szCs w:val="24"/>
                <w:color w:val="auto"/>
              </w:rPr>
            </w:pPr>
          </w:p>
        </w:tc>
        <w:tc>
          <w:tcPr>
            <w:tcW w:w="6520" w:type="dxa"/>
            <w:vAlign w:val="bottom"/>
            <w:gridSpan w:val="13"/>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280" w:type="dxa"/>
            <w:vAlign w:val="bottom"/>
            <w:gridSpan w:val="22"/>
          </w:tcPr>
          <w:p>
            <w:pPr>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Other Information</w:t>
              </w:r>
            </w:hyperlink>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280" w:type="dxa"/>
            <w:vAlign w:val="bottom"/>
          </w:tcPr>
          <w:p>
            <w:pPr>
              <w:ind w:left="240"/>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7"/>
          </w:tcPr>
          <w:p>
            <w:pPr>
              <w:spacing w:after="0"/>
              <w:rPr>
                <w:sz w:val="24"/>
                <w:szCs w:val="24"/>
                <w:color w:val="auto"/>
              </w:rPr>
            </w:pPr>
          </w:p>
        </w:tc>
        <w:tc>
          <w:tcPr>
            <w:tcW w:w="6980" w:type="dxa"/>
            <w:vAlign w:val="bottom"/>
            <w:gridSpan w:val="15"/>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600" w:type="dxa"/>
            <w:vAlign w:val="bottom"/>
            <w:tcBorders>
              <w:bottom w:val="single" w:sz="8" w:color="0000FF"/>
            </w:tcBorders>
            <w:gridSpan w:val="2"/>
          </w:tcPr>
          <w:p>
            <w:pPr>
              <w:spacing w:after="0" w:line="189" w:lineRule="exact"/>
              <w:rPr>
                <w:rFonts w:ascii="Arial" w:cs="Arial" w:eastAsia="Arial" w:hAnsi="Arial"/>
                <w:sz w:val="18"/>
                <w:szCs w:val="18"/>
                <w:color w:val="0000FF"/>
                <w:w w:val="91"/>
              </w:rPr>
            </w:pPr>
            <w:hyperlink w:anchor="page38">
              <w:r>
                <w:rPr>
                  <w:rFonts w:ascii="Arial" w:cs="Arial" w:eastAsia="Arial" w:hAnsi="Arial"/>
                  <w:sz w:val="18"/>
                  <w:szCs w:val="18"/>
                  <w:color w:val="0000FF"/>
                  <w:w w:val="91"/>
                </w:rPr>
                <w:t>Exhibits</w:t>
              </w:r>
            </w:hyperlink>
          </w:p>
        </w:tc>
        <w:tc>
          <w:tcPr>
            <w:tcW w:w="20" w:type="dxa"/>
            <w:vAlign w:val="bottom"/>
            <w:tcBorders>
              <w:bottom w:val="single" w:sz="8" w:color="0000EE"/>
            </w:tcBorders>
          </w:tcPr>
          <w:p>
            <w:pPr>
              <w:spacing w:after="0"/>
              <w:rPr>
                <w:sz w:val="16"/>
                <w:szCs w:val="16"/>
                <w:color w:val="auto"/>
              </w:rPr>
            </w:pPr>
          </w:p>
        </w:tc>
        <w:tc>
          <w:tcPr>
            <w:tcW w:w="7660" w:type="dxa"/>
            <w:vAlign w:val="bottom"/>
            <w:gridSpan w:val="19"/>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4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-635</wp:posOffset>
            </wp:positionV>
            <wp:extent cx="7340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406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8" w:right="5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 – Unaudited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5"/>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92"/>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440"/>
              <w:spacing w:after="0" w:line="202"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11,112</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157,930</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144,883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cash, cash equivalents and short-term investments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169,042</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153,426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Unbilled receivables</w:t>
            </w: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8,446</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7,582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5,978</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3,809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183,466</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164,817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9,524</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1,439</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194,429</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174,098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18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8,257</w:t>
            </w:r>
          </w:p>
        </w:tc>
        <w:tc>
          <w:tcPr>
            <w:tcW w:w="28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6,355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10,082</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4,789</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4,526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liability</w:t>
            </w: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828</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23,956</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20,211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 long-term</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91,920</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74,696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long-term</w:t>
            </w: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9,211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7,370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Warrant liability</w:t>
            </w: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1,536</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22,355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126,623</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124,632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Commitments and contingencies (Note 6)</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Preferred stock, $0.01 par value; 100 shares authorized; none outstanding</w:t>
            </w:r>
          </w:p>
        </w:tc>
        <w:tc>
          <w:tcPr>
            <w:tcW w:w="26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line="162" w:lineRule="exact"/>
              <w:rPr>
                <w:sz w:val="20"/>
                <w:szCs w:val="20"/>
                <w:color w:val="auto"/>
              </w:rPr>
            </w:pPr>
            <w:r>
              <w:rPr>
                <w:rFonts w:ascii="Arial" w:cs="Arial" w:eastAsia="Arial" w:hAnsi="Arial"/>
                <w:sz w:val="18"/>
                <w:szCs w:val="18"/>
                <w:color w:val="auto"/>
              </w:rPr>
              <w:t>Common stock, $0.00000002 par value; 226,000 shares authorized; 133,152 and</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340"/>
              <w:spacing w:after="0" w:line="176" w:lineRule="exact"/>
              <w:rPr>
                <w:sz w:val="20"/>
                <w:szCs w:val="20"/>
                <w:color w:val="auto"/>
              </w:rPr>
            </w:pPr>
            <w:r>
              <w:rPr>
                <w:rFonts w:ascii="Arial" w:cs="Arial" w:eastAsia="Arial" w:hAnsi="Arial"/>
                <w:sz w:val="18"/>
                <w:szCs w:val="18"/>
                <w:color w:val="auto"/>
              </w:rPr>
              <w:t>112,615 shares issued and outstanding at March 31, 2022 and June 30, 2021,</w:t>
            </w:r>
          </w:p>
        </w:tc>
        <w:tc>
          <w:tcPr>
            <w:tcW w:w="260" w:type="dxa"/>
            <w:vAlign w:val="bottom"/>
          </w:tcPr>
          <w:p>
            <w:pPr>
              <w:spacing w:after="0"/>
              <w:rPr>
                <w:sz w:val="15"/>
                <w:szCs w:val="15"/>
                <w:color w:val="auto"/>
              </w:rPr>
            </w:pPr>
          </w:p>
        </w:tc>
        <w:tc>
          <w:tcPr>
            <w:tcW w:w="16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425,902</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369,171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7"/>
                <w:szCs w:val="17"/>
                <w:color w:val="auto"/>
              </w:rPr>
            </w:pPr>
          </w:p>
        </w:tc>
        <w:tc>
          <w:tcPr>
            <w:tcW w:w="16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(358,096 )</w:t>
            </w:r>
          </w:p>
        </w:tc>
        <w:tc>
          <w:tcPr>
            <w:tcW w:w="32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(319,705 )</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67,806</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49,466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194,429</w:t>
            </w:r>
          </w:p>
        </w:tc>
        <w:tc>
          <w:tcPr>
            <w:tcW w:w="28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174,098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-3288030</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-3288030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-2759710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-2742565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-1959610</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-1959610</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-1436370</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-1436370</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-159385</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MEI PHARMA,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STATEMENTS OF OPERATIONS</w:t>
      </w:r>
    </w:p>
    <w:p>
      <w:pPr>
        <w:jc w:val="center"/>
        <w:spacing w:after="0" w:line="228" w:lineRule="auto"/>
        <w:rPr>
          <w:sz w:val="20"/>
          <w:szCs w:val="20"/>
          <w:color w:val="auto"/>
        </w:rPr>
      </w:pPr>
      <w:r>
        <w:rPr>
          <w:rFonts w:ascii="Arial" w:cs="Arial" w:eastAsia="Arial" w:hAnsi="Arial"/>
          <w:sz w:val="16"/>
          <w:szCs w:val="16"/>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00" w:type="dxa"/>
            <w:vAlign w:val="bottom"/>
            <w:gridSpan w:val="5"/>
          </w:tcPr>
          <w:p>
            <w:pPr>
              <w:jc w:val="right"/>
              <w:ind w:right="1210"/>
              <w:spacing w:after="0"/>
              <w:rPr>
                <w:sz w:val="20"/>
                <w:szCs w:val="20"/>
                <w:color w:val="auto"/>
              </w:rPr>
            </w:pPr>
            <w:r>
              <w:rPr>
                <w:rFonts w:ascii="Arial" w:cs="Arial" w:eastAsia="Arial" w:hAnsi="Arial"/>
                <w:sz w:val="14"/>
                <w:szCs w:val="14"/>
                <w:b w:val="1"/>
                <w:bCs w:val="1"/>
                <w:color w:val="auto"/>
                <w:w w:val="99"/>
              </w:rPr>
              <w:t>Three Months Ended</w:t>
            </w:r>
          </w:p>
        </w:tc>
        <w:tc>
          <w:tcPr>
            <w:tcW w:w="340" w:type="dxa"/>
            <w:vAlign w:val="bottom"/>
          </w:tcPr>
          <w:p>
            <w:pPr>
              <w:spacing w:after="0"/>
              <w:rPr>
                <w:sz w:val="14"/>
                <w:szCs w:val="14"/>
                <w:color w:val="auto"/>
              </w:rPr>
            </w:pPr>
          </w:p>
        </w:tc>
        <w:tc>
          <w:tcPr>
            <w:tcW w:w="3000" w:type="dxa"/>
            <w:vAlign w:val="bottom"/>
            <w:gridSpan w:val="5"/>
          </w:tcPr>
          <w:p>
            <w:pPr>
              <w:jc w:val="right"/>
              <w:ind w:right="104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4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12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280" w:type="dxa"/>
            <w:vAlign w:val="bottom"/>
          </w:tcPr>
          <w:p>
            <w:pPr>
              <w:spacing w:after="0"/>
              <w:rPr>
                <w:sz w:val="13"/>
                <w:szCs w:val="13"/>
                <w:color w:val="auto"/>
              </w:rPr>
            </w:pPr>
          </w:p>
        </w:tc>
        <w:tc>
          <w:tcPr>
            <w:tcW w:w="92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ind w:right="512"/>
              <w:spacing w:after="0" w:line="160"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13"/>
              <w:spacing w:after="0" w:line="160"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ind w:right="512"/>
              <w:spacing w:after="0" w:line="160"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r>
      <w:tr>
        <w:trPr>
          <w:trHeight w:val="185"/>
        </w:trPr>
        <w:tc>
          <w:tcPr>
            <w:tcW w:w="4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w w:val="97"/>
              </w:rPr>
              <w:t>(As Restated)</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w w:val="97"/>
              </w:rPr>
              <w:t>(As Restated)</w:t>
            </w:r>
          </w:p>
        </w:tc>
      </w:tr>
      <w:tr>
        <w:trPr>
          <w:trHeight w:val="196"/>
        </w:trPr>
        <w:tc>
          <w:tcPr>
            <w:tcW w:w="42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920" w:type="dxa"/>
            <w:vAlign w:val="bottom"/>
            <w:tcBorders>
              <w:top w:val="single" w:sz="8" w:color="auto"/>
              <w:bottom w:val="single" w:sz="8" w:color="auto"/>
            </w:tcBorders>
            <w:shd w:val="clear" w:color="auto" w:fill="CFF0FC"/>
          </w:tcPr>
          <w:p>
            <w:pPr>
              <w:jc w:val="right"/>
              <w:ind w:right="713"/>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9,694</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8,109</w:t>
            </w:r>
          </w:p>
        </w:tc>
        <w:tc>
          <w:tcPr>
            <w:tcW w:w="3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29,283</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27,342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28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Cost of revenue</w:t>
            </w:r>
          </w:p>
        </w:tc>
        <w:tc>
          <w:tcPr>
            <w:tcW w:w="9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405</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1,408</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22,318</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17,884</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63,802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53,104</w:t>
            </w:r>
          </w:p>
        </w:tc>
        <w:tc>
          <w:tcPr>
            <w:tcW w:w="100" w:type="dxa"/>
            <w:vAlign w:val="bottom"/>
          </w:tcPr>
          <w:p>
            <w:pPr>
              <w:spacing w:after="0"/>
              <w:rPr>
                <w:sz w:val="17"/>
                <w:szCs w:val="17"/>
                <w:color w:val="auto"/>
              </w:rPr>
            </w:pPr>
          </w:p>
        </w:tc>
      </w:tr>
      <w:tr>
        <w:trPr>
          <w:trHeight w:val="203"/>
        </w:trPr>
        <w:tc>
          <w:tcPr>
            <w:tcW w:w="42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8,934</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6,215</w:t>
            </w:r>
          </w:p>
        </w:tc>
        <w:tc>
          <w:tcPr>
            <w:tcW w:w="3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24,769</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17,780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28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31,252</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24,504</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88,571</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72,292</w:t>
            </w:r>
          </w:p>
        </w:tc>
        <w:tc>
          <w:tcPr>
            <w:tcW w:w="100" w:type="dxa"/>
            <w:vAlign w:val="bottom"/>
          </w:tcPr>
          <w:p>
            <w:pPr>
              <w:spacing w:after="0"/>
              <w:rPr>
                <w:sz w:val="17"/>
                <w:szCs w:val="17"/>
                <w:color w:val="auto"/>
              </w:rPr>
            </w:pPr>
          </w:p>
        </w:tc>
      </w:tr>
      <w:tr>
        <w:trPr>
          <w:trHeight w:val="196"/>
        </w:trPr>
        <w:tc>
          <w:tcPr>
            <w:tcW w:w="42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Loss from operations</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1"/>
              </w:rPr>
              <w:t>(21,558</w:t>
            </w:r>
          </w:p>
        </w:tc>
        <w:tc>
          <w:tcPr>
            <w:tcW w:w="30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(16,395</w:t>
            </w:r>
          </w:p>
        </w:tc>
        <w:tc>
          <w:tcPr>
            <w:tcW w:w="30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(59,288</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(44,950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12,773</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(9,272 )</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20,819</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11,035</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200"/>
              <w:spacing w:after="0" w:line="202" w:lineRule="exact"/>
              <w:rPr>
                <w:sz w:val="20"/>
                <w:szCs w:val="20"/>
                <w:color w:val="auto"/>
              </w:rPr>
            </w:pPr>
            <w:r>
              <w:rPr>
                <w:rFonts w:ascii="Arial" w:cs="Arial" w:eastAsia="Arial" w:hAnsi="Arial"/>
                <w:sz w:val="18"/>
                <w:szCs w:val="18"/>
                <w:color w:val="auto"/>
              </w:rPr>
              <w:t>Interest and dividend income</w:t>
            </w:r>
          </w:p>
        </w:tc>
        <w:tc>
          <w:tcPr>
            <w:tcW w:w="9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497</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 (expense)</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(13 )</w:t>
            </w:r>
          </w:p>
        </w:tc>
        <w:tc>
          <w:tcPr>
            <w:tcW w:w="3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482</w:t>
            </w:r>
          </w:p>
        </w:tc>
        <w:tc>
          <w:tcPr>
            <w:tcW w:w="100" w:type="dxa"/>
            <w:vAlign w:val="bottom"/>
            <w:shd w:val="clear" w:color="auto" w:fill="CFF0FC"/>
          </w:tcPr>
          <w:p>
            <w:pPr>
              <w:spacing w:after="0"/>
              <w:rPr>
                <w:sz w:val="17"/>
                <w:szCs w:val="17"/>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tcBorders>
              <w:bottom w:val="single" w:sz="8" w:color="auto"/>
            </w:tcBorders>
            <w:shd w:val="clear" w:color="auto" w:fill="CFF0FC"/>
          </w:tcPr>
          <w:p>
            <w:pPr>
              <w:spacing w:after="0" w:line="20" w:lineRule="exact"/>
              <w:rPr>
                <w:sz w:val="1"/>
                <w:szCs w:val="1"/>
                <w:color w:val="auto"/>
              </w:rPr>
            </w:pPr>
          </w:p>
        </w:tc>
        <w:tc>
          <w:tcPr>
            <w:tcW w:w="1140" w:type="dxa"/>
            <w:vAlign w:val="bottom"/>
            <w:tcBorders>
              <w:bottom w:val="single" w:sz="8" w:color="auto"/>
            </w:tcBorders>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0"/>
        </w:trPr>
        <w:tc>
          <w:tcPr>
            <w:tcW w:w="4280" w:type="dxa"/>
            <w:vAlign w:val="bottom"/>
          </w:tcPr>
          <w:p>
            <w:pPr>
              <w:ind w:left="380"/>
              <w:spacing w:after="0" w:line="189" w:lineRule="exact"/>
              <w:rPr>
                <w:sz w:val="20"/>
                <w:szCs w:val="20"/>
                <w:color w:val="auto"/>
              </w:rPr>
            </w:pPr>
            <w:r>
              <w:rPr>
                <w:rFonts w:ascii="Arial" w:cs="Arial" w:eastAsia="Arial" w:hAnsi="Arial"/>
                <w:sz w:val="18"/>
                <w:szCs w:val="18"/>
                <w:color w:val="auto"/>
              </w:rPr>
              <w:t>Net loss</w:t>
            </w:r>
          </w:p>
        </w:tc>
        <w:tc>
          <w:tcPr>
            <w:tcW w:w="920" w:type="dxa"/>
            <w:vAlign w:val="bottom"/>
          </w:tcPr>
          <w:p>
            <w:pPr>
              <w:jc w:val="right"/>
              <w:ind w:right="713"/>
              <w:spacing w:after="0" w:line="189"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30"/>
              <w:spacing w:after="0" w:line="189" w:lineRule="exact"/>
              <w:rPr>
                <w:sz w:val="20"/>
                <w:szCs w:val="20"/>
                <w:color w:val="auto"/>
              </w:rPr>
            </w:pPr>
            <w:r>
              <w:rPr>
                <w:rFonts w:ascii="Arial" w:cs="Arial" w:eastAsia="Arial" w:hAnsi="Arial"/>
                <w:sz w:val="18"/>
                <w:szCs w:val="18"/>
                <w:color w:val="auto"/>
              </w:rPr>
              <w:t>(8,725 )</w:t>
            </w: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30"/>
              <w:spacing w:after="0" w:line="189" w:lineRule="exact"/>
              <w:rPr>
                <w:sz w:val="20"/>
                <w:szCs w:val="20"/>
                <w:color w:val="auto"/>
              </w:rPr>
            </w:pPr>
            <w:r>
              <w:rPr>
                <w:rFonts w:ascii="Arial" w:cs="Arial" w:eastAsia="Arial" w:hAnsi="Arial"/>
                <w:sz w:val="18"/>
                <w:szCs w:val="18"/>
                <w:color w:val="auto"/>
              </w:rPr>
              <w:t>(25,622 )</w:t>
            </w:r>
          </w:p>
        </w:tc>
        <w:tc>
          <w:tcPr>
            <w:tcW w:w="340" w:type="dxa"/>
            <w:vAlign w:val="bottom"/>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(38,391</w:t>
            </w:r>
          </w:p>
        </w:tc>
        <w:tc>
          <w:tcPr>
            <w:tcW w:w="26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9"/>
              </w:rPr>
              <w:t>)</w:t>
            </w:r>
          </w:p>
        </w:tc>
        <w:tc>
          <w:tcPr>
            <w:tcW w:w="260" w:type="dxa"/>
            <w:vAlign w:val="bottom"/>
          </w:tcPr>
          <w:p>
            <w:pPr>
              <w:jc w:val="right"/>
              <w:ind w:right="50"/>
              <w:spacing w:after="0" w:line="189" w:lineRule="exact"/>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(32,936 )</w:t>
            </w:r>
          </w:p>
        </w:tc>
      </w:tr>
      <w:tr>
        <w:trPr>
          <w:trHeight w:val="20"/>
        </w:trPr>
        <w:tc>
          <w:tcPr>
            <w:tcW w:w="4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2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w:t>
            </w:r>
          </w:p>
        </w:tc>
        <w:tc>
          <w:tcPr>
            <w:tcW w:w="9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4280" w:type="dxa"/>
            <w:vAlign w:val="bottom"/>
          </w:tcPr>
          <w:p>
            <w:pPr>
              <w:ind w:left="380"/>
              <w:spacing w:after="0" w:line="202" w:lineRule="exact"/>
              <w:rPr>
                <w:sz w:val="20"/>
                <w:szCs w:val="20"/>
                <w:color w:val="auto"/>
              </w:rPr>
            </w:pPr>
            <w:r>
              <w:rPr>
                <w:rFonts w:ascii="Arial" w:cs="Arial" w:eastAsia="Arial" w:hAnsi="Arial"/>
                <w:sz w:val="18"/>
                <w:szCs w:val="18"/>
                <w:color w:val="auto"/>
              </w:rPr>
              <w:t>Basic</w:t>
            </w:r>
          </w:p>
        </w:tc>
        <w:tc>
          <w:tcPr>
            <w:tcW w:w="920" w:type="dxa"/>
            <w:vAlign w:val="bottom"/>
          </w:tcPr>
          <w:p>
            <w:pPr>
              <w:jc w:val="right"/>
              <w:ind w:right="713"/>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(8,725 )</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(25,622 )</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(38,391 )</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(32,936 )</w:t>
            </w:r>
          </w:p>
        </w:tc>
      </w:tr>
      <w:tr>
        <w:trPr>
          <w:trHeight w:val="20"/>
        </w:trPr>
        <w:tc>
          <w:tcPr>
            <w:tcW w:w="4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28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8"/>
                <w:szCs w:val="18"/>
                <w:color w:val="auto"/>
              </w:rPr>
              <w:t>Diluted</w:t>
            </w:r>
          </w:p>
        </w:tc>
        <w:tc>
          <w:tcPr>
            <w:tcW w:w="920" w:type="dxa"/>
            <w:vAlign w:val="bottom"/>
            <w:tcBorders>
              <w:bottom w:val="single" w:sz="8" w:color="auto"/>
            </w:tcBorders>
            <w:shd w:val="clear" w:color="auto" w:fill="CFF0FC"/>
          </w:tcPr>
          <w:p>
            <w:pPr>
              <w:jc w:val="right"/>
              <w:ind w:right="713"/>
              <w:spacing w:after="0" w:line="183"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(8,725</w:t>
            </w:r>
          </w:p>
        </w:tc>
        <w:tc>
          <w:tcPr>
            <w:tcW w:w="300" w:type="dxa"/>
            <w:vAlign w:val="bottom"/>
            <w:tcBorders>
              <w:bottom w:val="single" w:sz="8" w:color="CFF0FC"/>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(25,622</w:t>
            </w:r>
          </w:p>
        </w:tc>
        <w:tc>
          <w:tcPr>
            <w:tcW w:w="300" w:type="dxa"/>
            <w:vAlign w:val="bottom"/>
            <w:tcBorders>
              <w:bottom w:val="single" w:sz="8" w:color="CFF0FC"/>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(46,437</w:t>
            </w:r>
          </w:p>
        </w:tc>
        <w:tc>
          <w:tcPr>
            <w:tcW w:w="260" w:type="dxa"/>
            <w:vAlign w:val="bottom"/>
            <w:tcBorders>
              <w:bottom w:val="single" w:sz="8" w:color="CFF0FC"/>
            </w:tcBorders>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(53,243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83"/>
        </w:trPr>
        <w:tc>
          <w:tcPr>
            <w:tcW w:w="4280" w:type="dxa"/>
            <w:vAlign w:val="bottom"/>
          </w:tcPr>
          <w:p>
            <w:pPr>
              <w:ind w:left="20"/>
              <w:spacing w:after="0" w:line="183" w:lineRule="exact"/>
              <w:rPr>
                <w:sz w:val="20"/>
                <w:szCs w:val="20"/>
                <w:color w:val="auto"/>
              </w:rPr>
            </w:pPr>
            <w:r>
              <w:rPr>
                <w:rFonts w:ascii="Arial" w:cs="Arial" w:eastAsia="Arial" w:hAnsi="Arial"/>
                <w:sz w:val="18"/>
                <w:szCs w:val="18"/>
                <w:color w:val="auto"/>
              </w:rPr>
              <w:t>Net loss per share:</w:t>
            </w: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42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Basic</w:t>
            </w:r>
          </w:p>
        </w:tc>
        <w:tc>
          <w:tcPr>
            <w:tcW w:w="920" w:type="dxa"/>
            <w:vAlign w:val="bottom"/>
            <w:shd w:val="clear" w:color="auto" w:fill="CFF0FC"/>
          </w:tcPr>
          <w:p>
            <w:pPr>
              <w:jc w:val="right"/>
              <w:ind w:right="713"/>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(0.07 )</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(0.23 )</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(0.32 )</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(0.29 )</w:t>
            </w: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4280" w:type="dxa"/>
            <w:vAlign w:val="bottom"/>
          </w:tcPr>
          <w:p>
            <w:pPr>
              <w:ind w:left="380"/>
              <w:spacing w:after="0" w:line="183" w:lineRule="exact"/>
              <w:rPr>
                <w:sz w:val="20"/>
                <w:szCs w:val="20"/>
                <w:color w:val="auto"/>
              </w:rPr>
            </w:pPr>
            <w:r>
              <w:rPr>
                <w:rFonts w:ascii="Arial" w:cs="Arial" w:eastAsia="Arial" w:hAnsi="Arial"/>
                <w:sz w:val="18"/>
                <w:szCs w:val="18"/>
                <w:color w:val="auto"/>
              </w:rPr>
              <w:t>Diluted</w:t>
            </w:r>
          </w:p>
        </w:tc>
        <w:tc>
          <w:tcPr>
            <w:tcW w:w="920" w:type="dxa"/>
            <w:vAlign w:val="bottom"/>
          </w:tcPr>
          <w:p>
            <w:pPr>
              <w:jc w:val="right"/>
              <w:ind w:right="713"/>
              <w:spacing w:after="0" w:line="183"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30"/>
              <w:spacing w:after="0" w:line="183" w:lineRule="exact"/>
              <w:rPr>
                <w:sz w:val="20"/>
                <w:szCs w:val="20"/>
                <w:color w:val="auto"/>
              </w:rPr>
            </w:pPr>
            <w:r>
              <w:rPr>
                <w:rFonts w:ascii="Arial" w:cs="Arial" w:eastAsia="Arial" w:hAnsi="Arial"/>
                <w:sz w:val="18"/>
                <w:szCs w:val="18"/>
                <w:color w:val="auto"/>
              </w:rPr>
              <w:t>(0.07 )</w:t>
            </w:r>
          </w:p>
        </w:tc>
        <w:tc>
          <w:tcPr>
            <w:tcW w:w="260" w:type="dxa"/>
            <w:vAlign w:val="bottom"/>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30"/>
              <w:spacing w:after="0" w:line="183" w:lineRule="exact"/>
              <w:rPr>
                <w:sz w:val="20"/>
                <w:szCs w:val="20"/>
                <w:color w:val="auto"/>
              </w:rPr>
            </w:pPr>
            <w:r>
              <w:rPr>
                <w:rFonts w:ascii="Arial" w:cs="Arial" w:eastAsia="Arial" w:hAnsi="Arial"/>
                <w:sz w:val="18"/>
                <w:szCs w:val="18"/>
                <w:color w:val="auto"/>
              </w:rPr>
              <w:t>(0.23 )</w:t>
            </w:r>
          </w:p>
        </w:tc>
        <w:tc>
          <w:tcPr>
            <w:tcW w:w="340" w:type="dxa"/>
            <w:vAlign w:val="bottom"/>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90"/>
              <w:spacing w:after="0" w:line="183" w:lineRule="exact"/>
              <w:rPr>
                <w:sz w:val="20"/>
                <w:szCs w:val="20"/>
                <w:color w:val="auto"/>
              </w:rPr>
            </w:pPr>
            <w:r>
              <w:rPr>
                <w:rFonts w:ascii="Arial" w:cs="Arial" w:eastAsia="Arial" w:hAnsi="Arial"/>
                <w:sz w:val="18"/>
                <w:szCs w:val="18"/>
                <w:color w:val="auto"/>
              </w:rPr>
              <w:t>(0.38 )</w:t>
            </w:r>
          </w:p>
        </w:tc>
        <w:tc>
          <w:tcPr>
            <w:tcW w:w="260" w:type="dxa"/>
            <w:vAlign w:val="bottom"/>
          </w:tcPr>
          <w:p>
            <w:pPr>
              <w:jc w:val="right"/>
              <w:ind w:right="50"/>
              <w:spacing w:after="0" w:line="183" w:lineRule="exact"/>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(0.47 )</w:t>
            </w:r>
          </w:p>
        </w:tc>
      </w:tr>
      <w:tr>
        <w:trPr>
          <w:trHeight w:val="20"/>
        </w:trPr>
        <w:tc>
          <w:tcPr>
            <w:tcW w:w="4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2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Shares used in computing net loss per share:</w:t>
            </w:r>
          </w:p>
        </w:tc>
        <w:tc>
          <w:tcPr>
            <w:tcW w:w="9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2"/>
        </w:trPr>
        <w:tc>
          <w:tcPr>
            <w:tcW w:w="4280" w:type="dxa"/>
            <w:vAlign w:val="bottom"/>
          </w:tcPr>
          <w:p>
            <w:pPr>
              <w:ind w:left="380"/>
              <w:spacing w:after="0" w:line="202" w:lineRule="exact"/>
              <w:rPr>
                <w:sz w:val="20"/>
                <w:szCs w:val="20"/>
                <w:color w:val="auto"/>
              </w:rPr>
            </w:pPr>
            <w:r>
              <w:rPr>
                <w:rFonts w:ascii="Arial" w:cs="Arial" w:eastAsia="Arial" w:hAnsi="Arial"/>
                <w:sz w:val="18"/>
                <w:szCs w:val="18"/>
                <w:color w:val="auto"/>
              </w:rPr>
              <w:t>Basic</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6"/>
              </w:rPr>
              <w:t>133,056</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112,557</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121,591</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112,505</w:t>
            </w:r>
          </w:p>
        </w:tc>
        <w:tc>
          <w:tcPr>
            <w:tcW w:w="100" w:type="dxa"/>
            <w:vAlign w:val="bottom"/>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28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8"/>
                <w:szCs w:val="18"/>
                <w:color w:val="auto"/>
              </w:rPr>
              <w:t>Diluted</w:t>
            </w: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86"/>
              </w:rPr>
              <w:t>133,056</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112,557</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122,482</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113,991</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-2790825</wp:posOffset>
            </wp:positionV>
            <wp:extent cx="7683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-2790825</wp:posOffset>
            </wp:positionV>
            <wp:extent cx="7747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-2790825</wp:posOffset>
            </wp:positionV>
            <wp:extent cx="685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-2790825</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-2268220</wp:posOffset>
            </wp:positionV>
            <wp:extent cx="7683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-2268220</wp:posOffset>
            </wp:positionV>
            <wp:extent cx="7747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-2268220</wp:posOffset>
            </wp:positionV>
            <wp:extent cx="685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-2268220</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-1479550</wp:posOffset>
            </wp:positionV>
            <wp:extent cx="7683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-1479550</wp:posOffset>
            </wp:positionV>
            <wp:extent cx="7747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-1479550</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-899795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-882650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-899795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-882650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-899795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-882650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-616585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-599440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-616585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-599440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-616585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-599440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-25400</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jc w:val="center"/>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280" w:type="dxa"/>
            <w:vAlign w:val="bottom"/>
            <w:gridSpan w:val="2"/>
            <w:vMerge w:val="restart"/>
          </w:tcPr>
          <w:p>
            <w:pPr>
              <w:jc w:val="center"/>
              <w:ind w:right="33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Common Shares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Paid-In Capital</w:t>
            </w:r>
          </w:p>
        </w:tc>
        <w:tc>
          <w:tcPr>
            <w:tcW w:w="140" w:type="dxa"/>
            <w:vAlign w:val="bottom"/>
          </w:tcPr>
          <w:p>
            <w:pPr>
              <w:spacing w:after="0"/>
              <w:rPr>
                <w:sz w:val="16"/>
                <w:szCs w:val="16"/>
                <w:color w:val="auto"/>
              </w:rPr>
            </w:pPr>
          </w:p>
        </w:tc>
        <w:tc>
          <w:tcPr>
            <w:tcW w:w="12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June 30, 2021</w:t>
            </w:r>
          </w:p>
        </w:tc>
        <w:tc>
          <w:tcPr>
            <w:tcW w:w="108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112,615</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369,171</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(319,705</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49,466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(17,510 )</w:t>
            </w:r>
          </w:p>
        </w:tc>
        <w:tc>
          <w:tcPr>
            <w:tcW w:w="140" w:type="dxa"/>
            <w:vAlign w:val="bottom"/>
          </w:tcPr>
          <w:p>
            <w:pPr>
              <w:spacing w:after="0"/>
              <w:rPr>
                <w:sz w:val="17"/>
                <w:szCs w:val="17"/>
                <w:color w:val="auto"/>
              </w:rPr>
            </w:pP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(17,510 )</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Issuance of common stock for vested restricted stock units</w:t>
            </w:r>
          </w:p>
        </w:tc>
        <w:tc>
          <w:tcPr>
            <w:tcW w:w="10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(194 )</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 expense</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2,539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September 30, 2021</w:t>
            </w:r>
          </w:p>
        </w:tc>
        <w:tc>
          <w:tcPr>
            <w:tcW w:w="108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112,678</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371,516</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(337,215</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34,301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(12,156 )</w:t>
            </w:r>
          </w:p>
        </w:tc>
        <w:tc>
          <w:tcPr>
            <w:tcW w:w="140" w:type="dxa"/>
            <w:vAlign w:val="bottom"/>
          </w:tcPr>
          <w:p>
            <w:pPr>
              <w:spacing w:after="0"/>
              <w:rPr>
                <w:sz w:val="17"/>
                <w:szCs w:val="17"/>
                <w:color w:val="auto"/>
              </w:rPr>
            </w:pP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(12,156 )</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Issuance of common stock, net of issuance costs of $3,672</w:t>
            </w:r>
          </w:p>
        </w:tc>
        <w:tc>
          <w:tcPr>
            <w:tcW w:w="10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20,125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48,653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48,653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Exercise of stock options</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Share-based compensation expense</w:t>
            </w:r>
          </w:p>
        </w:tc>
        <w:tc>
          <w:tcPr>
            <w:tcW w:w="10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2,324</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2,324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10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132,905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422,705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(349,371 )</w:t>
            </w:r>
          </w:p>
        </w:tc>
        <w:tc>
          <w:tcPr>
            <w:tcW w:w="14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73,334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(8,725 )</w:t>
            </w: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(8,725 )</w:t>
            </w: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Exercise of stock options</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360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Share-based compensation expense</w:t>
            </w:r>
          </w:p>
        </w:tc>
        <w:tc>
          <w:tcPr>
            <w:tcW w:w="10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2,837</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2,837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at March 31, 2022</w:t>
            </w:r>
          </w:p>
        </w:tc>
        <w:tc>
          <w:tcPr>
            <w:tcW w:w="10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133,152</w:t>
            </w:r>
          </w:p>
        </w:tc>
        <w:tc>
          <w:tcPr>
            <w:tcW w:w="24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425,902</w:t>
            </w:r>
          </w:p>
        </w:tc>
        <w:tc>
          <w:tcPr>
            <w:tcW w:w="2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(358,096 )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67,806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4"/>
                <w:szCs w:val="24"/>
                <w:color w:val="auto"/>
              </w:rPr>
            </w:pPr>
          </w:p>
        </w:tc>
        <w:tc>
          <w:tcPr>
            <w:tcW w:w="1280" w:type="dxa"/>
            <w:vAlign w:val="bottom"/>
            <w:gridSpan w:val="2"/>
            <w:vMerge w:val="restart"/>
          </w:tcPr>
          <w:p>
            <w:pPr>
              <w:jc w:val="center"/>
              <w:ind w:right="33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Common Shares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Paid-In Capital</w:t>
            </w:r>
          </w:p>
        </w:tc>
        <w:tc>
          <w:tcPr>
            <w:tcW w:w="140" w:type="dxa"/>
            <w:vAlign w:val="bottom"/>
          </w:tcPr>
          <w:p>
            <w:pPr>
              <w:spacing w:after="0"/>
              <w:rPr>
                <w:sz w:val="16"/>
                <w:szCs w:val="16"/>
                <w:color w:val="auto"/>
              </w:rPr>
            </w:pPr>
          </w:p>
        </w:tc>
        <w:tc>
          <w:tcPr>
            <w:tcW w:w="12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June 30, 2020</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111,514</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355,452</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(278,391</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77,061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712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Issuance of common stock, net of issuance costs of $64</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958</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3,136</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Exercise of stock options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Share-based compensation expense</w:t>
            </w: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2,942</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2,942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at September 30, 2020</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112,522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361,654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(277,679 )</w:t>
            </w:r>
          </w:p>
        </w:tc>
        <w:tc>
          <w:tcPr>
            <w:tcW w:w="14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83,975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(8,026 )</w:t>
            </w: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(8,026 )</w:t>
            </w:r>
          </w:p>
        </w:tc>
        <w:tc>
          <w:tcPr>
            <w:tcW w:w="0" w:type="dxa"/>
            <w:vAlign w:val="bottom"/>
          </w:tcPr>
          <w:p>
            <w:pPr>
              <w:spacing w:after="0"/>
              <w:rPr>
                <w:sz w:val="1"/>
                <w:szCs w:val="1"/>
                <w:color w:val="auto"/>
              </w:rPr>
            </w:pPr>
          </w:p>
        </w:tc>
      </w:tr>
      <w:tr>
        <w:trPr>
          <w:trHeight w:val="202"/>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Exercise of stock options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Share-based compensation expense</w:t>
            </w: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2,609</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2,609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112,528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364,278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(285,705 )</w:t>
            </w:r>
          </w:p>
        </w:tc>
        <w:tc>
          <w:tcPr>
            <w:tcW w:w="14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78,573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loss (As Restated)</w:t>
            </w: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(25,622 )</w:t>
            </w: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(25,622 )</w:t>
            </w: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Exercise of stock options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Exercise of warrants</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 expense</w:t>
            </w: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2,645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2,645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March 31, 2021 (As Restated)</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112,592</w:t>
            </w: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367,055</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(311,327</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55,728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-3125470</wp:posOffset>
            </wp:positionV>
            <wp:extent cx="7683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-3125470</wp:posOffset>
            </wp:positionV>
            <wp:extent cx="685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-3125470</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-3125470</wp:posOffset>
            </wp:positionV>
            <wp:extent cx="685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-2602230</wp:posOffset>
            </wp:positionV>
            <wp:extent cx="7683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-2602230</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-2602230</wp:posOffset>
            </wp:positionV>
            <wp:extent cx="685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-2602230</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-1333500</wp:posOffset>
            </wp:positionV>
            <wp:extent cx="7747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-1333500</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-1333500</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-1333500</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-810895</wp:posOffset>
            </wp:positionV>
            <wp:extent cx="7747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-810895</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-810895</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-810895</wp:posOffset>
            </wp:positionV>
            <wp:extent cx="685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jc w:val="center"/>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8" w:lineRule="exact"/>
        <w:rPr>
          <w:sz w:val="20"/>
          <w:szCs w:val="20"/>
          <w:color w:val="auto"/>
        </w:rPr>
      </w:pPr>
    </w:p>
    <w:p>
      <w:pPr>
        <w:jc w:val="center"/>
        <w:ind w:left="78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82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9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11"/>
              <w:spacing w:after="0" w:line="160"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491"/>
              <w:spacing w:after="0" w:line="160"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r>
      <w:tr>
        <w:trPr>
          <w:trHeight w:val="185"/>
        </w:trPr>
        <w:tc>
          <w:tcPr>
            <w:tcW w:w="7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(As Restated)</w:t>
            </w:r>
          </w:p>
        </w:tc>
      </w:tr>
      <w:tr>
        <w:trPr>
          <w:trHeight w:val="196"/>
        </w:trPr>
        <w:tc>
          <w:tcPr>
            <w:tcW w:w="7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(38,391 )</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(32,936 )</w:t>
            </w:r>
          </w:p>
        </w:tc>
      </w:tr>
      <w:tr>
        <w:trPr>
          <w:trHeight w:val="203"/>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7"/>
                <w:szCs w:val="17"/>
                <w:color w:val="auto"/>
              </w:rPr>
            </w:pPr>
          </w:p>
        </w:tc>
        <w:tc>
          <w:tcPr>
            <w:tcW w:w="1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(20,819 )</w:t>
            </w:r>
          </w:p>
        </w:tc>
        <w:tc>
          <w:tcPr>
            <w:tcW w:w="22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(11,035 )</w:t>
            </w:r>
          </w:p>
        </w:tc>
      </w:tr>
      <w:tr>
        <w:trPr>
          <w:trHeight w:val="203"/>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Share-based compensation</w:t>
            </w: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7,700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8,196</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241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Non-cash lease expense</w:t>
            </w: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636</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697</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20,420</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380"/>
              <w:spacing w:after="0" w:line="202" w:lineRule="exact"/>
              <w:rPr>
                <w:sz w:val="20"/>
                <w:szCs w:val="20"/>
                <w:color w:val="auto"/>
              </w:rPr>
            </w:pPr>
            <w:r>
              <w:rPr>
                <w:rFonts w:ascii="Arial" w:cs="Arial" w:eastAsia="Arial" w:hAnsi="Arial"/>
                <w:sz w:val="18"/>
                <w:szCs w:val="18"/>
                <w:color w:val="auto"/>
              </w:rPr>
              <w:t>Unbilled receivables</w:t>
            </w:r>
          </w:p>
        </w:tc>
        <w:tc>
          <w:tcPr>
            <w:tcW w:w="360" w:type="dxa"/>
            <w:vAlign w:val="bottom"/>
          </w:tcPr>
          <w:p>
            <w:pPr>
              <w:spacing w:after="0"/>
              <w:rPr>
                <w:sz w:val="17"/>
                <w:szCs w:val="17"/>
                <w:color w:val="auto"/>
              </w:rPr>
            </w:pPr>
          </w:p>
        </w:tc>
        <w:tc>
          <w:tcPr>
            <w:tcW w:w="1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(864 )</w:t>
            </w:r>
          </w:p>
        </w:tc>
        <w:tc>
          <w:tcPr>
            <w:tcW w:w="22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(4,921 )</w:t>
            </w:r>
          </w:p>
        </w:tc>
      </w:tr>
      <w:tr>
        <w:trPr>
          <w:trHeight w:val="203"/>
        </w:trPr>
        <w:tc>
          <w:tcPr>
            <w:tcW w:w="79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(2,169 )</w:t>
            </w:r>
          </w:p>
        </w:tc>
        <w:tc>
          <w:tcPr>
            <w:tcW w:w="2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(1,422 )</w:t>
            </w:r>
          </w:p>
        </w:tc>
      </w:tr>
      <w:tr>
        <w:trPr>
          <w:trHeight w:val="203"/>
        </w:trPr>
        <w:tc>
          <w:tcPr>
            <w:tcW w:w="7940" w:type="dxa"/>
            <w:vAlign w:val="bottom"/>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1,902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3,134</w:t>
            </w: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1,672</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380"/>
              <w:spacing w:after="0" w:line="202" w:lineRule="exact"/>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17,487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(4,546 )</w:t>
            </w:r>
          </w:p>
        </w:tc>
      </w:tr>
      <w:tr>
        <w:trPr>
          <w:trHeight w:val="203"/>
        </w:trPr>
        <w:tc>
          <w:tcPr>
            <w:tcW w:w="79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Operating lease liability</w:t>
            </w:r>
          </w:p>
        </w:tc>
        <w:tc>
          <w:tcPr>
            <w:tcW w:w="3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(645 )</w:t>
            </w:r>
          </w:p>
        </w:tc>
        <w:tc>
          <w:tcPr>
            <w:tcW w:w="2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(181 )</w:t>
            </w:r>
          </w:p>
        </w:tc>
      </w:tr>
      <w:tr>
        <w:trPr>
          <w:trHeight w:val="20"/>
        </w:trPr>
        <w:tc>
          <w:tcPr>
            <w:tcW w:w="79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940" w:type="dxa"/>
            <w:vAlign w:val="bottom"/>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17"/>
                <w:szCs w:val="17"/>
                <w:color w:val="auto"/>
              </w:rPr>
            </w:pPr>
          </w:p>
        </w:tc>
        <w:tc>
          <w:tcPr>
            <w:tcW w:w="13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(33,242 )</w:t>
            </w:r>
          </w:p>
        </w:tc>
        <w:tc>
          <w:tcPr>
            <w:tcW w:w="220" w:type="dxa"/>
            <w:vAlign w:val="bottom"/>
          </w:tcPr>
          <w:p>
            <w:pPr>
              <w:spacing w:after="0"/>
              <w:rPr>
                <w:sz w:val="17"/>
                <w:szCs w:val="17"/>
                <w:color w:val="auto"/>
              </w:rPr>
            </w:pPr>
          </w:p>
        </w:tc>
        <w:tc>
          <w:tcPr>
            <w:tcW w:w="13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(20,707 )</w:t>
            </w:r>
          </w:p>
        </w:tc>
      </w:tr>
      <w:tr>
        <w:trPr>
          <w:trHeight w:val="196"/>
        </w:trPr>
        <w:tc>
          <w:tcPr>
            <w:tcW w:w="7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7"/>
                <w:szCs w:val="17"/>
                <w:color w:val="auto"/>
              </w:rPr>
            </w:pPr>
          </w:p>
        </w:tc>
        <w:tc>
          <w:tcPr>
            <w:tcW w:w="1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(173 )</w:t>
            </w:r>
          </w:p>
        </w:tc>
        <w:tc>
          <w:tcPr>
            <w:tcW w:w="22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(700 )</w:t>
            </w:r>
          </w:p>
        </w:tc>
      </w:tr>
      <w:tr>
        <w:trPr>
          <w:trHeight w:val="202"/>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Purchases of short-term investments</w:t>
            </w:r>
          </w:p>
        </w:tc>
        <w:tc>
          <w:tcPr>
            <w:tcW w:w="3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(218,164 )</w:t>
            </w:r>
          </w:p>
        </w:tc>
        <w:tc>
          <w:tcPr>
            <w:tcW w:w="2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(325,162 )</w:t>
            </w: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maturity of short-term investments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205,117</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340,582</w:t>
            </w:r>
          </w:p>
        </w:tc>
        <w:tc>
          <w:tcPr>
            <w:tcW w:w="100" w:type="dxa"/>
            <w:vAlign w:val="bottom"/>
          </w:tcPr>
          <w:p>
            <w:pPr>
              <w:spacing w:after="0"/>
              <w:rPr>
                <w:sz w:val="17"/>
                <w:szCs w:val="17"/>
                <w:color w:val="auto"/>
              </w:rPr>
            </w:pPr>
          </w:p>
        </w:tc>
      </w:tr>
      <w:tr>
        <w:trPr>
          <w:trHeight w:val="196"/>
        </w:trPr>
        <w:tc>
          <w:tcPr>
            <w:tcW w:w="79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(13,220</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14,720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Payment of RSU tax withholdings in exchange for common shares surrendered by RSU holders</w:t>
            </w:r>
          </w:p>
        </w:tc>
        <w:tc>
          <w:tcPr>
            <w:tcW w:w="3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(194 )</w:t>
            </w:r>
          </w:p>
        </w:tc>
        <w:tc>
          <w:tcPr>
            <w:tcW w:w="2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exercise of stock options</w:t>
            </w:r>
          </w:p>
        </w:tc>
        <w:tc>
          <w:tcPr>
            <w:tcW w:w="3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572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issuance of common stock, gross</w:t>
            </w: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52,325</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3,200</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Payment of issuance costs</w:t>
            </w:r>
          </w:p>
        </w:tc>
        <w:tc>
          <w:tcPr>
            <w:tcW w:w="360" w:type="dxa"/>
            <w:vAlign w:val="bottom"/>
          </w:tcPr>
          <w:p>
            <w:pPr>
              <w:spacing w:after="0"/>
              <w:rPr>
                <w:sz w:val="17"/>
                <w:szCs w:val="17"/>
                <w:color w:val="auto"/>
              </w:rPr>
            </w:pPr>
          </w:p>
        </w:tc>
        <w:tc>
          <w:tcPr>
            <w:tcW w:w="1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(3,672 )</w:t>
            </w:r>
          </w:p>
        </w:tc>
        <w:tc>
          <w:tcPr>
            <w:tcW w:w="22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(64 )</w:t>
            </w:r>
          </w:p>
        </w:tc>
      </w:tr>
      <w:tr>
        <w:trPr>
          <w:trHeight w:val="196"/>
        </w:trPr>
        <w:tc>
          <w:tcPr>
            <w:tcW w:w="79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49,031</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3,401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40" w:type="dxa"/>
            <w:vAlign w:val="bottom"/>
          </w:tcPr>
          <w:p>
            <w:pPr>
              <w:ind w:left="20"/>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2,569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(2,586 )</w:t>
            </w:r>
          </w:p>
        </w:tc>
      </w:tr>
      <w:tr>
        <w:trPr>
          <w:trHeight w:val="203"/>
        </w:trPr>
        <w:tc>
          <w:tcPr>
            <w:tcW w:w="79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at beginning of the period</w:t>
            </w:r>
          </w:p>
        </w:tc>
        <w:tc>
          <w:tcPr>
            <w:tcW w:w="3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8,543</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12,331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40" w:type="dxa"/>
            <w:vAlign w:val="bottom"/>
          </w:tcPr>
          <w:p>
            <w:pPr>
              <w:ind w:left="20"/>
              <w:spacing w:after="0" w:line="196" w:lineRule="exact"/>
              <w:rPr>
                <w:sz w:val="20"/>
                <w:szCs w:val="20"/>
                <w:color w:val="auto"/>
              </w:rPr>
            </w:pPr>
            <w:r>
              <w:rPr>
                <w:rFonts w:ascii="Arial" w:cs="Arial" w:eastAsia="Arial" w:hAnsi="Arial"/>
                <w:sz w:val="18"/>
                <w:szCs w:val="18"/>
                <w:color w:val="auto"/>
              </w:rPr>
              <w:t>Cash and cash equivalents at end of the period</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11,112</w:t>
            </w:r>
          </w:p>
        </w:tc>
        <w:tc>
          <w:tcPr>
            <w:tcW w:w="26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9,745</w:t>
            </w:r>
          </w:p>
        </w:tc>
        <w:tc>
          <w:tcPr>
            <w:tcW w:w="100" w:type="dxa"/>
            <w:vAlign w:val="bottom"/>
          </w:tcPr>
          <w:p>
            <w:pPr>
              <w:spacing w:after="0"/>
              <w:rPr>
                <w:sz w:val="17"/>
                <w:szCs w:val="17"/>
                <w:color w:val="auto"/>
              </w:rPr>
            </w:pPr>
          </w:p>
        </w:tc>
      </w:tr>
      <w:tr>
        <w:trPr>
          <w:trHeight w:val="20"/>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9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Supplemental disclosures:</w:t>
            </w:r>
          </w:p>
        </w:tc>
        <w:tc>
          <w:tcPr>
            <w:tcW w:w="3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940" w:type="dxa"/>
            <w:vAlign w:val="bottom"/>
          </w:tcPr>
          <w:p>
            <w:pPr>
              <w:ind w:left="20"/>
              <w:spacing w:after="0" w:line="202" w:lineRule="exact"/>
              <w:rPr>
                <w:sz w:val="20"/>
                <w:szCs w:val="20"/>
                <w:color w:val="auto"/>
              </w:rPr>
            </w:pPr>
            <w:r>
              <w:rPr>
                <w:rFonts w:ascii="Arial" w:cs="Arial" w:eastAsia="Arial" w:hAnsi="Arial"/>
                <w:sz w:val="18"/>
                <w:szCs w:val="18"/>
                <w:color w:val="auto"/>
              </w:rPr>
              <w:t>Income taxes paid</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(8 )</w:t>
            </w:r>
          </w:p>
        </w:tc>
      </w:tr>
      <w:tr>
        <w:trPr>
          <w:trHeight w:val="203"/>
        </w:trPr>
        <w:tc>
          <w:tcPr>
            <w:tcW w:w="7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2,386</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8,689</w:t>
            </w:r>
          </w:p>
        </w:tc>
        <w:tc>
          <w:tcPr>
            <w:tcW w:w="100" w:type="dxa"/>
            <w:vAlign w:val="bottom"/>
            <w:shd w:val="clear" w:color="auto" w:fill="CFF0FC"/>
          </w:tcPr>
          <w:p>
            <w:pPr>
              <w:spacing w:after="0"/>
              <w:rPr>
                <w:sz w:val="17"/>
                <w:szCs w:val="17"/>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Warrants issued pursuant to cashless exercise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-2543175</wp:posOffset>
            </wp:positionV>
            <wp:extent cx="685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-2543175</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-1745615</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-1745615</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-956945</wp:posOffset>
            </wp:positionV>
            <wp:extent cx="685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-956945</wp:posOffset>
            </wp:positionV>
            <wp:extent cx="685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-691515</wp:posOffset>
            </wp:positionV>
            <wp:extent cx="685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-691515</wp:posOffset>
            </wp:positionV>
            <wp:extent cx="685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Restatement of Previously Issued Financial Statements</w:t>
      </w:r>
    </w:p>
    <w:p>
      <w:pPr>
        <w:spacing w:after="0" w:line="10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MEI Pharma, Inc. (the "Company") has restated our previously issued financial statements and related disclosures as of and for the three and nine months ended March 31, 2021 included in our original Quarterly Report on Form 10-Q filed with the Securities and Exchange Commission (the "SEC") on May 6, 2021 (the "Original Quarterly Report"), in order to correct errors resulting from the incorrect application of generally accepted accounting principles relating to revenue recognition as it pertains to the application of the cost-to-cost method for revenue recognition. The applicable Notes to Condensed Financial Statements were also updated to reflect the restatement. Our revised accounting for revenue recognition did not have any effect on our previously reported operating expenses or cash and short-term investments.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Restatement</w:t>
      </w:r>
    </w:p>
    <w:p>
      <w:pPr>
        <w:spacing w:after="0" w:line="104" w:lineRule="exact"/>
        <w:rPr>
          <w:sz w:val="20"/>
          <w:szCs w:val="20"/>
          <w:color w:val="auto"/>
        </w:rPr>
      </w:pPr>
    </w:p>
    <w:p>
      <w:pPr>
        <w:ind w:right="80" w:firstLine="509"/>
        <w:spacing w:after="0" w:line="272" w:lineRule="auto"/>
        <w:rPr>
          <w:sz w:val="20"/>
          <w:szCs w:val="20"/>
          <w:color w:val="auto"/>
        </w:rPr>
      </w:pPr>
      <w:r>
        <w:rPr>
          <w:rFonts w:ascii="Arial" w:cs="Arial" w:eastAsia="Arial" w:hAnsi="Arial"/>
          <w:sz w:val="16"/>
          <w:szCs w:val="16"/>
          <w:color w:val="auto"/>
        </w:rPr>
        <w:t>We identified and corrected certain errors in the manner in which we recognized revenue from our License, Development and Commercialization Agreement with Kyowa Kirin Company ("KKC") (the "KKC Commercialization Agreement") with the result that revenue was overstated in some quarters and understated in other quarters in our financial statements during 2020 and 2021. The errors relate to the appropriate timing and amounts of revenue recognized at a point in time, including revenue from a historical cumulative catch-up adjustment and pass through services, and over time under the cost-to-cost method associated with the KKC Commercialization Agreement (Note 3), including correction of the allocation of variable consideration between the various development service performance obligations. As a result, we determined that a material error in the financial statements had occurred which required a restatement of the March 31, 2021 financial statements included in the Original Quarterly Report. The cumulative effect of these errors as of December 31, 2021 was a misstatement of deferred revenue and accumulated deficit of $3.9 million.</w:t>
      </w:r>
    </w:p>
    <w:p>
      <w:pPr>
        <w:spacing w:after="0" w:line="60" w:lineRule="exact"/>
        <w:rPr>
          <w:sz w:val="20"/>
          <w:szCs w:val="20"/>
          <w:color w:val="auto"/>
        </w:rPr>
      </w:pPr>
    </w:p>
    <w:p>
      <w:pPr>
        <w:ind w:right="420" w:firstLine="509"/>
        <w:spacing w:after="0" w:line="242" w:lineRule="auto"/>
        <w:rPr>
          <w:sz w:val="20"/>
          <w:szCs w:val="20"/>
          <w:color w:val="auto"/>
        </w:rPr>
      </w:pPr>
      <w:r>
        <w:rPr>
          <w:rFonts w:ascii="Arial" w:cs="Arial" w:eastAsia="Arial" w:hAnsi="Arial"/>
          <w:sz w:val="18"/>
          <w:szCs w:val="18"/>
          <w:color w:val="auto"/>
        </w:rPr>
        <w:t>The following tables reflect the impact of the restatement adjustments to the specific line items presented in our previously reported financial statements for the periods indicated. The amounts originally reported were derived from our Original Quarterly Report (in thousands, except per share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March 31, 2021</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4"/>
          </w:tcPr>
          <w:p>
            <w:pPr>
              <w:jc w:val="center"/>
              <w:ind w:right="60"/>
              <w:spacing w:after="0" w:line="133" w:lineRule="exact"/>
              <w:rPr>
                <w:sz w:val="20"/>
                <w:szCs w:val="20"/>
                <w:color w:val="auto"/>
              </w:rPr>
            </w:pPr>
            <w:r>
              <w:rPr>
                <w:rFonts w:ascii="Arial" w:cs="Arial" w:eastAsia="Arial" w:hAnsi="Arial"/>
                <w:sz w:val="14"/>
                <w:szCs w:val="14"/>
                <w:b w:val="1"/>
                <w:bCs w:val="1"/>
                <w:color w:val="auto"/>
                <w:w w:val="94"/>
              </w:rPr>
              <w:t>As Originally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Adjustments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rPr>
              <w:t>As Restated</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Reported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5"/>
            <w:vMerge w:val="continue"/>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50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48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48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36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19,143</w:t>
            </w:r>
          </w:p>
        </w:tc>
        <w:tc>
          <w:tcPr>
            <w:tcW w:w="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4"/>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(15,064 )</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4,079</w:t>
            </w:r>
          </w:p>
        </w:tc>
        <w:tc>
          <w:tcPr>
            <w:tcW w:w="80" w:type="dxa"/>
            <w:vAlign w:val="bottom"/>
            <w:shd w:val="clear" w:color="auto" w:fill="CFF0FC"/>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00" w:type="dxa"/>
            <w:vAlign w:val="bottom"/>
          </w:tcPr>
          <w:p>
            <w:pPr>
              <w:ind w:left="40"/>
              <w:spacing w:after="0" w:line="202" w:lineRule="exact"/>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33,376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(15,064 )</w:t>
            </w:r>
          </w:p>
        </w:tc>
        <w:tc>
          <w:tcPr>
            <w:tcW w:w="160" w:type="dxa"/>
            <w:vAlign w:val="bottom"/>
          </w:tcPr>
          <w:p>
            <w:pPr>
              <w:spacing w:after="0"/>
              <w:rPr>
                <w:sz w:val="17"/>
                <w:szCs w:val="17"/>
                <w:color w:val="auto"/>
              </w:rPr>
            </w:pPr>
          </w:p>
        </w:tc>
        <w:tc>
          <w:tcPr>
            <w:tcW w:w="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18,312</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48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 long-term</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70,734</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4,298</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75,032</w:t>
            </w:r>
          </w:p>
        </w:tc>
        <w:tc>
          <w:tcPr>
            <w:tcW w:w="80" w:type="dxa"/>
            <w:vAlign w:val="bottom"/>
            <w:shd w:val="clear" w:color="auto" w:fill="CFF0FC"/>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00" w:type="dxa"/>
            <w:vAlign w:val="bottom"/>
          </w:tcPr>
          <w:p>
            <w:pPr>
              <w:ind w:left="40"/>
              <w:spacing w:after="0" w:line="202" w:lineRule="exact"/>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141,160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(10,766 )</w:t>
            </w:r>
          </w:p>
        </w:tc>
        <w:tc>
          <w:tcPr>
            <w:tcW w:w="160" w:type="dxa"/>
            <w:vAlign w:val="bottom"/>
          </w:tcPr>
          <w:p>
            <w:pPr>
              <w:spacing w:after="0"/>
              <w:rPr>
                <w:sz w:val="17"/>
                <w:szCs w:val="17"/>
                <w:color w:val="auto"/>
              </w:rPr>
            </w:pPr>
          </w:p>
        </w:tc>
        <w:tc>
          <w:tcPr>
            <w:tcW w:w="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130,394</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48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48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(322,093 )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10,766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(311,327 )</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50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44,962</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10,766</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55,728</w:t>
            </w:r>
          </w:p>
        </w:tc>
        <w:tc>
          <w:tcPr>
            <w:tcW w:w="80" w:type="dxa"/>
            <w:vAlign w:val="bottom"/>
            <w:shd w:val="clear" w:color="auto" w:fill="CFF0FC"/>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6"/>
        </w:trPr>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w w:val="99"/>
              </w:rPr>
              <w:t>Three Months Ended March 31, 2021</w:t>
            </w: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240" w:type="dxa"/>
            <w:vAlign w:val="bottom"/>
            <w:gridSpan w:val="5"/>
          </w:tcPr>
          <w:p>
            <w:pPr>
              <w:ind w:left="80"/>
              <w:spacing w:after="0" w:line="133" w:lineRule="exact"/>
              <w:rPr>
                <w:sz w:val="20"/>
                <w:szCs w:val="20"/>
                <w:color w:val="auto"/>
              </w:rPr>
            </w:pPr>
            <w:r>
              <w:rPr>
                <w:rFonts w:ascii="Arial" w:cs="Arial" w:eastAsia="Arial" w:hAnsi="Arial"/>
                <w:sz w:val="14"/>
                <w:szCs w:val="14"/>
                <w:b w:val="1"/>
                <w:bCs w:val="1"/>
                <w:color w:val="auto"/>
              </w:rPr>
              <w:t>As Originally</w:t>
            </w:r>
          </w:p>
        </w:tc>
        <w:tc>
          <w:tcPr>
            <w:tcW w:w="80" w:type="dxa"/>
            <w:vAlign w:val="bottom"/>
          </w:tcPr>
          <w:p>
            <w:pPr>
              <w:spacing w:after="0"/>
              <w:rPr>
                <w:sz w:val="11"/>
                <w:szCs w:val="11"/>
                <w:color w:val="auto"/>
              </w:rPr>
            </w:pPr>
          </w:p>
        </w:tc>
        <w:tc>
          <w:tcPr>
            <w:tcW w:w="1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Adjustments</w:t>
            </w:r>
          </w:p>
        </w:tc>
        <w:tc>
          <w:tcPr>
            <w:tcW w:w="1280" w:type="dxa"/>
            <w:vAlign w:val="bottom"/>
            <w:gridSpan w:val="7"/>
            <w:vMerge w:val="restart"/>
          </w:tcPr>
          <w:p>
            <w:pPr>
              <w:jc w:val="right"/>
              <w:ind w:right="480"/>
              <w:spacing w:after="0"/>
              <w:rPr>
                <w:sz w:val="20"/>
                <w:szCs w:val="20"/>
                <w:color w:val="auto"/>
              </w:rPr>
            </w:pPr>
            <w:r>
              <w:rPr>
                <w:rFonts w:ascii="Arial" w:cs="Arial" w:eastAsia="Arial" w:hAnsi="Arial"/>
                <w:sz w:val="14"/>
                <w:szCs w:val="14"/>
                <w:b w:val="1"/>
                <w:bCs w:val="1"/>
                <w:color w:val="auto"/>
                <w:w w:val="96"/>
              </w:rPr>
              <w:t>As Restated</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Reported</w:t>
            </w:r>
          </w:p>
        </w:tc>
        <w:tc>
          <w:tcPr>
            <w:tcW w:w="80" w:type="dxa"/>
            <w:vAlign w:val="bottom"/>
          </w:tcPr>
          <w:p>
            <w:pPr>
              <w:spacing w:after="0"/>
              <w:rPr>
                <w:sz w:val="16"/>
                <w:szCs w:val="16"/>
                <w:color w:val="auto"/>
              </w:rPr>
            </w:pPr>
          </w:p>
        </w:tc>
        <w:tc>
          <w:tcPr>
            <w:tcW w:w="1080" w:type="dxa"/>
            <w:vAlign w:val="bottom"/>
            <w:gridSpan w:val="4"/>
            <w:vMerge w:val="continue"/>
          </w:tcPr>
          <w:p>
            <w:pPr>
              <w:spacing w:after="0"/>
              <w:rPr>
                <w:sz w:val="16"/>
                <w:szCs w:val="16"/>
                <w:color w:val="auto"/>
              </w:rPr>
            </w:pPr>
          </w:p>
        </w:tc>
        <w:tc>
          <w:tcPr>
            <w:tcW w:w="1280" w:type="dxa"/>
            <w:vAlign w:val="bottom"/>
            <w:gridSpan w:val="7"/>
            <w:vMerge w:val="continue"/>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2,418</w:t>
            </w:r>
          </w:p>
        </w:tc>
        <w:tc>
          <w:tcPr>
            <w:tcW w:w="20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5,691</w:t>
            </w:r>
          </w:p>
        </w:tc>
        <w:tc>
          <w:tcPr>
            <w:tcW w:w="180" w:type="dxa"/>
            <w:vAlign w:val="bottom"/>
            <w:shd w:val="clear" w:color="auto" w:fill="CFF0FC"/>
          </w:tcPr>
          <w:p>
            <w:pPr>
              <w:spacing w:after="0"/>
              <w:rPr>
                <w:sz w:val="17"/>
                <w:szCs w:val="17"/>
                <w:color w:val="auto"/>
              </w:rPr>
            </w:pPr>
          </w:p>
        </w:tc>
        <w:tc>
          <w:tcPr>
            <w:tcW w:w="260" w:type="dxa"/>
            <w:vAlign w:val="bottom"/>
            <w:tcBorders>
              <w:top w:val="single" w:sz="8" w:color="auto"/>
            </w:tcBorders>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8,109</w:t>
            </w:r>
          </w:p>
        </w:tc>
        <w:tc>
          <w:tcPr>
            <w:tcW w:w="80" w:type="dxa"/>
            <w:vAlign w:val="bottom"/>
            <w:shd w:val="clear" w:color="auto" w:fill="CFF0FC"/>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(22,086 )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5,691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4"/>
              </w:rPr>
              <w:t>(16,395 )</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w w:val="99"/>
              </w:rPr>
              <w:t>(31,313 )</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5,691</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w w:val="94"/>
              </w:rPr>
              <w:t>(25,622 )</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0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w w:val="99"/>
              </w:rPr>
              <w:t>(31,313 )</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5,691</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w w:val="94"/>
              </w:rPr>
              <w:t>(25,622 )</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00" w:type="dxa"/>
            <w:vAlign w:val="bottom"/>
          </w:tcPr>
          <w:p>
            <w:pPr>
              <w:ind w:left="360"/>
              <w:spacing w:after="0" w:line="202" w:lineRule="exact"/>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(31,313 )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5,691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4"/>
              </w:rPr>
              <w:t>(25,622 )</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loss per share:</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00" w:type="dxa"/>
            <w:vAlign w:val="bottom"/>
          </w:tcPr>
          <w:p>
            <w:pPr>
              <w:ind w:left="360"/>
              <w:spacing w:after="0" w:line="202" w:lineRule="exact"/>
              <w:rPr>
                <w:sz w:val="20"/>
                <w:szCs w:val="20"/>
                <w:color w:val="auto"/>
              </w:rPr>
            </w:pPr>
            <w:r>
              <w:rPr>
                <w:rFonts w:ascii="Arial" w:cs="Arial" w:eastAsia="Arial" w:hAnsi="Arial"/>
                <w:sz w:val="18"/>
                <w:szCs w:val="18"/>
                <w:color w:val="auto"/>
              </w:rPr>
              <w:t>Basic</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(0.28 )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0.05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(0.23 )</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0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(0.28 )</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0.05</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(0.23 )</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0"/>
        </w:trPr>
        <w:tc>
          <w:tcPr>
            <w:tcW w:w="1360" w:type="dxa"/>
            <w:vAlign w:val="bottom"/>
          </w:tcPr>
          <w:p>
            <w:pPr>
              <w:spacing w:after="0"/>
              <w:rPr>
                <w:sz w:val="24"/>
                <w:szCs w:val="24"/>
                <w:color w:val="auto"/>
              </w:rPr>
            </w:pPr>
          </w:p>
        </w:tc>
        <w:tc>
          <w:tcPr>
            <w:tcW w:w="4840" w:type="dxa"/>
            <w:vAlign w:val="bottom"/>
            <w:gridSpan w:val="2"/>
          </w:tcPr>
          <w:p>
            <w:pPr>
              <w:ind w:left="4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3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45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11"/>
          </w:tcPr>
          <w:p>
            <w:pPr>
              <w:jc w:val="right"/>
              <w:ind w:right="430"/>
              <w:spacing w:after="0"/>
              <w:rPr>
                <w:sz w:val="20"/>
                <w:szCs w:val="20"/>
                <w:color w:val="auto"/>
              </w:rPr>
            </w:pPr>
            <w:r>
              <w:rPr>
                <w:rFonts w:ascii="Arial" w:cs="Arial" w:eastAsia="Arial" w:hAnsi="Arial"/>
                <w:sz w:val="14"/>
                <w:szCs w:val="14"/>
                <w:b w:val="1"/>
                <w:bCs w:val="1"/>
                <w:color w:val="auto"/>
              </w:rPr>
              <w:t>Nine Months Ended March 31, 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jc w:val="center"/>
              <w:ind w:right="180"/>
              <w:spacing w:after="0" w:line="133" w:lineRule="exact"/>
              <w:rPr>
                <w:sz w:val="20"/>
                <w:szCs w:val="20"/>
                <w:color w:val="auto"/>
              </w:rPr>
            </w:pPr>
            <w:r>
              <w:rPr>
                <w:rFonts w:ascii="Arial" w:cs="Arial" w:eastAsia="Arial" w:hAnsi="Arial"/>
                <w:sz w:val="14"/>
                <w:szCs w:val="14"/>
                <w:b w:val="1"/>
                <w:bCs w:val="1"/>
                <w:color w:val="auto"/>
                <w:w w:val="94"/>
              </w:rPr>
              <w:t>As Originally</w:t>
            </w:r>
          </w:p>
        </w:tc>
        <w:tc>
          <w:tcPr>
            <w:tcW w:w="60" w:type="dxa"/>
            <w:vAlign w:val="bottom"/>
          </w:tcPr>
          <w:p>
            <w:pPr>
              <w:spacing w:after="0"/>
              <w:rPr>
                <w:sz w:val="11"/>
                <w:szCs w:val="11"/>
                <w:color w:val="auto"/>
              </w:rPr>
            </w:pPr>
          </w:p>
        </w:tc>
        <w:tc>
          <w:tcPr>
            <w:tcW w:w="112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Pr>
          <w:p>
            <w:pPr>
              <w:spacing w:after="0"/>
              <w:rPr>
                <w:sz w:val="11"/>
                <w:szCs w:val="11"/>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85"/>
        </w:trPr>
        <w:tc>
          <w:tcPr>
            <w:tcW w:w="440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6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15,419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jc w:val="right"/>
              <w:ind w:right="64"/>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11,923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27,342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(56,873 )</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11,923</w:t>
            </w: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(44,950 )</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(44,859 )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11,923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(32,936 )</w:t>
            </w: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360"/>
              <w:spacing w:after="0" w:line="202" w:lineRule="exact"/>
              <w:rPr>
                <w:sz w:val="20"/>
                <w:szCs w:val="20"/>
                <w:color w:val="auto"/>
              </w:rPr>
            </w:pPr>
            <w:r>
              <w:rPr>
                <w:rFonts w:ascii="Arial" w:cs="Arial" w:eastAsia="Arial" w:hAnsi="Arial"/>
                <w:sz w:val="18"/>
                <w:szCs w:val="18"/>
                <w:color w:val="auto"/>
              </w:rPr>
              <w:t>Basic</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(44,859 )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11,923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(32,936 )</w:t>
            </w: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Diluted</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(65,166 )</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11,923</w:t>
            </w: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(53,243 )</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Net loss per share: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Basic</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(0.40 )</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0.11</w:t>
            </w: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(0.29 )</w:t>
            </w:r>
          </w:p>
        </w:tc>
        <w:tc>
          <w:tcPr>
            <w:tcW w:w="0" w:type="dxa"/>
            <w:vAlign w:val="bottom"/>
          </w:tcPr>
          <w:p>
            <w:pPr>
              <w:spacing w:after="0"/>
              <w:rPr>
                <w:sz w:val="1"/>
                <w:szCs w:val="1"/>
                <w:color w:val="auto"/>
              </w:rPr>
            </w:pP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(0.57 )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(0.47 )</w:t>
            </w:r>
          </w:p>
        </w:tc>
        <w:tc>
          <w:tcPr>
            <w:tcW w:w="0" w:type="dxa"/>
            <w:vAlign w:val="bottom"/>
          </w:tcPr>
          <w:p>
            <w:pPr>
              <w:spacing w:after="0"/>
              <w:rPr>
                <w:sz w:val="1"/>
                <w:szCs w:val="1"/>
                <w:color w:val="auto"/>
              </w:rPr>
            </w:pPr>
          </w:p>
        </w:tc>
      </w:tr>
      <w:tr>
        <w:trPr>
          <w:trHeight w:val="607"/>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1"/>
          </w:tcPr>
          <w:p>
            <w:pPr>
              <w:jc w:val="right"/>
              <w:ind w:right="430"/>
              <w:spacing w:after="0"/>
              <w:rPr>
                <w:sz w:val="20"/>
                <w:szCs w:val="20"/>
                <w:color w:val="auto"/>
              </w:rPr>
            </w:pPr>
            <w:r>
              <w:rPr>
                <w:rFonts w:ascii="Arial" w:cs="Arial" w:eastAsia="Arial" w:hAnsi="Arial"/>
                <w:sz w:val="14"/>
                <w:szCs w:val="14"/>
                <w:b w:val="1"/>
                <w:bCs w:val="1"/>
                <w:color w:val="auto"/>
              </w:rPr>
              <w:t>Nine Months Ended March 31, 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jc w:val="center"/>
              <w:ind w:right="180"/>
              <w:spacing w:after="0" w:line="133" w:lineRule="exact"/>
              <w:rPr>
                <w:sz w:val="20"/>
                <w:szCs w:val="20"/>
                <w:color w:val="auto"/>
              </w:rPr>
            </w:pPr>
            <w:r>
              <w:rPr>
                <w:rFonts w:ascii="Arial" w:cs="Arial" w:eastAsia="Arial" w:hAnsi="Arial"/>
                <w:sz w:val="14"/>
                <w:szCs w:val="14"/>
                <w:b w:val="1"/>
                <w:bCs w:val="1"/>
                <w:color w:val="auto"/>
                <w:w w:val="94"/>
              </w:rPr>
              <w:t>As Originally</w:t>
            </w:r>
          </w:p>
        </w:tc>
        <w:tc>
          <w:tcPr>
            <w:tcW w:w="60" w:type="dxa"/>
            <w:vAlign w:val="bottom"/>
          </w:tcPr>
          <w:p>
            <w:pPr>
              <w:spacing w:after="0"/>
              <w:rPr>
                <w:sz w:val="11"/>
                <w:szCs w:val="11"/>
                <w:color w:val="auto"/>
              </w:rPr>
            </w:pPr>
          </w:p>
        </w:tc>
        <w:tc>
          <w:tcPr>
            <w:tcW w:w="112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Pr>
          <w:p>
            <w:pPr>
              <w:spacing w:after="0"/>
              <w:rPr>
                <w:sz w:val="11"/>
                <w:szCs w:val="11"/>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6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Statement of Stockholders' Equity</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180"/>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(322,093 )</w:t>
            </w:r>
          </w:p>
        </w:tc>
        <w:tc>
          <w:tcPr>
            <w:tcW w:w="300" w:type="dxa"/>
            <w:vAlign w:val="bottom"/>
            <w:gridSpan w:val="2"/>
          </w:tcPr>
          <w:p>
            <w:pPr>
              <w:jc w:val="right"/>
              <w:ind w:right="64"/>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10,766</w:t>
            </w:r>
          </w:p>
        </w:tc>
        <w:tc>
          <w:tcPr>
            <w:tcW w:w="14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5"/>
              </w:rPr>
              <w:t>(311,327 )</w:t>
            </w: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44,962</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10,766</w:t>
            </w: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55,728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594"/>
        </w:trPr>
        <w:tc>
          <w:tcPr>
            <w:tcW w:w="4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1"/>
          </w:tcPr>
          <w:p>
            <w:pPr>
              <w:jc w:val="right"/>
              <w:ind w:right="490"/>
              <w:spacing w:after="0"/>
              <w:rPr>
                <w:sz w:val="20"/>
                <w:szCs w:val="20"/>
                <w:color w:val="auto"/>
              </w:rPr>
            </w:pPr>
            <w:r>
              <w:rPr>
                <w:rFonts w:ascii="Arial" w:cs="Arial" w:eastAsia="Arial" w:hAnsi="Arial"/>
                <w:sz w:val="14"/>
                <w:szCs w:val="14"/>
                <w:b w:val="1"/>
                <w:bCs w:val="1"/>
                <w:color w:val="auto"/>
              </w:rPr>
              <w:t>Nine Months Ended March 31, 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280" w:type="dxa"/>
            <w:vAlign w:val="bottom"/>
            <w:gridSpan w:val="5"/>
          </w:tcPr>
          <w:p>
            <w:pPr>
              <w:ind w:left="120"/>
              <w:spacing w:after="0" w:line="133" w:lineRule="exact"/>
              <w:rPr>
                <w:sz w:val="20"/>
                <w:szCs w:val="20"/>
                <w:color w:val="auto"/>
              </w:rPr>
            </w:pPr>
            <w:r>
              <w:rPr>
                <w:rFonts w:ascii="Arial" w:cs="Arial" w:eastAsia="Arial" w:hAnsi="Arial"/>
                <w:sz w:val="14"/>
                <w:szCs w:val="14"/>
                <w:b w:val="1"/>
                <w:bCs w:val="1"/>
                <w:color w:val="auto"/>
              </w:rPr>
              <w:t>As Originally</w:t>
            </w:r>
          </w:p>
        </w:tc>
        <w:tc>
          <w:tcPr>
            <w:tcW w:w="60" w:type="dxa"/>
            <w:vAlign w:val="bottom"/>
          </w:tcPr>
          <w:p>
            <w:pPr>
              <w:spacing w:after="0"/>
              <w:rPr>
                <w:sz w:val="11"/>
                <w:szCs w:val="11"/>
                <w:color w:val="auto"/>
              </w:rPr>
            </w:pPr>
          </w:p>
        </w:tc>
        <w:tc>
          <w:tcPr>
            <w:tcW w:w="112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6"/>
              </w:rPr>
              <w:t>Adjustments</w:t>
            </w:r>
          </w:p>
        </w:tc>
        <w:tc>
          <w:tcPr>
            <w:tcW w:w="40" w:type="dxa"/>
            <w:vAlign w:val="bottom"/>
          </w:tcPr>
          <w:p>
            <w:pPr>
              <w:spacing w:after="0"/>
              <w:rPr>
                <w:sz w:val="11"/>
                <w:szCs w:val="11"/>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4"/>
              </w:rPr>
              <w:t>Reported</w:t>
            </w:r>
          </w:p>
        </w:tc>
        <w:tc>
          <w:tcPr>
            <w:tcW w:w="6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Statement of Cash Flows</w:t>
            </w:r>
          </w:p>
        </w:tc>
        <w:tc>
          <w:tcPr>
            <w:tcW w:w="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(44,859 )</w:t>
            </w:r>
          </w:p>
        </w:tc>
        <w:tc>
          <w:tcPr>
            <w:tcW w:w="300" w:type="dxa"/>
            <w:vAlign w:val="bottom"/>
            <w:gridSpan w:val="2"/>
            <w:shd w:val="clear" w:color="auto" w:fill="CFF0FC"/>
          </w:tcPr>
          <w:p>
            <w:pPr>
              <w:jc w:val="right"/>
              <w:ind w:right="124"/>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11,923</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4"/>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(32,936 )</w:t>
            </w:r>
          </w:p>
        </w:tc>
        <w:tc>
          <w:tcPr>
            <w:tcW w:w="0" w:type="dxa"/>
            <w:vAlign w:val="bottom"/>
          </w:tcPr>
          <w:p>
            <w:pPr>
              <w:spacing w:after="0"/>
              <w:rPr>
                <w:sz w:val="1"/>
                <w:szCs w:val="1"/>
                <w:color w:val="auto"/>
              </w:rPr>
            </w:pPr>
          </w:p>
        </w:tc>
      </w:tr>
      <w:tr>
        <w:trPr>
          <w:trHeight w:val="203"/>
        </w:trPr>
        <w:tc>
          <w:tcPr>
            <w:tcW w:w="4400" w:type="dxa"/>
            <w:vAlign w:val="bottom"/>
          </w:tcPr>
          <w:p>
            <w:pPr>
              <w:ind w:left="1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7,377</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(11,923 )</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(4,546 )</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(20,707 )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(20,707 )</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1A. The Company and 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16"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 xml:space="preserve">We are a late-stage pharmaceutical company </w:t>
      </w:r>
      <w:r>
        <w:rPr>
          <w:rFonts w:ascii="Arial" w:cs="Arial" w:eastAsia="Arial" w:hAnsi="Arial"/>
          <w:sz w:val="17"/>
          <w:szCs w:val="17"/>
          <w:color w:val="333333"/>
        </w:rPr>
        <w:t>committed to the development and commercialization of novel cancer therapies intended to improve</w:t>
      </w:r>
      <w:r>
        <w:rPr>
          <w:rFonts w:ascii="Arial" w:cs="Arial" w:eastAsia="Arial" w:hAnsi="Arial"/>
          <w:sz w:val="17"/>
          <w:szCs w:val="17"/>
          <w:color w:val="auto"/>
        </w:rPr>
        <w:t xml:space="preserve"> </w:t>
      </w:r>
      <w:r>
        <w:rPr>
          <w:rFonts w:ascii="Arial" w:cs="Arial" w:eastAsia="Arial" w:hAnsi="Arial"/>
          <w:sz w:val="17"/>
          <w:szCs w:val="17"/>
          <w:color w:val="333333"/>
        </w:rPr>
        <w:t xml:space="preserve">outcomes for patients. Our portfolio of drug candidates includes three clinical-stage assets, including zandelisib (f/k/a ME-401), currently in multiple ongoing clinical studies intended to support marketing applications with the U.S. Food and Drug Administration (“FDA”) and other regulatory authorities globally. </w:t>
      </w:r>
      <w:r>
        <w:rPr>
          <w:rFonts w:ascii="Arial" w:cs="Arial" w:eastAsia="Arial" w:hAnsi="Arial"/>
          <w:sz w:val="17"/>
          <w:szCs w:val="17"/>
          <w:color w:val="000000"/>
        </w:rPr>
        <w:t>Our common stock is listed on the Nasdaq Capital Market under the symbol “MEIP.”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108" w:lineRule="exact"/>
        <w:rPr>
          <w:sz w:val="20"/>
          <w:szCs w:val="20"/>
          <w:color w:val="auto"/>
        </w:rPr>
      </w:pPr>
    </w:p>
    <w:p>
      <w:pPr>
        <w:ind w:right="180" w:firstLine="509"/>
        <w:spacing w:after="0" w:line="294" w:lineRule="auto"/>
        <w:rPr>
          <w:sz w:val="20"/>
          <w:szCs w:val="20"/>
          <w:color w:val="auto"/>
        </w:rPr>
      </w:pPr>
      <w:r>
        <w:rPr>
          <w:rFonts w:ascii="Arial" w:cs="Arial" w:eastAsia="Arial" w:hAnsi="Arial"/>
          <w:sz w:val="16"/>
          <w:szCs w:val="16"/>
          <w:color w:val="auto"/>
        </w:rPr>
        <w:t xml:space="preserve">We build our pipeline by licensing or acquiring promising cancer agents and creating value in programs through development, commercialization and strategic partnerships, as appropriate. </w:t>
      </w:r>
      <w:r>
        <w:rPr>
          <w:rFonts w:ascii="Arial" w:cs="Arial" w:eastAsia="Arial" w:hAnsi="Arial"/>
          <w:sz w:val="16"/>
          <w:szCs w:val="16"/>
          <w:color w:val="333333"/>
        </w:rPr>
        <w:t>Our objective is to leverage the mechanisms and properties of our pipeline drug candidates to optimize the</w:t>
      </w:r>
      <w:r>
        <w:rPr>
          <w:rFonts w:ascii="Arial" w:cs="Arial" w:eastAsia="Arial" w:hAnsi="Arial"/>
          <w:sz w:val="16"/>
          <w:szCs w:val="16"/>
          <w:color w:val="auto"/>
        </w:rPr>
        <w:t xml:space="preserve"> </w:t>
      </w:r>
      <w:r>
        <w:rPr>
          <w:rFonts w:ascii="Arial" w:cs="Arial" w:eastAsia="Arial" w:hAnsi="Arial"/>
          <w:sz w:val="16"/>
          <w:szCs w:val="16"/>
          <w:color w:val="333333"/>
        </w:rPr>
        <w:t xml:space="preserve">balance between efficacy and tolerability to meet the needs of patients with cancer. </w:t>
      </w:r>
      <w:r>
        <w:rPr>
          <w:rFonts w:ascii="Arial" w:cs="Arial" w:eastAsia="Arial" w:hAnsi="Arial"/>
          <w:sz w:val="16"/>
          <w:szCs w:val="16"/>
          <w:color w:val="000000"/>
        </w:rPr>
        <w:t>Our drug candidate pipeline includes:</w:t>
      </w:r>
    </w:p>
    <w:p>
      <w:pPr>
        <w:spacing w:after="0" w:line="39"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Zandelisib (formerly known as ME-401), an oral phosphatidylinositol 3-kinase (“PI3K”) delta inhibitor;</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Voruciclib, an oral cyclin-dependent kinase (“CDK”) inhibitor; and</w:t>
      </w: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ME-344, a mitochondrial inhibitor targeting the oxidative phosphorylation (“OXPHOS”) complex.</w:t>
      </w:r>
    </w:p>
    <w:p>
      <w:pPr>
        <w:spacing w:after="0" w:line="8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 results of pre-clinical studies and completed clinical trials are not necessarily predictive of future results, and our current drug candidates may not have favorable results in later studies or trials. The commercial opportunity will be reduced or eliminated if competitors develop and market products that are more effective, have fewer side effects or are less expensive than our drug candidates. We will need substantial additional funds to progress the clinical trial programs for the drug candidates zandelisib, voruciclib, and ME-344, and to develop new compounds. The actual amount of funds that will be needed are determined by a number of factors, some of which are beyond our control. Negative U.S. and global economic conditions may pose challenges to our business strategy, which relies on funding from the financial markets or collaborators.</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08"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have accumulated losses of $358.1 million since inception and expect to incur operating losses and generate negative cash flows from operations for the foreseeable future. As of March 31, 2022, we had $169.0 million in cash and cash equivalents and short-term investments. We believe that these resources will be sufficient to meet our obligations and fund our liquidity and capital expenditure requirements for at least the next 12 months from the issuance of these financial statements.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168"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0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The accompanying unaudited financial statements have been prepared in accordance with accounting principles generally accepted in the United States (“U.S. GAAP”) for interim financial information and in accordance with the instructions to Form 10-Q and Article 10 of Regulation S-X. Accordingly, the accompanying financial statements do not include all of the information and notes required by U.S. GAAP for complete financial statements. In the opinion of management, the accompanying financial statements reflect all adjustments (consisting of normal recurring adjustments) that are necessary for a fair statement of the financial position, results of operations and cash flows for the periods presented.</w:t>
      </w:r>
    </w:p>
    <w:p>
      <w:pPr>
        <w:spacing w:after="0" w:line="174" w:lineRule="exact"/>
        <w:rPr>
          <w:sz w:val="20"/>
          <w:szCs w:val="20"/>
          <w:color w:val="auto"/>
        </w:rPr>
      </w:pPr>
    </w:p>
    <w:p>
      <w:pPr>
        <w:jc w:val="both"/>
        <w:ind w:right="20" w:firstLine="509"/>
        <w:spacing w:after="0" w:line="270" w:lineRule="auto"/>
        <w:rPr>
          <w:sz w:val="20"/>
          <w:szCs w:val="20"/>
          <w:color w:val="auto"/>
        </w:rPr>
      </w:pPr>
      <w:r>
        <w:rPr>
          <w:rFonts w:ascii="Arial" w:cs="Arial" w:eastAsia="Arial" w:hAnsi="Arial"/>
          <w:sz w:val="17"/>
          <w:szCs w:val="17"/>
          <w:color w:val="auto"/>
        </w:rPr>
        <w:t>The accompanying unaudited financial statements should be read in conjunction with the audited financial statements and notes thereto as of and for the fiscal year ended June 30, 2021, included in our Amended Annual Report on Form 10-K/A filed with the Securities and Exchange Commission on May 23, 2022 (the "2021 Amended Annual Report"). Interim results are not necessarily indicative of results for a full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08" w:lineRule="exact"/>
        <w:rPr>
          <w:sz w:val="20"/>
          <w:szCs w:val="20"/>
          <w:color w:val="auto"/>
        </w:rPr>
      </w:pPr>
    </w:p>
    <w:p>
      <w:pPr>
        <w:jc w:val="both"/>
        <w:ind w:right="360" w:firstLine="509"/>
        <w:spacing w:after="0" w:line="248" w:lineRule="auto"/>
        <w:rPr>
          <w:sz w:val="20"/>
          <w:szCs w:val="20"/>
          <w:color w:val="auto"/>
        </w:rPr>
      </w:pPr>
      <w:r>
        <w:rPr>
          <w:rFonts w:ascii="Arial" w:cs="Arial" w:eastAsia="Arial" w:hAnsi="Arial"/>
          <w:sz w:val="18"/>
          <w:szCs w:val="18"/>
          <w:color w:val="auto"/>
        </w:rPr>
        <w:t>Certain reclassifications have been made to the prior year financial statements to conform to the current year financial statement presentation of unbilled receivables and cash flows from financing activities. These changes did not impact previously reported net loss, loss per share, stockholders’ equity, total assets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right="340" w:firstLine="509"/>
        <w:spacing w:after="0" w:line="24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amounts reported in the financial statements and disclosures made in the accompanying notes to the financial statements. We use estimates that affect the reported amounts (including assets, liabilities, revenues and expenses) and related disclosures. Actual results could materially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Standards Codification ("ASC") Topic 606, Revenue from Contracts with Customers (“Topic 606”)</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recognize revenue when control of the promised goods or services is transferred to our customers, in an amount that reflects the consideration we expect to be entitled to in exchange for those goods or services. For enforceable contracts with our customers, we first identify the distinct performance obligations – or accounting units – within the contract. Performance obligations are commitments in a contract to transfer a distinct good or service to the customer.</w:t>
      </w:r>
    </w:p>
    <w:p>
      <w:pPr>
        <w:spacing w:after="0" w:line="80" w:lineRule="exact"/>
        <w:rPr>
          <w:sz w:val="20"/>
          <w:szCs w:val="20"/>
          <w:color w:val="auto"/>
        </w:rPr>
      </w:pPr>
    </w:p>
    <w:p>
      <w:pPr>
        <w:ind w:right="240" w:firstLine="509"/>
        <w:spacing w:after="0" w:line="239" w:lineRule="auto"/>
        <w:rPr>
          <w:sz w:val="20"/>
          <w:szCs w:val="20"/>
          <w:color w:val="auto"/>
        </w:rPr>
      </w:pPr>
      <w:r>
        <w:rPr>
          <w:rFonts w:ascii="Arial" w:cs="Arial" w:eastAsia="Arial" w:hAnsi="Arial"/>
          <w:sz w:val="18"/>
          <w:szCs w:val="18"/>
          <w:color w:val="auto"/>
        </w:rPr>
        <w:t>Payments received under commercial arrangements, such as licensing technology rights, may include non-refundable fees at the inception of the arrangements, milestone payments for specific achievements designated in the agreements, and royalties on the sale of products. At the inception of arrangements that include milestone payments, we use judgment to evaluate whether the milestones are probable of being achieved and we estimate the amount to include in the transaction price using the most likely method. If it is probable that a significant revenue reversal will not occur, the estimated amount is included in the transaction price. Milestone payments that are not within our or the licensee’s control, such as regulatory approvals, are not included in the transaction price until those approvals are received. At the end of each reporting period, we re-evaluate the probability of achievement of development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milestones and any related constraint and, as necessary, we adjust our estimate of the overall transaction price. Any adjustments are recorded on a cumulative catch-up basis, which would affect revenues and earnings in the period of adjustment.</w:t>
      </w:r>
    </w:p>
    <w:p>
      <w:pPr>
        <w:spacing w:after="0" w:line="63"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We develop estimates of the stand-alone selling price for each distinct performance obligation. Variable consideration that relates specifically to our efforts to satisfy specific performance obligations is allocated entirely to those performance obligations. Other components of the transaction price are allocated based on the relative stand-alone selling price, over which management has applied significant judgment. We develop assumptions that require judgment to determine the stand-alone selling price for license-related performance obligations, which may include forecasted revenues, development timelines, reimbursement rates for personnel costs, discount rates and probabilities of technical, regulatory and commercial success. We estimate stand-alone selling price for research and development performance obligations by forecasting the expected costs of satisfying a performance obligation plus an appropriate margin.</w:t>
      </w:r>
    </w:p>
    <w:p>
      <w:pPr>
        <w:spacing w:after="0" w:line="8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the case of a license that is a distinct performance obligation, we recognize revenue allocated to the license from non-refundable, up-front fees at the point in time when the license is transferred to the licensee and the licensee can use and benefit from the license. For licenses that are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 the measure of progress each reporting period and, if necessary, adjust the measure of performance and related revenue recognition. From time to time, we perform additional services for KKC at their request, the costs of which are fully reimbursed to us. We record the reimbursement of such pass through services as revenue at 100% of reimbursed costs as control of the additional services for KKC is transferred at the time we incur such costs. The costs we incur for these additional services are incurred solely for the benefit of KKC and have no alternative use to us.</w:t>
      </w:r>
    </w:p>
    <w:p>
      <w:pPr>
        <w:spacing w:after="0" w:line="83"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selection of the method to measure progress towards completion requires judgment and is based on the nature of the products or services to be provided. Revenue is recorded proportionally as costs are incurred. We generally use the cost-to-cost measure of progress because it best depicts the transfer of control to the customer which occurs as we incur costs. Under the cost-to-cost measure of progress, the extent of progress towards completion is measured based on the ratio of costs incurred to date to the total estimated costs at completion of the performance obligation (an “input method” under Topic 606). We use judgment to estimate the total cost expected to complete the research and development performance obligations, which include subcontractors’ costs, labor, materials, other direct costs and an allocation of indirect costs. We evaluate these cost estimates and the progress each reporting period and, as necessary, we adjust the measure of progress and related revenue recognition.</w:t>
      </w:r>
    </w:p>
    <w:p>
      <w:pPr>
        <w:spacing w:after="0" w:line="72"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For arrangements that include sales-based or usage-based royalties, we recognize revenue at the later of (i) when the related sales occur or (ii) when the performance obligation to which some or all of the royalty has been allocated has been satisfied or partially satisfied. To date, we have not recognized any sales-based or usage-based royalty revenue from license agreements.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recognized revenue associated with the following license agreements (in thousands):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20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85"/>
        </w:trPr>
        <w:tc>
          <w:tcPr>
            <w:tcW w:w="46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r>
      <w:tr>
        <w:trPr>
          <w:trHeight w:val="160"/>
        </w:trPr>
        <w:tc>
          <w:tcPr>
            <w:tcW w:w="4620" w:type="dxa"/>
            <w:vAlign w:val="bottom"/>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3"/>
                <w:szCs w:val="13"/>
                <w:color w:val="auto"/>
              </w:rPr>
            </w:pPr>
          </w:p>
        </w:tc>
        <w:tc>
          <w:tcPr>
            <w:tcW w:w="104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16"/>
              <w:spacing w:after="0" w:line="160"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355"/>
              <w:spacing w:after="0" w:line="160"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r>
      <w:tr>
        <w:trPr>
          <w:trHeight w:val="185"/>
        </w:trPr>
        <w:tc>
          <w:tcPr>
            <w:tcW w:w="46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(As Restated)</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3"/>
              </w:rPr>
              <w:t>(As Restated)</w:t>
            </w:r>
          </w:p>
        </w:tc>
        <w:tc>
          <w:tcPr>
            <w:tcW w:w="100" w:type="dxa"/>
            <w:vAlign w:val="bottom"/>
          </w:tcPr>
          <w:p>
            <w:pPr>
              <w:spacing w:after="0"/>
              <w:rPr>
                <w:sz w:val="16"/>
                <w:szCs w:val="16"/>
                <w:color w:val="auto"/>
              </w:rPr>
            </w:pPr>
          </w:p>
        </w:tc>
      </w:tr>
      <w:tr>
        <w:trPr>
          <w:trHeight w:val="196"/>
        </w:trPr>
        <w:tc>
          <w:tcPr>
            <w:tcW w:w="462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KKC License Agreements</w:t>
            </w:r>
          </w:p>
        </w:tc>
        <w:tc>
          <w:tcPr>
            <w:tcW w:w="720" w:type="dxa"/>
            <w:vAlign w:val="bottom"/>
            <w:shd w:val="clear" w:color="auto" w:fill="CFF0FC"/>
          </w:tcPr>
          <w:p>
            <w:pPr>
              <w:jc w:val="right"/>
              <w:ind w:right="53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9,694</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595"/>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8,012</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29,283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26,902</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Borders>
              <w:bottom w:val="single" w:sz="8" w:color="CFF0FC"/>
            </w:tcBorders>
          </w:tcPr>
          <w:p>
            <w:pPr>
              <w:ind w:left="180"/>
              <w:spacing w:after="0" w:line="202" w:lineRule="exact"/>
              <w:rPr>
                <w:sz w:val="20"/>
                <w:szCs w:val="20"/>
                <w:color w:val="auto"/>
              </w:rPr>
            </w:pPr>
            <w:r>
              <w:rPr>
                <w:rFonts w:ascii="Arial" w:cs="Arial" w:eastAsia="Arial" w:hAnsi="Arial"/>
                <w:sz w:val="18"/>
                <w:szCs w:val="18"/>
                <w:color w:val="auto"/>
              </w:rPr>
              <w:t>Helsinn License Agreement</w:t>
            </w:r>
          </w:p>
        </w:tc>
        <w:tc>
          <w:tcPr>
            <w:tcW w:w="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w:t>
            </w:r>
          </w:p>
        </w:tc>
        <w:tc>
          <w:tcPr>
            <w:tcW w:w="2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440</w:t>
            </w:r>
          </w:p>
        </w:tc>
        <w:tc>
          <w:tcPr>
            <w:tcW w:w="100" w:type="dxa"/>
            <w:vAlign w:val="bottom"/>
            <w:tcBorders>
              <w:bottom w:val="single" w:sz="8" w:color="CFF0FC"/>
            </w:tcBorders>
          </w:tcPr>
          <w:p>
            <w:pPr>
              <w:spacing w:after="0"/>
              <w:rPr>
                <w:sz w:val="17"/>
                <w:szCs w:val="17"/>
                <w:color w:val="auto"/>
              </w:rPr>
            </w:pPr>
          </w:p>
        </w:tc>
      </w:tr>
      <w:tr>
        <w:trPr>
          <w:trHeight w:val="236"/>
        </w:trPr>
        <w:tc>
          <w:tcPr>
            <w:tcW w:w="46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3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9,694</w:t>
            </w:r>
          </w:p>
        </w:tc>
        <w:tc>
          <w:tcPr>
            <w:tcW w:w="2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595"/>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8,109</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29,283</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27,342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8"/>
                <w:szCs w:val="18"/>
                <w:color w:val="auto"/>
              </w:rPr>
              <w:t>Timing of Revenue Recognition:</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6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Development services performed over time</w:t>
            </w:r>
          </w:p>
        </w:tc>
        <w:tc>
          <w:tcPr>
            <w:tcW w:w="720" w:type="dxa"/>
            <w:vAlign w:val="bottom"/>
            <w:shd w:val="clear" w:color="auto" w:fill="CFF0FC"/>
          </w:tcPr>
          <w:p>
            <w:pPr>
              <w:jc w:val="right"/>
              <w:ind w:right="536"/>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9,694</w:t>
            </w:r>
          </w:p>
        </w:tc>
        <w:tc>
          <w:tcPr>
            <w:tcW w:w="1040" w:type="dxa"/>
            <w:vAlign w:val="bottom"/>
            <w:gridSpan w:val="2"/>
            <w:shd w:val="clear" w:color="auto" w:fill="CFF0FC"/>
          </w:tcPr>
          <w:p>
            <w:pPr>
              <w:jc w:val="right"/>
              <w:ind w:right="595"/>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7,556</w:t>
            </w:r>
          </w:p>
        </w:tc>
        <w:tc>
          <w:tcPr>
            <w:tcW w:w="4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26,970</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25,559</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180"/>
              <w:spacing w:after="0" w:line="202" w:lineRule="exact"/>
              <w:rPr>
                <w:sz w:val="20"/>
                <w:szCs w:val="20"/>
                <w:color w:val="auto"/>
              </w:rPr>
            </w:pPr>
            <w:r>
              <w:rPr>
                <w:rFonts w:ascii="Arial" w:cs="Arial" w:eastAsia="Arial" w:hAnsi="Arial"/>
                <w:sz w:val="18"/>
                <w:szCs w:val="18"/>
                <w:color w:val="auto"/>
              </w:rPr>
              <w:t>Pass through services at a point in time</w:t>
            </w:r>
          </w:p>
        </w:tc>
        <w:tc>
          <w:tcPr>
            <w:tcW w:w="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553</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2,313</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1,783</w:t>
            </w:r>
          </w:p>
        </w:tc>
        <w:tc>
          <w:tcPr>
            <w:tcW w:w="100" w:type="dxa"/>
            <w:vAlign w:val="bottom"/>
          </w:tcPr>
          <w:p>
            <w:pPr>
              <w:spacing w:after="0"/>
              <w:rPr>
                <w:sz w:val="17"/>
                <w:szCs w:val="17"/>
                <w:color w:val="auto"/>
              </w:rPr>
            </w:pPr>
          </w:p>
        </w:tc>
      </w:tr>
      <w:tr>
        <w:trPr>
          <w:trHeight w:val="236"/>
        </w:trPr>
        <w:tc>
          <w:tcPr>
            <w:tcW w:w="46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3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9,694</w:t>
            </w:r>
          </w:p>
        </w:tc>
        <w:tc>
          <w:tcPr>
            <w:tcW w:w="2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595"/>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8,109</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29,283</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27,342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-573405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-556260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-710565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-573405</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-556260</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-710565</wp:posOffset>
            </wp:positionV>
            <wp:extent cx="59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-573405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-556260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-710565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-573405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-556260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-710565</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596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7"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The KKC Commercialization Agreement (Note 3) included other distinct performance obligations satisfied over time, and accordingly we recognized $29.3 million and $26.9 million related to our progress toward satisfying those obligations during the nine months ended March 31, 2022 and 2021, respectively.</w:t>
      </w:r>
    </w:p>
    <w:p>
      <w:pPr>
        <w:spacing w:after="0" w:line="7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Based on the characteristics of the Helsinn License Agreement (Note 3), we recognized revenue based on the extent of progress towards completion of the performance obligations. The Helsinn License Agreement was terminated in November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Contract Balances</w:t>
      </w:r>
    </w:p>
    <w:p>
      <w:pPr>
        <w:spacing w:after="0" w:line="104" w:lineRule="exact"/>
        <w:rPr>
          <w:sz w:val="20"/>
          <w:szCs w:val="20"/>
          <w:color w:val="auto"/>
        </w:rPr>
      </w:pPr>
    </w:p>
    <w:p>
      <w:pPr>
        <w:jc w:val="both"/>
        <w:ind w:right="660" w:firstLine="509"/>
        <w:spacing w:after="0" w:line="248" w:lineRule="auto"/>
        <w:rPr>
          <w:sz w:val="20"/>
          <w:szCs w:val="20"/>
          <w:color w:val="auto"/>
        </w:rPr>
      </w:pPr>
      <w:r>
        <w:rPr>
          <w:rFonts w:ascii="Arial" w:cs="Arial" w:eastAsia="Arial" w:hAnsi="Arial"/>
          <w:sz w:val="18"/>
          <w:szCs w:val="18"/>
          <w:color w:val="auto"/>
        </w:rPr>
        <w:t>Contract liabilities are included in “Deferred revenue” and “Deferred revenue long-term”. The following table presents changes in accounts receivable, unbilled receivables, and contract liabilities accounted for under Topic 606 during the nine months ended March 31, 2022 and 2021 (in thousands):</w:t>
      </w:r>
    </w:p>
    <w:p>
      <w:pPr>
        <w:spacing w:after="0" w:line="214"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0"/>
        </w:trPr>
        <w:tc>
          <w:tcPr>
            <w:tcW w:w="69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71"/>
              <w:spacing w:after="0" w:line="160"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73"/>
              <w:spacing w:after="0" w:line="160"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r>
      <w:tr>
        <w:trPr>
          <w:trHeight w:val="185"/>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(As Restated)</w:t>
            </w:r>
          </w:p>
        </w:tc>
      </w:tr>
      <w:tr>
        <w:trPr>
          <w:trHeight w:val="196"/>
        </w:trPr>
        <w:tc>
          <w:tcPr>
            <w:tcW w:w="6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Accounts receivable</w:t>
            </w: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6940" w:type="dxa"/>
            <w:vAlign w:val="bottom"/>
          </w:tcPr>
          <w:p>
            <w:pPr>
              <w:ind w:left="180"/>
              <w:spacing w:after="0" w:line="202" w:lineRule="exact"/>
              <w:rPr>
                <w:sz w:val="20"/>
                <w:szCs w:val="20"/>
                <w:color w:val="auto"/>
              </w:rPr>
            </w:pPr>
            <w:r>
              <w:rPr>
                <w:rFonts w:ascii="Arial" w:cs="Arial" w:eastAsia="Arial" w:hAnsi="Arial"/>
                <w:sz w:val="18"/>
                <w:szCs w:val="18"/>
                <w:color w:val="auto"/>
              </w:rPr>
              <w:t>Accounts receivable, beginning of period</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Amounts billed</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45,927</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18,267</w:t>
            </w: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ind w:left="180"/>
              <w:spacing w:after="0" w:line="202" w:lineRule="exact"/>
              <w:rPr>
                <w:sz w:val="20"/>
                <w:szCs w:val="20"/>
                <w:color w:val="auto"/>
              </w:rPr>
            </w:pPr>
            <w:r>
              <w:rPr>
                <w:rFonts w:ascii="Arial" w:cs="Arial" w:eastAsia="Arial" w:hAnsi="Arial"/>
                <w:sz w:val="18"/>
                <w:szCs w:val="18"/>
                <w:color w:val="auto"/>
              </w:rPr>
              <w:t>Payments received</w:t>
            </w:r>
          </w:p>
        </w:tc>
        <w:tc>
          <w:tcPr>
            <w:tcW w:w="320" w:type="dxa"/>
            <w:vAlign w:val="bottom"/>
          </w:tcPr>
          <w:p>
            <w:pPr>
              <w:spacing w:after="0"/>
              <w:rPr>
                <w:sz w:val="17"/>
                <w:szCs w:val="17"/>
                <w:color w:val="auto"/>
              </w:rPr>
            </w:pP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(45,927 )</w:t>
            </w:r>
          </w:p>
        </w:tc>
        <w:tc>
          <w:tcPr>
            <w:tcW w:w="200" w:type="dxa"/>
            <w:vAlign w:val="bottom"/>
          </w:tcPr>
          <w:p>
            <w:pPr>
              <w:spacing w:after="0"/>
              <w:rPr>
                <w:sz w:val="17"/>
                <w:szCs w:val="17"/>
                <w:color w:val="auto"/>
              </w:rPr>
            </w:pP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(18,350 )</w:t>
            </w:r>
          </w:p>
        </w:tc>
      </w:tr>
      <w:tr>
        <w:trPr>
          <w:trHeight w:val="236"/>
        </w:trPr>
        <w:tc>
          <w:tcPr>
            <w:tcW w:w="69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Accounts receivable, end of period</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940" w:type="dxa"/>
            <w:vAlign w:val="bottom"/>
          </w:tcPr>
          <w:p>
            <w:pPr>
              <w:spacing w:after="0" w:line="183" w:lineRule="exact"/>
              <w:rPr>
                <w:sz w:val="20"/>
                <w:szCs w:val="20"/>
                <w:color w:val="auto"/>
              </w:rPr>
            </w:pPr>
            <w:r>
              <w:rPr>
                <w:rFonts w:ascii="Arial" w:cs="Arial" w:eastAsia="Arial" w:hAnsi="Arial"/>
                <w:sz w:val="18"/>
                <w:szCs w:val="18"/>
                <w:color w:val="auto"/>
              </w:rPr>
              <w:t>Unbilled receivables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Unbilled receivables, beginning of period</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7,582</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2,858</w:t>
            </w: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ind w:left="180"/>
              <w:spacing w:after="0" w:line="202" w:lineRule="exact"/>
              <w:rPr>
                <w:sz w:val="20"/>
                <w:szCs w:val="20"/>
                <w:color w:val="auto"/>
              </w:rPr>
            </w:pPr>
            <w:r>
              <w:rPr>
                <w:rFonts w:ascii="Arial" w:cs="Arial" w:eastAsia="Arial" w:hAnsi="Arial"/>
                <w:sz w:val="18"/>
                <w:szCs w:val="18"/>
                <w:color w:val="auto"/>
              </w:rPr>
              <w:t>Billable amounts</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46,791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22,841</w:t>
            </w: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Amounts billed</w:t>
            </w: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(45,927 )</w:t>
            </w:r>
          </w:p>
        </w:tc>
        <w:tc>
          <w:tcPr>
            <w:tcW w:w="2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(18,267 )</w:t>
            </w:r>
          </w:p>
        </w:tc>
      </w:tr>
      <w:tr>
        <w:trPr>
          <w:trHeight w:val="196"/>
        </w:trPr>
        <w:tc>
          <w:tcPr>
            <w:tcW w:w="694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color w:val="auto"/>
              </w:rPr>
              <w:t>Unbilled receivables, end of period</w:t>
            </w: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8,446</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7,432</w:t>
            </w:r>
          </w:p>
        </w:tc>
        <w:tc>
          <w:tcPr>
            <w:tcW w:w="100" w:type="dxa"/>
            <w:vAlign w:val="bottom"/>
            <w:tcBorders>
              <w:top w:val="single" w:sz="8" w:color="CFF0FC"/>
            </w:tcBorders>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9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Contract liabilities</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940" w:type="dxa"/>
            <w:vAlign w:val="bottom"/>
          </w:tcPr>
          <w:p>
            <w:pPr>
              <w:ind w:left="180"/>
              <w:spacing w:after="0" w:line="202" w:lineRule="exact"/>
              <w:rPr>
                <w:sz w:val="20"/>
                <w:szCs w:val="20"/>
                <w:color w:val="auto"/>
              </w:rPr>
            </w:pPr>
            <w:r>
              <w:rPr>
                <w:rFonts w:ascii="Arial" w:cs="Arial" w:eastAsia="Arial" w:hAnsi="Arial"/>
                <w:sz w:val="18"/>
                <w:szCs w:val="18"/>
                <w:color w:val="auto"/>
              </w:rPr>
              <w:t>Contract liabilities, beginning of period</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14,677</w:t>
            </w:r>
          </w:p>
        </w:tc>
        <w:tc>
          <w:tcPr>
            <w:tcW w:w="26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19,108</w:t>
            </w: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Revenue recognized</w:t>
            </w: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(2,513 )</w:t>
            </w:r>
          </w:p>
        </w:tc>
        <w:tc>
          <w:tcPr>
            <w:tcW w:w="2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(4,908 )</w:t>
            </w:r>
          </w:p>
        </w:tc>
      </w:tr>
      <w:tr>
        <w:trPr>
          <w:trHeight w:val="203"/>
        </w:trPr>
        <w:tc>
          <w:tcPr>
            <w:tcW w:w="6940" w:type="dxa"/>
            <w:vAlign w:val="bottom"/>
          </w:tcPr>
          <w:p>
            <w:pPr>
              <w:ind w:left="180"/>
              <w:spacing w:after="0" w:line="202" w:lineRule="exact"/>
              <w:rPr>
                <w:sz w:val="20"/>
                <w:szCs w:val="20"/>
                <w:color w:val="auto"/>
              </w:rPr>
            </w:pPr>
            <w:r>
              <w:rPr>
                <w:rFonts w:ascii="Arial" w:cs="Arial" w:eastAsia="Arial" w:hAnsi="Arial"/>
                <w:sz w:val="18"/>
                <w:szCs w:val="18"/>
                <w:color w:val="auto"/>
              </w:rPr>
              <w:t>Payments received</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20,000</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366</w:t>
            </w:r>
          </w:p>
        </w:tc>
        <w:tc>
          <w:tcPr>
            <w:tcW w:w="100" w:type="dxa"/>
            <w:vAlign w:val="bottom"/>
          </w:tcPr>
          <w:p>
            <w:pPr>
              <w:spacing w:after="0"/>
              <w:rPr>
                <w:sz w:val="17"/>
                <w:szCs w:val="17"/>
                <w:color w:val="auto"/>
              </w:rPr>
            </w:pPr>
          </w:p>
        </w:tc>
      </w:tr>
      <w:tr>
        <w:trPr>
          <w:trHeight w:val="236"/>
        </w:trPr>
        <w:tc>
          <w:tcPr>
            <w:tcW w:w="69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Contract liabilities, end of period</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32,164</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14,566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-1379220</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-1362710</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-1379220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-1362710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-836295</wp:posOffset>
            </wp:positionV>
            <wp:extent cx="5969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-836295</wp:posOffset>
            </wp:positionV>
            <wp:extent cx="6032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96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timing of revenue recognition, invoicing and cash collections results in billed accounts receivable and unbilled receivables and deferred revenue (contract liabilities). We invoice our customers in accordance with agreed-upon contractual terms, typically at periodic intervals or upon achievement of contractual milestones. Invoicing may occur subsequent to revenue recognition, resulting in unbilled receivables. We may receive advance payments from our customers before revenue is recognized, resulting in contract liabilities. The unbilled receivables and deferred revenue reported on the Condensed Balance Sheets relate to the KKC Commercialization Agreement.</w:t>
      </w:r>
    </w:p>
    <w:p>
      <w:pPr>
        <w:spacing w:after="0" w:line="81"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As of March 31, 2022, we had $96.7 million of deferred revenue associated with the KKC Commercialization Agreement, of which $64.5 million relates to the U.S. license which is a unit of account under the scope of Topic 808 and is not a deliverable under Topic 606, and $32.2 million relates to the development services performance obligations which are under the scope of Topic 606.</w:t>
      </w:r>
    </w:p>
    <w:p>
      <w:pPr>
        <w:spacing w:after="0" w:line="7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Our contract liabilities accounted for under Topic 606 relate to the amount of initial upfront consideration that was allocated to the development services performance obligations. Contract liabilities are recognized over the duration of the performance obligations based on the costs incurred relative to total expected costs.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Revenues from Collaborators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earn revenue in connection with collaboration agreements, which are described in Note 3, License Agreements.</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 xml:space="preserve">At contract inception, we assess whether the collaboration arrangements are within the scope of ASC Topic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(“Topic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Topic 808 that contain multiple units of account, we first determine which units of account within the arrangement are within the scope of Topic 808 and which elements are within the scope of Topic 606. For units of account within collaboration arrangements that are accounted for pursuant to Topic 808, an appropriate recognition method is determined and applied consistently, by analogy to authoritative accounting literature. For elements of collaboration arrangements that are accounted for pursuant to Topic 606, we recognize revenue as discussed above. Consideration received that does not meet the requirements to satisfy Topic 606 revenue recognition criteria is recorded as deferred revenue in the accompanying Condensed Balance Sheets, classified as either short-term or long-term deferred revenue based on our best estimate of when such amounts will be recognized.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08"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Research and development costs are expensed as incurred and include costs paid to third-party contractors to perform research, conduct clinical trials and develop and manufacture drug materials. Clinical trial costs, including costs associated with third-party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contractors, are a significant component of research and development expenses. We expense research and development costs based on work performed. In determining the amount to expense, management relies on estimates of total costs based on contract components completed, the enrollment of subjects, the completion of trials, and other events. Costs incurred related to the purchase or licensing of in-process research and development for early-stage products or products that are not commercially viable and ready for use, or have no alternative future use, are charged to expense in the period incurred.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08"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Share-based compensation expense for employees and directors is recognized in the Condensed Statement of Operations based on estimated amounts, including the grant date fair value and the expected service period. For stock options, we estimate the grant date fair value using a Black-Scholes valuation model, which requires the use of multiple subjective inputs including estimated future volatility, expected forfeitures and the expected term of the awards. We estimate the expected future volatility based on the stock’s historical price volatility. The stock’s future volatility may differ from the estimated volatility at the grant date. For restricted stock unit (“RSU”) equity awards, we estimate the grant date fair value using our closing stock price on the date of grant. We recognize the effect of forfeitures in compensation expense when the forfeitures occur. The estimated forfeiture rates may differ from actual forfeiture rates which would affect the amount of expense recognized during the period. We recognize the value of the awards over the awards’ requisite service or performance periods. The requisite service period is generally the time over which our share-based awards vest.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180" w:firstLine="509"/>
        <w:spacing w:after="0" w:line="274" w:lineRule="auto"/>
        <w:rPr>
          <w:sz w:val="20"/>
          <w:szCs w:val="20"/>
          <w:color w:val="auto"/>
        </w:rPr>
      </w:pPr>
      <w:r>
        <w:rPr>
          <w:rFonts w:ascii="Arial" w:cs="Arial" w:eastAsia="Arial" w:hAnsi="Arial"/>
          <w:sz w:val="16"/>
          <w:szCs w:val="16"/>
          <w:color w:val="auto"/>
        </w:rPr>
        <w:t>Our income tax expense consists of current and deferred income tax expense or benefit. Current income tax expense or benefit is the amount of income taxes expected to be payable or refundable for the current year. A deferred income tax asset or liability is recognized for the future tax consequences attributable to tax credits and loss carryforwards and to differences between the financial statement carrying amounts of existing assets and liabilities and their respective tax bases. Deferred tax assets are reduced by a valuation allowance when, in the opinion of management, it is more likely than not that some portion or all of the deferred tax assets will not be realized. As of March 31, 2022, we have established a valuation allowance to fully reserve our net deferred tax assets. Tax rate changes are reflected in income during the period such changes are enacted. Changes in our ownership may limit the amount of net operating loss carryforwards that can be utilized in the future to offset taxable income.</w:t>
      </w:r>
    </w:p>
    <w:p>
      <w:pPr>
        <w:spacing w:after="0" w:line="163"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There have been no material changes in our unrecognized tax benefits since June 30, 2021, and, as such, the disclosures included in our 2021 Amended Annual Report continue to be relevant for the nine months ended March 31,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ind w:right="120" w:firstLine="509"/>
        <w:spacing w:after="0" w:line="253" w:lineRule="auto"/>
        <w:rPr>
          <w:sz w:val="20"/>
          <w:szCs w:val="20"/>
          <w:color w:val="auto"/>
        </w:rPr>
      </w:pPr>
      <w:r>
        <w:rPr>
          <w:rFonts w:ascii="Arial" w:cs="Arial" w:eastAsia="Arial" w:hAnsi="Arial"/>
          <w:sz w:val="17"/>
          <w:szCs w:val="17"/>
          <w:color w:val="auto"/>
        </w:rPr>
        <w:t xml:space="preserve">We account for our leases under FASB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Leases which are identified within the scope of ASC 842 and which have a term greater than one year are recognized on our Condensed Balance Sheet as ROU assets and lease liabilities. Operating lease liabilities and their corresponding ROU assets are recorded based on the present value of lease payments over the expected remaining lease term. The lease term includes any renewal options and termination options that we are reasonably certain to exercise. Certain adjustments to the right-of-use asset may be required for items such as initial direct costs paid or incentives received. The present value of lease payments is determined by using the interest rate implicit in the lease, if that rate is readily determinable; otherwise, we use our incremental borrowing rate. The incremental borrowing rate is determined based on the rate of interest that we would pay to borrow on a collateralized basis an amount equal to the lease payments for a similar term and in a similar economic environment. The interest rate implicit in lease contracts to calculate the present value is typically not readily determinable. As such, significant management judgment is required to estimate the incremental borrowing rate.</w:t>
      </w:r>
    </w:p>
    <w:p>
      <w:pPr>
        <w:spacing w:after="0" w:line="184" w:lineRule="exact"/>
        <w:rPr>
          <w:sz w:val="20"/>
          <w:szCs w:val="20"/>
          <w:color w:val="auto"/>
        </w:rPr>
      </w:pPr>
    </w:p>
    <w:p>
      <w:pPr>
        <w:jc w:val="both"/>
        <w:ind w:right="240" w:firstLine="509"/>
        <w:spacing w:after="0" w:line="270" w:lineRule="auto"/>
        <w:rPr>
          <w:sz w:val="20"/>
          <w:szCs w:val="20"/>
          <w:color w:val="auto"/>
        </w:rPr>
      </w:pPr>
      <w:r>
        <w:rPr>
          <w:rFonts w:ascii="Arial" w:cs="Arial" w:eastAsia="Arial" w:hAnsi="Arial"/>
          <w:sz w:val="17"/>
          <w:szCs w:val="17"/>
          <w:color w:val="auto"/>
        </w:rPr>
        <w:t>Rent expense for operating leases is recognized on a straight-line basis over the lease term based on the total lease payments. We have elected the practical expedient to not separate lease and non-lease components for our real estate leases. Our non-lease components are primarily related to property maintenance, which varies based on future outcomes, and thus is recognized in rent expense when incurred.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Measurements</w:t>
      </w:r>
    </w:p>
    <w:p>
      <w:pPr>
        <w:spacing w:after="0" w:line="108"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of unobservable inputs. The fair value hierarchy based on three levels of inputs, of which the first two are considered observable and the last unobservable, that may be used to measure fair value is as follows:</w:t>
      </w:r>
    </w:p>
    <w:p>
      <w:pPr>
        <w:spacing w:after="0" w:line="63"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03" w:lineRule="exact"/>
        <w:rPr>
          <w:rFonts w:ascii="Arial" w:cs="Arial" w:eastAsia="Arial" w:hAnsi="Arial"/>
          <w:sz w:val="18"/>
          <w:szCs w:val="18"/>
          <w:color w:val="auto"/>
        </w:rPr>
      </w:pPr>
    </w:p>
    <w:p>
      <w:pPr>
        <w:ind w:left="1020" w:right="420" w:hanging="503"/>
        <w:spacing w:after="0" w:line="24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3"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71"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We measure the following financial instruments at fair value on a recurring basis. The fair values of these financial instruments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2021</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196"/>
        </w:trPr>
        <w:tc>
          <w:tcPr>
            <w:tcW w:w="38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Warrant liability</w:t>
            </w:r>
          </w:p>
        </w:tc>
        <w:tc>
          <w:tcPr>
            <w:tcW w:w="780" w:type="dxa"/>
            <w:vAlign w:val="bottom"/>
            <w:tcBorders>
              <w:bottom w:val="single" w:sz="8" w:color="auto"/>
            </w:tcBorders>
            <w:shd w:val="clear" w:color="auto" w:fill="CFF0FC"/>
          </w:tcPr>
          <w:p>
            <w:pPr>
              <w:jc w:val="right"/>
              <w:ind w:right="596"/>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ind w:left="6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ind w:left="64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1,536</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599"/>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ind w:left="62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22,355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86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780" w:type="dxa"/>
            <w:vAlign w:val="bottom"/>
          </w:tcPr>
          <w:p>
            <w:pPr>
              <w:jc w:val="right"/>
              <w:ind w:right="596"/>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ind w:left="64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1,536</w:t>
            </w:r>
          </w:p>
        </w:tc>
        <w:tc>
          <w:tcPr>
            <w:tcW w:w="1000" w:type="dxa"/>
            <w:vAlign w:val="bottom"/>
            <w:gridSpan w:val="2"/>
          </w:tcPr>
          <w:p>
            <w:pPr>
              <w:jc w:val="right"/>
              <w:ind w:right="599"/>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ind w:left="4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ind w:left="62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22,355</w:t>
            </w:r>
          </w:p>
        </w:tc>
        <w:tc>
          <w:tcPr>
            <w:tcW w:w="100" w:type="dxa"/>
            <w:vAlign w:val="bottom"/>
          </w:tcPr>
          <w:p>
            <w:pPr>
              <w:spacing w:after="0"/>
              <w:rPr>
                <w:sz w:val="17"/>
                <w:szCs w:val="17"/>
                <w:color w:val="auto"/>
              </w:rPr>
            </w:pPr>
          </w:p>
        </w:tc>
      </w:tr>
      <w:tr>
        <w:trPr>
          <w:trHeight w:val="20"/>
        </w:trPr>
        <w:tc>
          <w:tcPr>
            <w:tcW w:w="38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-159385</wp:posOffset>
            </wp:positionV>
            <wp:extent cx="7747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-159385</wp:posOffset>
            </wp:positionV>
            <wp:extent cx="7747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-159385</wp:posOffset>
            </wp:positionV>
            <wp:extent cx="685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-159385</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-159385</wp:posOffset>
            </wp:positionV>
            <wp:extent cx="685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The carrying amounts of financial instruments such as cash equivalents, short-term investments and accounts payable approximate the related fair values due to the short-term maturities of these instruments. We invest our excess cash in financial instruments which are readily convertible into cash, such as money market funds and U.S. government securities. Cash equivalents, where applicable, and short-term investments are classified as Level 1 as defined by the fair value hierarchy.</w:t>
      </w:r>
    </w:p>
    <w:p>
      <w:pPr>
        <w:spacing w:after="0" w:line="188"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In May 2018, we issued warrants in connection with our private placement of shares of common stock. Pursuant to the terms of the warrants, we could be required to settle the warrants in cash in the event of an acquisition of the Company and, as a result, the warrants are required to be measured at fair value and reported as a liability in the Condensed Balance Sheet. We recorded the fair value of the warrants upon issuance using the Black-Scholes valuation model and are required to revalue the warrants at each reporting date with any changes in fair value recorded on our Condensed Statement of Operations. The valuation of the warrants is considered under Level 3 of the fair value hierarchy due to the need to use assumptions in the valuation that are both significant to the fair value measurement and unobservable. Inputs used to determine estimated fair value of the warrant liabilities include the estimated fair value of the underlying stock at the valuation date, the estimated term of the warrants, risk-free interest rates, expected dividends and the expected volatility of the underlying stock. The significant unobservable inputs used in the fair value measurement of the warrant liabilities were the volatility rate and the estimated term of the warrants. Generally, increases (decreases) in the fair value of the underlying stock and estimated term would result in a directionally similar impact to the fair value measurement. The change in the fair value of the Level 3 warrant liability is reflected in the Condensed Statement of Operations for the three and nine months ended March 31, 2022 and 2021, respectively.</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calculate the fair value of the warrant liability, the following assumptions were used: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920" w:type="dxa"/>
            <w:vAlign w:val="bottom"/>
            <w:gridSpan w:val="3"/>
          </w:tcPr>
          <w:p>
            <w:pPr>
              <w:jc w:val="right"/>
              <w:ind w:right="12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5"/>
        </w:trPr>
        <w:tc>
          <w:tcPr>
            <w:tcW w:w="800" w:type="dxa"/>
            <w:vAlign w:val="bottom"/>
          </w:tcPr>
          <w:p>
            <w:pPr>
              <w:spacing w:after="0"/>
              <w:rPr>
                <w:sz w:val="16"/>
                <w:szCs w:val="16"/>
                <w:color w:val="auto"/>
              </w:rPr>
            </w:pPr>
          </w:p>
        </w:tc>
        <w:tc>
          <w:tcPr>
            <w:tcW w:w="3280" w:type="dxa"/>
            <w:vAlign w:val="bottom"/>
            <w:vMerge w:val="restart"/>
          </w:tcPr>
          <w:p>
            <w:pPr>
              <w:ind w:left="20"/>
              <w:spacing w:after="0"/>
              <w:rPr>
                <w:sz w:val="20"/>
                <w:szCs w:val="20"/>
                <w:color w:val="auto"/>
              </w:rPr>
            </w:pPr>
            <w:r>
              <w:rPr>
                <w:rFonts w:ascii="Arial" w:cs="Arial" w:eastAsia="Arial" w:hAnsi="Arial"/>
                <w:sz w:val="18"/>
                <w:szCs w:val="18"/>
                <w:color w:val="auto"/>
              </w:rPr>
              <w:t>Risk-free interest rate</w:t>
            </w:r>
          </w:p>
        </w:tc>
        <w:tc>
          <w:tcPr>
            <w:tcW w:w="3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880" w:type="dxa"/>
            <w:vAlign w:val="bottom"/>
            <w:gridSpan w:val="2"/>
            <w:vMerge w:val="restart"/>
          </w:tcPr>
          <w:p>
            <w:pPr>
              <w:jc w:val="right"/>
              <w:ind w:right="7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280" w:type="dxa"/>
            <w:vAlign w:val="bottom"/>
            <w:vMerge w:val="continue"/>
          </w:tcPr>
          <w:p>
            <w:pPr>
              <w:spacing w:after="0"/>
              <w:rPr>
                <w:sz w:val="17"/>
                <w:szCs w:val="17"/>
                <w:color w:val="auto"/>
              </w:rPr>
            </w:pPr>
          </w:p>
        </w:tc>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0.2</w:t>
            </w: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Expected life (years)</w:t>
            </w:r>
          </w:p>
        </w:tc>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122.1 %</w:t>
            </w:r>
          </w:p>
        </w:tc>
        <w:tc>
          <w:tcPr>
            <w:tcW w:w="220" w:type="dxa"/>
            <w:vAlign w:val="bottom"/>
          </w:tcPr>
          <w:p>
            <w:pPr>
              <w:spacing w:after="0"/>
              <w:rPr>
                <w:sz w:val="17"/>
                <w:szCs w:val="17"/>
                <w:color w:val="auto"/>
              </w:rPr>
            </w:pPr>
          </w:p>
        </w:tc>
        <w:tc>
          <w:tcPr>
            <w:tcW w:w="192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88.5 %</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Dividend yield</w:t>
            </w:r>
          </w:p>
        </w:tc>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0.0 %</w:t>
            </w:r>
          </w:p>
        </w:tc>
        <w:tc>
          <w:tcPr>
            <w:tcW w:w="220" w:type="dxa"/>
            <w:vAlign w:val="bottom"/>
          </w:tcPr>
          <w:p>
            <w:pPr>
              <w:spacing w:after="0"/>
              <w:rPr>
                <w:sz w:val="17"/>
                <w:szCs w:val="17"/>
                <w:color w:val="auto"/>
              </w:rPr>
            </w:pPr>
          </w:p>
        </w:tc>
        <w:tc>
          <w:tcPr>
            <w:tcW w:w="192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Black-Scholes Fair Value</w:t>
            </w:r>
          </w:p>
        </w:tc>
        <w:tc>
          <w:tcPr>
            <w:tcW w:w="37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5"/>
        </w:trPr>
        <w:tc>
          <w:tcPr>
            <w:tcW w:w="8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520" w:type="dxa"/>
            <w:vAlign w:val="bottom"/>
          </w:tcPr>
          <w:p>
            <w:pPr>
              <w:jc w:val="right"/>
              <w:ind w:right="179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00" w:type="dxa"/>
            <w:vAlign w:val="bottom"/>
            <w:tcBorders>
              <w:bottom w:val="single" w:sz="8" w:color="9A9A9A"/>
            </w:tcBorders>
          </w:tcPr>
          <w:p>
            <w:pPr>
              <w:spacing w:after="0"/>
              <w:rPr>
                <w:sz w:val="8"/>
                <w:szCs w:val="8"/>
                <w:color w:val="auto"/>
              </w:rPr>
            </w:pPr>
          </w:p>
        </w:tc>
        <w:tc>
          <w:tcPr>
            <w:tcW w:w="328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-1122045</wp:posOffset>
            </wp:positionV>
            <wp:extent cx="6129020"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29020" cy="12890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-864870</wp:posOffset>
            </wp:positionV>
            <wp:extent cx="6129020"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29020" cy="1289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 following table sets forth a summary of changes in the estimated fair value of our Level 3 warrant liability for the nine months ended March 31, 2022 and 2021 (in thousands):</w:t>
      </w:r>
    </w:p>
    <w:p>
      <w:pPr>
        <w:spacing w:after="0" w:line="190"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8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6"/>
              </w:rPr>
              <w:t>Fair Value of Warrants Using Significant</w:t>
            </w:r>
          </w:p>
        </w:tc>
      </w:tr>
      <w:tr>
        <w:trPr>
          <w:trHeight w:val="185"/>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Unobservable Inputs (Level 3)</w:t>
            </w:r>
          </w:p>
        </w:tc>
      </w:tr>
      <w:tr>
        <w:trPr>
          <w:trHeight w:val="169"/>
        </w:trPr>
        <w:tc>
          <w:tcPr>
            <w:tcW w:w="68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6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July 1,</w:t>
            </w:r>
          </w:p>
        </w:tc>
        <w:tc>
          <w:tcPr>
            <w:tcW w:w="260" w:type="dxa"/>
            <w:vAlign w:val="bottom"/>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22,355</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40,483</w:t>
            </w: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ind w:left="200"/>
              <w:spacing w:after="0" w:line="202" w:lineRule="exact"/>
              <w:rPr>
                <w:sz w:val="20"/>
                <w:szCs w:val="20"/>
                <w:color w:val="auto"/>
              </w:rPr>
            </w:pPr>
            <w:r>
              <w:rPr>
                <w:rFonts w:ascii="Arial" w:cs="Arial" w:eastAsia="Arial" w:hAnsi="Arial"/>
                <w:sz w:val="18"/>
                <w:szCs w:val="18"/>
                <w:color w:val="auto"/>
              </w:rPr>
              <w:t>Reclassification of derivative liability to equity upon exercise of warrants</w:t>
            </w:r>
          </w:p>
        </w:tc>
        <w:tc>
          <w:tcPr>
            <w:tcW w:w="26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(6 )</w:t>
            </w:r>
          </w:p>
        </w:tc>
      </w:tr>
      <w:tr>
        <w:trPr>
          <w:trHeight w:val="203"/>
        </w:trPr>
        <w:tc>
          <w:tcPr>
            <w:tcW w:w="6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estimated fair value of liability classified warrants</w:t>
            </w: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(20,819 )</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(11,035 )</w:t>
            </w:r>
          </w:p>
        </w:tc>
      </w:tr>
      <w:tr>
        <w:trPr>
          <w:trHeight w:val="196"/>
        </w:trPr>
        <w:tc>
          <w:tcPr>
            <w:tcW w:w="68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b w:val="1"/>
                <w:bCs w:val="1"/>
                <w:color w:val="auto"/>
              </w:rPr>
              <w:t>Balance at March 31,</w:t>
            </w:r>
          </w:p>
        </w:tc>
        <w:tc>
          <w:tcPr>
            <w:tcW w:w="260" w:type="dxa"/>
            <w:vAlign w:val="bottom"/>
            <w:tcBorders>
              <w:top w:val="single" w:sz="8" w:color="auto"/>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1,536</w:t>
            </w:r>
          </w:p>
        </w:tc>
        <w:tc>
          <w:tcPr>
            <w:tcW w:w="20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29,442</w:t>
            </w:r>
          </w:p>
        </w:tc>
        <w:tc>
          <w:tcPr>
            <w:tcW w:w="100" w:type="dxa"/>
            <w:vAlign w:val="bottom"/>
            <w:tcBorders>
              <w:top w:val="single" w:sz="8" w:color="CFF0FC"/>
            </w:tcBorders>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-159385</wp:posOffset>
            </wp:positionV>
            <wp:extent cx="6032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-159385</wp:posOffset>
            </wp:positionV>
            <wp:extent cx="5969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License Agreements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KKC License, Development and Commercialization Agreement</w:t>
      </w:r>
    </w:p>
    <w:p>
      <w:pPr>
        <w:spacing w:after="0" w:line="104"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In April 2020, we entered into the License, Development and Commercialization Agreement (the “KKC Commercialization Agreement”) with Kyowa Kirin Company (“KKC”). Under the agreement,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payment-bearing, license under certain patents and know-how controlled by us to develop and commercialize zandelisib and any pharmaceutical product containing zandelisib for all human indications in countries outside of the United States (the “Ex-U.S.”) (the “Ex-U.S. License”).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KKC paid us an initial payment of $100.0 million. Additionally, we may earn up to approximately $582.5 million in potential development, regulatory and commercialization milestone payments, plus royalties on net sales of zandelisib in the Ex-U.S., which are tiered beginning in the teens. During the nine months ended March 31, 2022, we reached two milestones triggering a total of $20.0 million, which was recorded as deferred revenue to be recognized as the performance obligations are met.</w:t>
      </w:r>
    </w:p>
    <w:p>
      <w:pPr>
        <w:spacing w:after="0" w:line="6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KKC will be responsible for the development and commercialization of zandelisib in the Ex-U.S. and, subject to certain exceptions, will be solely responsible for all costs related thereto. We will co-develop and co-promote zandelisib with KKC in the U.S., with the Company recording all revenue from U.S. sales. We will share U.S. profits and costs (including development costs) on a 50-50 basis with KKC. We will also provide to KKC certain drug supplies necessary for the development and commercialization of zandelisib in the Ex-U.S., with the understanding that KKC will assume responsibility for manufacturing for the Ex-U.S. as soon as practicable.</w:t>
      </w:r>
    </w:p>
    <w:p>
      <w:pPr>
        <w:spacing w:after="0" w:line="8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assessed the KKC Commercialization Agreement in accordance with Topic 808 and Topic 606 and determined that our obligations comprise the U.S. License, the Ex-U.S. License, and development services (the “Development Services”). We determined that the KKC Commercialization Agreement is a collaborative arrangement in accordance with Topic 808 that contains multiple units of account, as we and KKC are both active participants in the development and commercialization activities and are exposed to significant risks and rewards that are dependent on commercial success of the activities of the arrangement. The U.S. License is a unit of account under the scope of Topic 808 and is not a deliverable under Topic 606, while the Ex-U.S. License and Development Services performance obligations are under the scope of Topic 606.</w:t>
      </w:r>
    </w:p>
    <w:p>
      <w:pPr>
        <w:spacing w:after="0" w:line="67"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We determined, at the time of our initial assessment, that the total transaction price of $191.5 million is comprised of the upfront payment of $100.0 million, expected milestone payments of $20.0 million, estimated development cost-sharing of $66.3 million, and deferred revenue of $5.2 million from the KKC Japan License Agreement. During the nine months ended March 31, 2022, we updated our estimate of variable consideration related to development cost sharing to $222.0 million. We increased our estimate primarily as a result of further visibility into total expected costs for these development estimates. Any variable consideration related to sales-based royalties and commercial milestones related to licenses of intellectual property will be determined when the sale or usage occurs, and is therefore excluded from the transaction price. In addition, we are eligible to receive future development and regulatory milestones upon the achievement of certain criteria; however, these amounts are excluded from variable consideration as the risk of significant revenue reversal will only be resolved depending on future research and development and/or regulatory approval outcomes. We re-evaluate the estimated variable consideration included in the transaction price and any related constraints at the end of each reporting period.</w:t>
      </w:r>
    </w:p>
    <w:p>
      <w:pPr>
        <w:spacing w:after="0" w:line="61" w:lineRule="exact"/>
        <w:rPr>
          <w:sz w:val="20"/>
          <w:szCs w:val="20"/>
          <w:color w:val="auto"/>
        </w:rPr>
      </w:pPr>
    </w:p>
    <w:p>
      <w:pPr>
        <w:ind w:right="920" w:firstLine="509"/>
        <w:spacing w:after="0" w:line="291" w:lineRule="auto"/>
        <w:rPr>
          <w:sz w:val="20"/>
          <w:szCs w:val="20"/>
          <w:color w:val="auto"/>
        </w:rPr>
      </w:pPr>
      <w:r>
        <w:rPr>
          <w:rFonts w:ascii="Arial" w:cs="Arial" w:eastAsia="Arial" w:hAnsi="Arial"/>
          <w:sz w:val="17"/>
          <w:szCs w:val="17"/>
          <w:color w:val="auto"/>
        </w:rPr>
        <w:t>We allocated the transaction price to each unit of account. Variable consideration that relates specifically to our efforts to satisfy specific performance obligations are allocated entirely to those performance obligations. Other components of the transaction price are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allocated based on the relative stand-alone selling price, over which management has applied significant judgment. We developed the estimated stand-alone selling price for the licenses using the risk-adjusted net present values of estimated cash flows, and the estimated stand-alone selling price of the development services performance obligations by estimating costs to be incurred, and an appropriate margin, using an income approach.</w:t>
      </w:r>
    </w:p>
    <w:p>
      <w:pPr>
        <w:spacing w:after="0" w:line="56"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We determined that control of the U.S. License and Ex-U.S. License were transferred to KKC during the year ended June 30, 2020, and recognized revenue of $21.0 million related to the Ex-U.S. License. The $64.5 million transaction price allocated to the U.S. License obligation accounted for under Topic 808 is recorded as non-current deferred revenue and will begin to be recognized upon future commercialization as non-ASC 606 revenue. As of March 31, 2022 and June 30, 2021, we recorded deferred revenue of $32.2 million and $14.7 million, respectively, for the transaction price allocated to the Development Services performance obligations and are recognizing this revenue based on the proportional performance of these development activities, which we expect to recognize through fiscal year 2030. Revenue related to development services cost sharing is recognized based on the performance of the development activities.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Helsinn License Agreement</w:t>
      </w:r>
    </w:p>
    <w:p>
      <w:pPr>
        <w:spacing w:after="0" w:line="104"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In August 2016, we entered into an exclusive worldwide license, development, manufacturing and commercialization agreement with Helsinn Healthcare SA, a Swiss pharmaceutical corporation (“Helsinn”) for pracinostat in acute myeloid leukemia (“AML”), myelodysplastic syndrome (“MDS”) and other potential indications (the “Helsinn License Agreement”). The Helsinn License Agreement was terminated in November 2021.</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04"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In September 2017, we entered into a license agreement with Presage Biosciences, Inc. (“Presage”). Under the terms of such license agreement (the “Presage License Agreement”), Presage granted to us exclusive worldwide rights to develop, manufacture and commercialize voruciclib, a clinical-stage, oral and selective CDK inhibitor, and related compounds. In exchange, we paid $2.9 million.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mid-single-digit tiered royalties on the net sales of any product successfully developed. As an alternative to milestone and royalty payments related to countries in which we sublicense product rights, we will pay to Presage a tiered percent (which decreases as product development progresses) of amounts received from such sublicensees.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BeiGene Collaboration</w:t>
      </w:r>
    </w:p>
    <w:p>
      <w:pPr>
        <w:spacing w:after="0" w:line="108"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In October 2018, we entered into a clinical collaboration with BeiGene, Ltd. (“BeiGene”) to evaluate the safety and efficacy of zandelisib in combination with BeiGene’s zanubrutinib (marketed as Brukinsa®), an inhibitor of Bruton’s tyrosine kinase, for the treatment of patients with B-cell malignancies. Under the terms of the clinical collaboration agreement, we amended our ongoing Phase 1b trial to include evaluation of zandelisib in combination with zanubrutinib in patients with B-cell malignancies. Study costs are being shared equally by the parties, and we agreed to supply zandelisib and BeiGene agreed to supply zanubrutinib. We record the costs reimbursed by BeiGene as a reduction of our research and development expenses. We retained full commercial rights for zandelisib and BeiGene retained full commercial rights for zanubrutinib.</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Share</w:t>
      </w:r>
    </w:p>
    <w:p>
      <w:pPr>
        <w:spacing w:after="0" w:line="10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Basic and diluted net loss per share are computed using the weighted-average number of shares of common stock outstanding during the period, less any shares subject to repurchase or forfeiture. There were no shares of common stock subject to repurchase or forfeiture for the three and nine months ended March 31, 2022 and 2021. Diluted net loss per share is computed based on the sum of the weighted average number of common shares and potentially dilutive common shares outstanding during the period.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calculation of net loss used to calculate basic loss and diluted loss per share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gridSpan w:val="5"/>
          </w:tcPr>
          <w:p>
            <w:pPr>
              <w:jc w:val="right"/>
              <w:ind w:right="921"/>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500" w:type="dxa"/>
            <w:vAlign w:val="bottom"/>
            <w:gridSpan w:val="5"/>
          </w:tcPr>
          <w:p>
            <w:pPr>
              <w:jc w:val="right"/>
              <w:ind w:right="73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jc w:val="right"/>
              <w:ind w:right="1050"/>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6"/>
                <w:szCs w:val="16"/>
                <w:color w:val="auto"/>
              </w:rPr>
            </w:pPr>
          </w:p>
        </w:tc>
      </w:tr>
      <w:tr>
        <w:trPr>
          <w:trHeight w:val="160"/>
        </w:trPr>
        <w:tc>
          <w:tcPr>
            <w:tcW w:w="5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8"/>
              <w:spacing w:after="0" w:line="160"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17"/>
              <w:spacing w:after="0" w:line="160"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9"/>
              <w:spacing w:after="0" w:line="160"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97"/>
              <w:spacing w:after="0" w:line="160"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85"/>
        </w:trPr>
        <w:tc>
          <w:tcPr>
            <w:tcW w:w="5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401"/>
              <w:spacing w:after="0"/>
              <w:rPr>
                <w:sz w:val="20"/>
                <w:szCs w:val="20"/>
                <w:color w:val="auto"/>
              </w:rPr>
            </w:pPr>
            <w:r>
              <w:rPr>
                <w:rFonts w:ascii="Arial" w:cs="Arial" w:eastAsia="Arial" w:hAnsi="Arial"/>
                <w:sz w:val="14"/>
                <w:szCs w:val="14"/>
                <w:b w:val="1"/>
                <w:bCs w:val="1"/>
                <w:color w:val="auto"/>
                <w:w w:val="90"/>
              </w:rPr>
              <w:t>(As Restated)</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5"/>
              </w:rPr>
              <w:t>(As Restated)</w:t>
            </w:r>
          </w:p>
        </w:tc>
        <w:tc>
          <w:tcPr>
            <w:tcW w:w="56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4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 basic</w:t>
            </w:r>
          </w:p>
        </w:tc>
        <w:tc>
          <w:tcPr>
            <w:tcW w:w="30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(8,725</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(25,622</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(38,391</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(32,936</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00" w:type="dxa"/>
            <w:vAlign w:val="bottom"/>
          </w:tcPr>
          <w:p>
            <w:pPr>
              <w:spacing w:after="0"/>
              <w:rPr>
                <w:sz w:val="17"/>
                <w:szCs w:val="17"/>
                <w:color w:val="auto"/>
              </w:rPr>
            </w:pPr>
          </w:p>
        </w:tc>
        <w:tc>
          <w:tcPr>
            <w:tcW w:w="12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32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(8,046 )</w:t>
            </w:r>
          </w:p>
        </w:tc>
        <w:tc>
          <w:tcPr>
            <w:tcW w:w="16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(20,307 )</w:t>
            </w: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42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loss – diluted</w:t>
            </w:r>
          </w:p>
        </w:tc>
        <w:tc>
          <w:tcPr>
            <w:tcW w:w="30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(8,725</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(25,622</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(46,437</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(53,243</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r>
      <w:tr>
        <w:trPr>
          <w:trHeight w:val="615"/>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298"/>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-504825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-487680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-504825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-487680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-504825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-487680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-487680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 used in calculating net loss per share was determined as follows (in thousands):</w:t>
      </w:r>
    </w:p>
    <w:p>
      <w:pPr>
        <w:spacing w:after="0" w:line="23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2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060" w:type="dxa"/>
            <w:vAlign w:val="bottom"/>
          </w:tcPr>
          <w:p>
            <w:pPr>
              <w:spacing w:after="0"/>
              <w:rPr>
                <w:sz w:val="16"/>
                <w:szCs w:val="16"/>
                <w:color w:val="auto"/>
              </w:rPr>
            </w:pPr>
          </w:p>
        </w:tc>
        <w:tc>
          <w:tcPr>
            <w:tcW w:w="150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4"/>
                <w:szCs w:val="14"/>
                <w:b w:val="1"/>
                <w:bCs w:val="1"/>
                <w:color w:val="auto"/>
                <w:w w:val="95"/>
              </w:rPr>
              <w:t>March 31,</w:t>
            </w:r>
          </w:p>
        </w:tc>
        <w:tc>
          <w:tcPr>
            <w:tcW w:w="7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b w:val="1"/>
                <w:bCs w:val="1"/>
                <w:color w:val="auto"/>
                <w:w w:val="99"/>
              </w:rPr>
              <w:t>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60" w:type="dxa"/>
            <w:vAlign w:val="bottom"/>
          </w:tcPr>
          <w:p>
            <w:pPr>
              <w:spacing w:after="0"/>
              <w:rPr>
                <w:sz w:val="14"/>
                <w:szCs w:val="14"/>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shares used in calculating basic net loss per share</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133,056</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112,557</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121,591</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112,505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20"/>
              <w:spacing w:after="0" w:line="162" w:lineRule="exact"/>
              <w:rPr>
                <w:sz w:val="20"/>
                <w:szCs w:val="20"/>
                <w:color w:val="auto"/>
              </w:rPr>
            </w:pPr>
            <w:r>
              <w:rPr>
                <w:rFonts w:ascii="Arial" w:cs="Arial" w:eastAsia="Arial" w:hAnsi="Arial"/>
                <w:sz w:val="18"/>
                <w:szCs w:val="18"/>
                <w:color w:val="auto"/>
                <w:w w:val="99"/>
              </w:rPr>
              <w:t>Effect of potentially dilutive common shares from equity awards and liability-</w:t>
            </w:r>
          </w:p>
        </w:tc>
        <w:tc>
          <w:tcPr>
            <w:tcW w:w="1500" w:type="dxa"/>
            <w:vAlign w:val="bottom"/>
            <w:gridSpan w:val="3"/>
            <w:vMerge w:val="restart"/>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20"/>
              <w:spacing w:after="0" w:line="202" w:lineRule="exact"/>
              <w:rPr>
                <w:sz w:val="20"/>
                <w:szCs w:val="20"/>
                <w:color w:val="auto"/>
              </w:rPr>
            </w:pPr>
            <w:r>
              <w:rPr>
                <w:rFonts w:ascii="Arial" w:cs="Arial" w:eastAsia="Arial" w:hAnsi="Arial"/>
                <w:sz w:val="18"/>
                <w:szCs w:val="18"/>
                <w:color w:val="auto"/>
              </w:rPr>
              <w:t>classified warrants</w:t>
            </w:r>
          </w:p>
        </w:tc>
        <w:tc>
          <w:tcPr>
            <w:tcW w:w="1500" w:type="dxa"/>
            <w:vAlign w:val="bottom"/>
            <w:gridSpan w:val="3"/>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shares used in calculating diluted net loss per share</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133,056</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112,557</w:t>
            </w:r>
          </w:p>
        </w:tc>
        <w:tc>
          <w:tcPr>
            <w:tcW w:w="2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122,482</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113,991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-25400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-25400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jc w:val="both"/>
        <w:ind w:right="260" w:firstLine="509"/>
        <w:spacing w:after="0" w:line="261" w:lineRule="auto"/>
        <w:rPr>
          <w:sz w:val="20"/>
          <w:szCs w:val="20"/>
          <w:color w:val="auto"/>
        </w:rPr>
      </w:pPr>
      <w:r>
        <w:rPr>
          <w:rFonts w:ascii="Arial" w:cs="Arial" w:eastAsia="Arial" w:hAnsi="Arial"/>
          <w:sz w:val="18"/>
          <w:szCs w:val="18"/>
          <w:color w:val="auto"/>
        </w:rPr>
        <w:t>Our potentially dilutive shares, which include outstanding stock options, restricted stock units, and warrants, are considered to be common stock equivalents and are only included in the calculation of diluted net loss per share when their effect is dilutive.</w:t>
      </w:r>
    </w:p>
    <w:p>
      <w:pPr>
        <w:spacing w:after="0" w:line="171"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following table presents weighted-average potentially dilutive shares that have been excluded from the calculation of net loss per share because of their anti-dilutive effect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r>
      <w:tr>
        <w:trPr>
          <w:trHeight w:val="185"/>
        </w:trPr>
        <w:tc>
          <w:tcPr>
            <w:tcW w:w="5220" w:type="dxa"/>
            <w:vAlign w:val="bottom"/>
          </w:tcPr>
          <w:p>
            <w:pPr>
              <w:spacing w:after="0"/>
              <w:rPr>
                <w:sz w:val="16"/>
                <w:szCs w:val="16"/>
                <w:color w:val="auto"/>
              </w:rPr>
            </w:pPr>
          </w:p>
        </w:tc>
        <w:tc>
          <w:tcPr>
            <w:tcW w:w="156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14"/>
                <w:szCs w:val="14"/>
                <w:b w:val="1"/>
                <w:bCs w:val="1"/>
                <w:color w:val="auto"/>
                <w:w w:val="99"/>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10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5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20,400</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16,161</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20,581</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15,618</w:t>
            </w:r>
          </w:p>
        </w:tc>
        <w:tc>
          <w:tcPr>
            <w:tcW w:w="100" w:type="dxa"/>
            <w:vAlign w:val="bottom"/>
            <w:shd w:val="clear" w:color="auto" w:fill="CFF0FC"/>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c>
          <w:tcPr>
            <w:tcW w:w="100" w:type="dxa"/>
            <w:vAlign w:val="bottom"/>
          </w:tcPr>
          <w:p>
            <w:pPr>
              <w:spacing w:after="0"/>
              <w:rPr>
                <w:sz w:val="17"/>
                <w:szCs w:val="17"/>
                <w:color w:val="auto"/>
              </w:rPr>
            </w:pPr>
          </w:p>
        </w:tc>
      </w:tr>
      <w:tr>
        <w:trPr>
          <w:trHeight w:val="203"/>
        </w:trPr>
        <w:tc>
          <w:tcPr>
            <w:tcW w:w="52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Warrants</w:t>
            </w: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16,059</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16,060</w:t>
            </w: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5,353</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5,354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220" w:type="dxa"/>
            <w:vAlign w:val="bottom"/>
          </w:tcPr>
          <w:p>
            <w:pPr>
              <w:ind w:left="180"/>
              <w:spacing w:after="0" w:line="196" w:lineRule="exact"/>
              <w:rPr>
                <w:sz w:val="20"/>
                <w:szCs w:val="20"/>
                <w:color w:val="auto"/>
              </w:rPr>
            </w:pPr>
            <w:r>
              <w:rPr>
                <w:rFonts w:ascii="Arial" w:cs="Arial" w:eastAsia="Arial" w:hAnsi="Arial"/>
                <w:sz w:val="18"/>
                <w:szCs w:val="18"/>
                <w:color w:val="auto"/>
              </w:rPr>
              <w:t>Total anti-dilutive shares</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36,683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32,651</w:t>
            </w:r>
          </w:p>
        </w:tc>
        <w:tc>
          <w:tcPr>
            <w:tcW w:w="1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26,171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21,402</w:t>
            </w:r>
          </w:p>
        </w:tc>
        <w:tc>
          <w:tcPr>
            <w:tcW w:w="100" w:type="dxa"/>
            <w:vAlign w:val="bottom"/>
          </w:tcPr>
          <w:p>
            <w:pPr>
              <w:spacing w:after="0"/>
              <w:rPr>
                <w:sz w:val="17"/>
                <w:szCs w:val="17"/>
                <w:color w:val="auto"/>
              </w:rPr>
            </w:pPr>
          </w:p>
        </w:tc>
      </w:tr>
      <w:tr>
        <w:trPr>
          <w:trHeight w:val="20"/>
        </w:trPr>
        <w:tc>
          <w:tcPr>
            <w:tcW w:w="5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-159385</wp:posOffset>
            </wp:positionV>
            <wp:extent cx="685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-159385</wp:posOffset>
            </wp:positionV>
            <wp:extent cx="6032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-159385</wp:posOffset>
            </wp:positionV>
            <wp:extent cx="6032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08" w:lineRule="exact"/>
        <w:rPr>
          <w:sz w:val="20"/>
          <w:szCs w:val="20"/>
          <w:color w:val="auto"/>
        </w:rPr>
      </w:pPr>
    </w:p>
    <w:p>
      <w:pPr>
        <w:ind w:right="200" w:firstLine="509"/>
        <w:spacing w:after="0" w:line="262" w:lineRule="auto"/>
        <w:rPr>
          <w:sz w:val="20"/>
          <w:szCs w:val="20"/>
          <w:color w:val="auto"/>
        </w:rPr>
      </w:pPr>
      <w:r>
        <w:rPr>
          <w:rFonts w:ascii="Arial" w:cs="Arial" w:eastAsia="Arial" w:hAnsi="Arial"/>
          <w:sz w:val="17"/>
          <w:szCs w:val="17"/>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We also have employment agreements with certain of our current employees that provide for severance payments and accelerated vesting for share-based awards if their employment is terminated under specified circumstances.</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04" w:lineRule="exact"/>
        <w:rPr>
          <w:sz w:val="20"/>
          <w:szCs w:val="20"/>
          <w:color w:val="auto"/>
        </w:rPr>
      </w:pPr>
    </w:p>
    <w:p>
      <w:pPr>
        <w:ind w:right="320" w:firstLine="509"/>
        <w:spacing w:after="0" w:line="270" w:lineRule="auto"/>
        <w:rPr>
          <w:sz w:val="20"/>
          <w:szCs w:val="20"/>
          <w:color w:val="auto"/>
        </w:rPr>
      </w:pPr>
      <w:r>
        <w:rPr>
          <w:rFonts w:ascii="Arial" w:cs="Arial" w:eastAsia="Arial" w:hAnsi="Arial"/>
          <w:sz w:val="17"/>
          <w:szCs w:val="17"/>
          <w:color w:val="auto"/>
        </w:rPr>
        <w:t>As discussed in Note 3, we are party to a license agreement with Presage under which we may be required to make future payments upon the achievement of certain development, regulatory and commercial milestones, as well as potential future royalties based upon net sales. As of March 31, 2022, we had not accrued any amounts for potential future payments as achievement of the milestones has not been met.</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As a result of the ongoing COVID-19 pandemic, various public health orders and guidance measures have been implemented across much of the United States, and across the globe, including in the locations of our office, clinical trial sites, key vendors and partners. Despite the relaxation of many governmental orders earlier this year, COVID-19 still impacts the normal conduct of business. While we continue to enroll and dose patients in our clinical trials, our clinical development program timelines may continue to be subject to potential negative impacts from the ongoing pandemic in the U.S. and globally.</w:t>
      </w:r>
    </w:p>
    <w:p>
      <w:pPr>
        <w:spacing w:after="0" w:line="81"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We may experience enrollment delays and suspensions, patient withdrawals, postponement of planned clinical or preclinical studies, redirection of site resources from studies, and study deviations or noncompliance. We may also need to maintain or implement study modifications, suspensions, or terminations, the introduction of additional remote study procedures and modified informed consent procedures, study site changes, direct delivery of investigational products to patient homes or alternative sites, which may require state licensing, and changes or delays in site monitoring. The foregoing may require that we consult with relevant review and ethics committees, Institutional Review Boards ("IRBs"), and the FDA. The foregoing may also impact the integrity of our study data. The COVID-19 outbreak may further increase the need for clinical trial patient monitoring and regulatory reporting of adverse effects, and may delay regulatory authority meetings, inspections, or the regulatory review of marketing or investigational applications or submissions.</w:t>
      </w:r>
    </w:p>
    <w:p>
      <w:pPr>
        <w:spacing w:after="0" w:line="86"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color w:val="auto"/>
        </w:rPr>
        <w:t>Not only might the ongoing COVID-19 pandemic impact the conduct of our clinical trials, but it may also impact our ability to procure the necessary supply of our investigational drug products, as well as any ancillary supplies necessary for the conduct of our</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studies. Third party manufacturers may also need to implement measures and changes, or deviate from typical manufacturing requirements that may otherwise adversely impact our product candidates.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Nasdaq Bid Price Letter</w:t>
      </w:r>
    </w:p>
    <w:p>
      <w:pPr>
        <w:spacing w:after="0" w:line="104" w:lineRule="exact"/>
        <w:rPr>
          <w:sz w:val="20"/>
          <w:szCs w:val="20"/>
          <w:color w:val="auto"/>
        </w:rPr>
      </w:pPr>
    </w:p>
    <w:p>
      <w:pPr>
        <w:ind w:right="480" w:firstLine="509"/>
        <w:spacing w:after="0" w:line="291" w:lineRule="auto"/>
        <w:rPr>
          <w:sz w:val="20"/>
          <w:szCs w:val="20"/>
          <w:color w:val="auto"/>
        </w:rPr>
      </w:pPr>
      <w:r>
        <w:rPr>
          <w:rFonts w:ascii="Arial" w:cs="Arial" w:eastAsia="Arial" w:hAnsi="Arial"/>
          <w:sz w:val="17"/>
          <w:szCs w:val="17"/>
          <w:color w:val="auto"/>
        </w:rPr>
        <w:t>On May 9, 2022, the Company received a letter from Nasdaq indicating that, for the last thirty consecutive business days, the bid price for our common stock had closed below the minimum $1.00 per share requirement for continued listing on the Nasdaq Capital Market.</w:t>
      </w:r>
    </w:p>
    <w:p>
      <w:pPr>
        <w:spacing w:after="0" w:line="39"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In accordance with Nasdaq listing rules, the Company was provided an initial period of 180 calendar days, or until November 7, 2022, to regain compliance. The letter states that Nasdaq will provide written notification that the Company has achieved compliance with its rules if at any time before November 7, 2022, the bid price of the Company’s common stock closes at $1.00 per share or more for a minimum of ten consecutive business days. The Nasdaq letter had no immediate effect on the listing or trading of the Company’s common stock and the common stock continued to trade on The Nasdaq Capital Market.</w:t>
      </w:r>
    </w:p>
    <w:p>
      <w:pPr>
        <w:spacing w:after="0" w:line="81"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If the Company does not regain compliance with Nasdaq listing rules by November 7, 2022, the Company may be eligible for an additional 180 calendar day compliance period. To qualify, the Company would be required to meet the continued listing requirement for market value of publicly held shares and all other initial listing standards for The Nasdaq Capital Market, with the exception of the bid price requirement, and would need to provide written notice of its intention to cure the deficiency during the second compliance period, by effecting a reverse stock split, if necessary. However, if it appears to Nasdaq that the Company will not be able to cure the deficiency, or if the Company is otherwise not eligible, Nasdaq would notify the Company that its securities would be subject to delisting. In the event of such a notification, the Company may appeal Nasdaq’s determination to delist its securities, but there can be no assurance Nasdaq would grant the Company’s request for continued listing.</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not regained compliance with Nasdaq listing rules as of the date these financial statements were issued.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108"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We are party to a lease agreement for approximately 32,800 square feet of office space in San Diego, California. We have accounted for the lease as an operating lease. The original contractual lease term was from July 2020 through March 2028. The lease contained an option to renew and extend the lease terms. We have not included the lease extension within the ROU asset and lease liability on the balance sheet as it is not reasonably certain to be exercised. The lease includes variable non-lease components (e.g., common area maintenance, maintenance, etc.) that are not included in the ROU asset and lease liability and are reflected as an expense in the period incurred. We do not have any other operating or finance leases. Upon commencement of the original lease, we recognized an operating lease ROU asset of $8.7 million and a corresponding operating lease liability of $8.7 million.</w:t>
      </w:r>
    </w:p>
    <w:p>
      <w:pPr>
        <w:spacing w:after="0" w:line="53" w:lineRule="exact"/>
        <w:rPr>
          <w:sz w:val="20"/>
          <w:szCs w:val="20"/>
          <w:color w:val="auto"/>
        </w:rPr>
      </w:pPr>
    </w:p>
    <w:p>
      <w:pPr>
        <w:ind w:right="200" w:firstLine="509"/>
        <w:spacing w:after="0" w:line="257" w:lineRule="auto"/>
        <w:rPr>
          <w:sz w:val="20"/>
          <w:szCs w:val="20"/>
          <w:color w:val="auto"/>
        </w:rPr>
      </w:pPr>
      <w:r>
        <w:rPr>
          <w:rFonts w:ascii="Arial" w:cs="Arial" w:eastAsia="Arial" w:hAnsi="Arial"/>
          <w:sz w:val="17"/>
          <w:szCs w:val="17"/>
          <w:color w:val="auto"/>
        </w:rPr>
        <w:t>In January 2022, we entered into an amended lease agreement for an additional 12,300 square feet of office space in San Diego, California, for a total of approximately 45,100 square feet of office space. The amended lease agreement extended the term of our current office space by 22 months, through January 2030. The lease term for the additional space will begin upon the earlier of September 1, 2022 or the date that the landlord’s work is completed on the additional space, and will expire in January 2030. Our total contractual obligation over the term of the amended lease is approximately $21.5 million. Upon commencement of the lease amendment, we recognized an operating lease ROU asset of $2.4 million and a corresponding operating lease liability of $2.4 million for the extended term of our current office space.</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total operating lease costs were as follows (in thousands):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160" w:type="dxa"/>
            <w:vAlign w:val="bottom"/>
            <w:gridSpan w:val="4"/>
          </w:tcPr>
          <w:p>
            <w:pPr>
              <w:jc w:val="center"/>
              <w:ind w:left="282"/>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center"/>
              <w:ind w:right="179"/>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r>
      <w:tr>
        <w:trPr>
          <w:trHeight w:val="185"/>
        </w:trPr>
        <w:tc>
          <w:tcPr>
            <w:tcW w:w="48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30"/>
              <w:spacing w:after="0"/>
              <w:rPr>
                <w:sz w:val="20"/>
                <w:szCs w:val="20"/>
                <w:color w:val="auto"/>
              </w:rPr>
            </w:pPr>
            <w:r>
              <w:rPr>
                <w:rFonts w:ascii="Arial" w:cs="Arial" w:eastAsia="Arial" w:hAnsi="Arial"/>
                <w:sz w:val="14"/>
                <w:szCs w:val="14"/>
                <w:b w:val="1"/>
                <w:bCs w:val="1"/>
                <w:color w:val="auto"/>
                <w:w w:val="99"/>
              </w:rPr>
              <w:t>March 31,</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9"/>
              </w:rPr>
              <w:t>March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 cost</w:t>
            </w:r>
          </w:p>
        </w:tc>
        <w:tc>
          <w:tcPr>
            <w:tcW w:w="780" w:type="dxa"/>
            <w:vAlign w:val="bottom"/>
            <w:tcBorders>
              <w:top w:val="single" w:sz="8" w:color="auto"/>
            </w:tcBorders>
            <w:shd w:val="clear" w:color="auto" w:fill="CFF0FC"/>
          </w:tcPr>
          <w:p>
            <w:pPr>
              <w:jc w:val="right"/>
              <w:ind w:right="582"/>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377</w:t>
            </w:r>
          </w:p>
        </w:tc>
        <w:tc>
          <w:tcPr>
            <w:tcW w:w="26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377</w:t>
            </w: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1,130</w:t>
            </w:r>
          </w:p>
        </w:tc>
        <w:tc>
          <w:tcPr>
            <w:tcW w:w="2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1,130</w:t>
            </w:r>
          </w:p>
        </w:tc>
        <w:tc>
          <w:tcPr>
            <w:tcW w:w="100" w:type="dxa"/>
            <w:vAlign w:val="bottom"/>
            <w:shd w:val="clear" w:color="auto" w:fill="CFF0FC"/>
          </w:tcPr>
          <w:p>
            <w:pPr>
              <w:spacing w:after="0"/>
              <w:rPr>
                <w:sz w:val="17"/>
                <w:szCs w:val="17"/>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our operating leases were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140" w:type="dxa"/>
            <w:vAlign w:val="bottom"/>
            <w:gridSpan w:val="4"/>
          </w:tcPr>
          <w:p>
            <w:pPr>
              <w:jc w:val="center"/>
              <w:ind w:left="279"/>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center"/>
              <w:ind w:right="176"/>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3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2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88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Cash paid for amounts included in the measurement of lease</w:t>
            </w:r>
          </w:p>
        </w:tc>
        <w:tc>
          <w:tcPr>
            <w:tcW w:w="72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720" w:type="dxa"/>
            <w:vAlign w:val="bottom"/>
          </w:tcPr>
          <w:p>
            <w:pPr>
              <w:jc w:val="right"/>
              <w:ind w:right="539"/>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380</w:t>
            </w:r>
          </w:p>
        </w:tc>
        <w:tc>
          <w:tcPr>
            <w:tcW w:w="10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1,139</w:t>
            </w:r>
          </w:p>
        </w:tc>
        <w:tc>
          <w:tcPr>
            <w:tcW w:w="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88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Right-of-use assets obtained in exchange for operating lease</w:t>
            </w:r>
          </w:p>
        </w:tc>
        <w:tc>
          <w:tcPr>
            <w:tcW w:w="720" w:type="dxa"/>
            <w:vAlign w:val="bottom"/>
            <w:shd w:val="clear" w:color="auto" w:fill="CFF0FC"/>
          </w:tcPr>
          <w:p>
            <w:pPr>
              <w:spacing w:after="0"/>
              <w:rPr>
                <w:sz w:val="14"/>
                <w:szCs w:val="14"/>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4"/>
              </w:rPr>
              <w:t>2,386</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2,386</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8,689</w:t>
            </w:r>
          </w:p>
        </w:tc>
        <w:tc>
          <w:tcPr>
            <w:tcW w:w="10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obligations:</w:t>
            </w:r>
          </w:p>
        </w:tc>
        <w:tc>
          <w:tcPr>
            <w:tcW w:w="720" w:type="dxa"/>
            <w:vAlign w:val="bottom"/>
            <w:shd w:val="clear" w:color="auto" w:fill="CFF0FC"/>
          </w:tcPr>
          <w:p>
            <w:pPr>
              <w:spacing w:after="0"/>
              <w:rPr>
                <w:sz w:val="18"/>
                <w:szCs w:val="18"/>
                <w:color w:val="auto"/>
              </w:rPr>
            </w:pPr>
          </w:p>
        </w:tc>
        <w:tc>
          <w:tcPr>
            <w:tcW w:w="4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720" w:type="dxa"/>
            <w:vAlign w:val="bottom"/>
          </w:tcPr>
          <w:p>
            <w:pPr>
              <w:jc w:val="right"/>
              <w:ind w:right="379"/>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following is a schedule of the future minimum rental payments for our operating lease, reconciled to the lease liability as of March 31, 2022 (in thousands):</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March 31,</w:t>
            </w:r>
          </w:p>
        </w:tc>
      </w:tr>
      <w:tr>
        <w:trPr>
          <w:trHeight w:val="185"/>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736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Remainder of fiscal year ending June 30, 2022</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380</w:t>
            </w:r>
          </w:p>
        </w:tc>
        <w:tc>
          <w:tcPr>
            <w:tcW w:w="8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360" w:type="dxa"/>
            <w:vAlign w:val="bottom"/>
          </w:tcPr>
          <w:p>
            <w:pPr>
              <w:ind w:left="180"/>
              <w:spacing w:after="0" w:line="202" w:lineRule="exact"/>
              <w:rPr>
                <w:sz w:val="20"/>
                <w:szCs w:val="20"/>
                <w:color w:val="auto"/>
              </w:rPr>
            </w:pPr>
            <w:r>
              <w:rPr>
                <w:rFonts w:ascii="Arial" w:cs="Arial" w:eastAsia="Arial" w:hAnsi="Arial"/>
                <w:sz w:val="18"/>
                <w:szCs w:val="18"/>
                <w:color w:val="auto"/>
              </w:rPr>
              <w:t>Years ending June 30,</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36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2023</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1,565</w:t>
            </w:r>
          </w:p>
        </w:tc>
        <w:tc>
          <w:tcPr>
            <w:tcW w:w="8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360" w:type="dxa"/>
            <w:vAlign w:val="bottom"/>
          </w:tcPr>
          <w:p>
            <w:pPr>
              <w:ind w:left="360"/>
              <w:spacing w:after="0" w:line="202" w:lineRule="exact"/>
              <w:rPr>
                <w:sz w:val="20"/>
                <w:szCs w:val="20"/>
                <w:color w:val="auto"/>
              </w:rPr>
            </w:pPr>
            <w:r>
              <w:rPr>
                <w:rFonts w:ascii="Arial" w:cs="Arial" w:eastAsia="Arial" w:hAnsi="Arial"/>
                <w:sz w:val="18"/>
                <w:szCs w:val="18"/>
                <w:color w:val="auto"/>
              </w:rPr>
              <w:t>2024</w:t>
            </w:r>
          </w:p>
        </w:tc>
        <w:tc>
          <w:tcPr>
            <w:tcW w:w="2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1,612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36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2025</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1,168</w:t>
            </w:r>
          </w:p>
        </w:tc>
        <w:tc>
          <w:tcPr>
            <w:tcW w:w="8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360" w:type="dxa"/>
            <w:vAlign w:val="bottom"/>
          </w:tcPr>
          <w:p>
            <w:pPr>
              <w:ind w:left="360"/>
              <w:spacing w:after="0" w:line="202" w:lineRule="exact"/>
              <w:rPr>
                <w:sz w:val="20"/>
                <w:szCs w:val="20"/>
                <w:color w:val="auto"/>
              </w:rPr>
            </w:pPr>
            <w:r>
              <w:rPr>
                <w:rFonts w:ascii="Arial" w:cs="Arial" w:eastAsia="Arial" w:hAnsi="Arial"/>
                <w:sz w:val="18"/>
                <w:szCs w:val="18"/>
                <w:color w:val="auto"/>
              </w:rPr>
              <w:t>2026</w:t>
            </w:r>
          </w:p>
        </w:tc>
        <w:tc>
          <w:tcPr>
            <w:tcW w:w="2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1,710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36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2027</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1,761</w:t>
            </w:r>
          </w:p>
        </w:tc>
        <w:tc>
          <w:tcPr>
            <w:tcW w:w="8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360" w:type="dxa"/>
            <w:vAlign w:val="bottom"/>
          </w:tcPr>
          <w:p>
            <w:pPr>
              <w:ind w:left="180"/>
              <w:spacing w:after="0" w:line="202" w:lineRule="exact"/>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5,450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736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lease payments</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13,646</w:t>
            </w:r>
          </w:p>
        </w:tc>
        <w:tc>
          <w:tcPr>
            <w:tcW w:w="8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360" w:type="dxa"/>
            <w:vAlign w:val="bottom"/>
          </w:tcPr>
          <w:p>
            <w:pPr>
              <w:ind w:left="180"/>
              <w:spacing w:after="0" w:line="202" w:lineRule="exact"/>
              <w:rPr>
                <w:sz w:val="20"/>
                <w:szCs w:val="20"/>
                <w:color w:val="auto"/>
              </w:rPr>
            </w:pPr>
            <w:r>
              <w:rPr>
                <w:rFonts w:ascii="Arial" w:cs="Arial" w:eastAsia="Arial" w:hAnsi="Arial"/>
                <w:sz w:val="18"/>
                <w:szCs w:val="18"/>
                <w:color w:val="auto"/>
              </w:rPr>
              <w:t>Less: Present value discount</w:t>
            </w:r>
          </w:p>
        </w:tc>
        <w:tc>
          <w:tcPr>
            <w:tcW w:w="28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(3,607 )</w:t>
            </w:r>
          </w:p>
        </w:tc>
        <w:tc>
          <w:tcPr>
            <w:tcW w:w="80" w:type="dxa"/>
            <w:vAlign w:val="bottom"/>
          </w:tcPr>
          <w:p>
            <w:pPr>
              <w:spacing w:after="0"/>
              <w:rPr>
                <w:sz w:val="17"/>
                <w:szCs w:val="17"/>
                <w:color w:val="auto"/>
              </w:rPr>
            </w:pPr>
          </w:p>
        </w:tc>
      </w:tr>
      <w:tr>
        <w:trPr>
          <w:trHeight w:val="236"/>
        </w:trPr>
        <w:tc>
          <w:tcPr>
            <w:tcW w:w="73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operating lease liability</w:t>
            </w: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10,039</w:t>
            </w: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183"/>
        </w:trPr>
        <w:tc>
          <w:tcPr>
            <w:tcW w:w="7360" w:type="dxa"/>
            <w:vAlign w:val="bottom"/>
          </w:tcPr>
          <w:p>
            <w:pPr>
              <w:spacing w:after="0" w:line="183" w:lineRule="exact"/>
              <w:rPr>
                <w:sz w:val="20"/>
                <w:szCs w:val="20"/>
                <w:color w:val="auto"/>
              </w:rPr>
            </w:pPr>
            <w:r>
              <w:rPr>
                <w:rFonts w:ascii="Arial" w:cs="Arial" w:eastAsia="Arial" w:hAnsi="Arial"/>
                <w:sz w:val="18"/>
                <w:szCs w:val="18"/>
                <w:b w:val="1"/>
                <w:bCs w:val="1"/>
                <w:color w:val="auto"/>
              </w:rPr>
              <w:t>Balance Sheet Classification – Operating Lease</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736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Operating lease liability</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828</w:t>
            </w:r>
          </w:p>
        </w:tc>
        <w:tc>
          <w:tcPr>
            <w:tcW w:w="8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360" w:type="dxa"/>
            <w:vAlign w:val="bottom"/>
          </w:tcPr>
          <w:p>
            <w:pPr>
              <w:ind w:left="360"/>
              <w:spacing w:after="0" w:line="202" w:lineRule="exact"/>
              <w:rPr>
                <w:sz w:val="20"/>
                <w:szCs w:val="20"/>
                <w:color w:val="auto"/>
              </w:rPr>
            </w:pPr>
            <w:r>
              <w:rPr>
                <w:rFonts w:ascii="Arial" w:cs="Arial" w:eastAsia="Arial" w:hAnsi="Arial"/>
                <w:sz w:val="18"/>
                <w:szCs w:val="18"/>
                <w:color w:val="auto"/>
              </w:rPr>
              <w:t>Operating lease liability, long-term</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9,211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73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operating lease liability</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10,039</w:t>
            </w: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183"/>
        </w:trPr>
        <w:tc>
          <w:tcPr>
            <w:tcW w:w="7360" w:type="dxa"/>
            <w:vAlign w:val="bottom"/>
          </w:tcPr>
          <w:p>
            <w:pPr>
              <w:spacing w:after="0" w:line="183" w:lineRule="exact"/>
              <w:rPr>
                <w:sz w:val="20"/>
                <w:szCs w:val="20"/>
                <w:color w:val="auto"/>
              </w:rPr>
            </w:pPr>
            <w:r>
              <w:rPr>
                <w:rFonts w:ascii="Arial" w:cs="Arial" w:eastAsia="Arial" w:hAnsi="Arial"/>
                <w:sz w:val="18"/>
                <w:szCs w:val="18"/>
                <w:b w:val="1"/>
                <w:bCs w:val="1"/>
                <w:color w:val="auto"/>
              </w:rPr>
              <w:t>Other Balance Sheet Information – Operating Lease</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73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360" w:type="dxa"/>
            <w:vAlign w:val="bottom"/>
          </w:tcPr>
          <w:p>
            <w:pPr>
              <w:ind w:left="180"/>
              <w:spacing w:after="0"/>
              <w:rPr>
                <w:sz w:val="20"/>
                <w:szCs w:val="20"/>
                <w:color w:val="auto"/>
              </w:rPr>
            </w:pPr>
            <w:r>
              <w:rPr>
                <w:rFonts w:ascii="Arial" w:cs="Arial" w:eastAsia="Arial" w:hAnsi="Arial"/>
                <w:sz w:val="18"/>
                <w:szCs w:val="18"/>
                <w:color w:val="auto"/>
              </w:rPr>
              <w:t>Weighted average discount rate</w:t>
            </w:r>
          </w:p>
        </w:tc>
        <w:tc>
          <w:tcPr>
            <w:tcW w:w="2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7.50 %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-977265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-960120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-428625</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-411480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Short-Term Investments</w:t>
      </w:r>
    </w:p>
    <w:p>
      <w:pPr>
        <w:spacing w:after="0" w:line="108"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As of March 31, 2022, and June 30, 2021, our short-term investments consisted of $157.9 million and $144.9 million, respectively, in U.S. government securities. The short-term investments held as of March 31, 2022 and June 30, 2021 had maturity dates of less than one year, are considered to be “held to maturity” and are carried at amortized cost. As of March 31, 2022, and June 30, 2021, the gross holding gains and losses were immaterial.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Transactions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Underwritten Registered Offering</w:t>
      </w:r>
    </w:p>
    <w:p>
      <w:pPr>
        <w:spacing w:after="0" w:line="104" w:lineRule="exact"/>
        <w:rPr>
          <w:sz w:val="20"/>
          <w:szCs w:val="20"/>
          <w:color w:val="auto"/>
        </w:rPr>
      </w:pPr>
    </w:p>
    <w:p>
      <w:pPr>
        <w:ind w:right="160" w:firstLine="509"/>
        <w:spacing w:after="0" w:line="291" w:lineRule="auto"/>
        <w:rPr>
          <w:sz w:val="20"/>
          <w:szCs w:val="20"/>
          <w:color w:val="auto"/>
        </w:rPr>
      </w:pPr>
      <w:r>
        <w:rPr>
          <w:rFonts w:ascii="Arial" w:cs="Arial" w:eastAsia="Arial" w:hAnsi="Arial"/>
          <w:sz w:val="17"/>
          <w:szCs w:val="17"/>
          <w:color w:val="auto"/>
        </w:rPr>
        <w:t>In December 2021, we completed an underwritten registered offering of 20,125,000 shares of common stock at a price per share of $2.60 for gross proceeds of $52.3 million. We received net cash proceeds of $48.7 million associated with the offering, after costs of $3.7 million.</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Shelf Registration Statement</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have a shelf registration statement that permits us to sell, from time to time, up to $200.0 million of common stock, preferred stock and warrants. The shelf registration was filed and declared effective in May 2020, replacing our prior shelf registration statement that was filed and declared effective in May 2017, and carrying forward approximately $107.5 million of unsold securities registered under the prior shelf registration statement. As of March 31, 2022, there is $123.4 million aggregate value of securities available under the shelf registration statement, including up to $60.0 million remaining available under the 2020 ATM Sales Agreement described below.</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At-The-Market Equity Offering</w:t>
      </w:r>
    </w:p>
    <w:p>
      <w:pPr>
        <w:spacing w:after="0" w:line="104"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On November 10, 2020, we entered into an At-The-Market Equity Offering Sales Agreement (the “2020 ATM Sales Agreement”), pursuant to which we may sell an aggregate of up to $60.0 million of our common stock pursuant to the shelf registration statement. As of March 31, 2022, there is $60.0 million remaining available under the 2020 ATM Sales Agreement.</w:t>
      </w:r>
    </w:p>
    <w:p>
      <w:pPr>
        <w:spacing w:after="0" w:line="74"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During the nine months ended March 31, 2021, we sold 958,083 shares under a previous ATM agreement for gross proceeds of $3.2 million. We received net cash proceeds of $3.1 million, after costs of $0.1 million.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Warrants</w:t>
      </w:r>
    </w:p>
    <w:p>
      <w:pPr>
        <w:spacing w:after="0" w:line="104"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As of March 31, 2022, we have outstanding warrants to purchase 16,058,985 shares of our common stock. The warrants are fully vested, exercisable at a price of $2.54 per share and expire in May 2023. Pursuant to the terms of the warrants, we could be required to settle the warrants in cash in the event of an acquisition of the Company and, as a result, the warrants are required to be measured at fair value and reported as a liability in the Condensed Balance Sheet. Therefore, we are required to account for the warrants as liabilities and record them at fair value. The warrants were revalued as of March 31, 2022 and June 30, 2021 at $1.5 million and $22.4 million, respectively; the changes in fair value were recorded in our Condensed Statement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10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We use equity-based compensation programs to provide long-term performance incentives for our employees. These incentives consist primarily of stock options and RSUs. In December 2008, we adopted the MEI Pharma, Inc. 2008 Stock Omnibus Equity Compensation Plan (“Omnibus Plan”), as amended and restated from time-to-time, under which 29,014,794 shares of common stock are authorized for issuance. The Omnibus Plan provides for the grant of options and/or other stock-based or stock-denominated awards to our non-employee directors, officers, employees and advisors. As of March 31, 2022, there were 8,347,062 shares available for future grant under the Omnibus Plan.</w:t>
      </w:r>
    </w:p>
    <w:p>
      <w:pPr>
        <w:spacing w:after="0" w:line="66"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In May 2021, we adopted the 2021 Inducement Plan ("Inducement Plan"), under which 2,500,000 shares of common stock are authorized for issuance. The Inducement Plan is intended to assist us in attracting and retaining selected individuals to serve as employees who are expected to contribute to our success, by providing an inducement for such individuals to enter into employment with us, and to achieve long-term objectives that will benefit stockholders of the Company. As of March 31, 2022, there were 243,000 shares available for future grant under the Inducement Plan.</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share-based compensation expense for all stock awards consists of the following (in thousands):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85"/>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5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1,118</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1,207</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2,398</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3,496</w:t>
            </w:r>
          </w:p>
        </w:tc>
        <w:tc>
          <w:tcPr>
            <w:tcW w:w="100" w:type="dxa"/>
            <w:vAlign w:val="bottom"/>
            <w:shd w:val="clear" w:color="auto" w:fill="CFF0FC"/>
          </w:tcPr>
          <w:p>
            <w:pPr>
              <w:spacing w:after="0"/>
              <w:rPr>
                <w:sz w:val="17"/>
                <w:szCs w:val="17"/>
                <w:color w:val="auto"/>
              </w:rPr>
            </w:pPr>
          </w:p>
        </w:tc>
      </w:tr>
      <w:tr>
        <w:trPr>
          <w:trHeight w:val="203"/>
        </w:trPr>
        <w:tc>
          <w:tcPr>
            <w:tcW w:w="522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1,719</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1,438</w:t>
            </w:r>
          </w:p>
        </w:tc>
        <w:tc>
          <w:tcPr>
            <w:tcW w:w="2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5,302</w:t>
            </w:r>
          </w:p>
        </w:tc>
        <w:tc>
          <w:tcPr>
            <w:tcW w:w="2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4,700</w:t>
            </w:r>
          </w:p>
        </w:tc>
        <w:tc>
          <w:tcPr>
            <w:tcW w:w="100" w:type="dxa"/>
            <w:vAlign w:val="bottom"/>
            <w:tcBorders>
              <w:bottom w:val="single" w:sz="8" w:color="CFF0FC"/>
            </w:tcBorders>
          </w:tcPr>
          <w:p>
            <w:pPr>
              <w:spacing w:after="0"/>
              <w:rPr>
                <w:sz w:val="17"/>
                <w:szCs w:val="17"/>
                <w:color w:val="auto"/>
              </w:rPr>
            </w:pPr>
          </w:p>
        </w:tc>
      </w:tr>
      <w:tr>
        <w:trPr>
          <w:trHeight w:val="236"/>
        </w:trPr>
        <w:tc>
          <w:tcPr>
            <w:tcW w:w="522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share-based compensation</w:t>
            </w: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2,837</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2,645</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7,700</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8,196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-25400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-162560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-162560</wp:posOffset>
            </wp:positionV>
            <wp:extent cx="596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-162560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Options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for the nine months ended March 31, 2022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6"/>
                <w:szCs w:val="16"/>
                <w:color w:val="auto"/>
              </w:rPr>
            </w:pPr>
          </w:p>
        </w:tc>
        <w:tc>
          <w:tcPr>
            <w:tcW w:w="108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Exercise Price</w:t>
            </w:r>
          </w:p>
        </w:tc>
        <w:tc>
          <w:tcPr>
            <w:tcW w:w="2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w w:val="96"/>
              </w:rPr>
              <w:t>Intrinsic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June 30, 2021</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16,668,542</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3.01</w:t>
            </w:r>
          </w:p>
        </w:tc>
        <w:tc>
          <w:tcPr>
            <w:tcW w:w="22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6,694,734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(348,547 )</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1.64</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0"/>
              <w:spacing w:after="0" w:line="202" w:lineRule="exact"/>
              <w:rPr>
                <w:sz w:val="20"/>
                <w:szCs w:val="20"/>
                <w:color w:val="auto"/>
              </w:rPr>
            </w:pPr>
            <w:r>
              <w:rPr>
                <w:rFonts w:ascii="Arial" w:cs="Arial" w:eastAsia="Arial" w:hAnsi="Arial"/>
                <w:sz w:val="18"/>
                <w:szCs w:val="18"/>
                <w:color w:val="auto"/>
              </w:rPr>
              <w:t>Forfeited / Cancelled</w:t>
            </w: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(2,423,119 )</w:t>
            </w: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3.15</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20" w:type="dxa"/>
            <w:vAlign w:val="bottom"/>
            <w:tcBorders>
              <w:top w:val="single" w:sz="8" w:color="CFF0FC"/>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at March 31, 2022</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20,591,610</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080" w:type="dxa"/>
            <w:vAlign w:val="bottom"/>
            <w:tcBorders>
              <w:top w:val="single" w:sz="8" w:color="CFF0FC"/>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2.91</w:t>
            </w:r>
          </w:p>
        </w:tc>
        <w:tc>
          <w:tcPr>
            <w:tcW w:w="1460" w:type="dxa"/>
            <w:vAlign w:val="bottom"/>
            <w:tcBorders>
              <w:top w:val="single" w:sz="8" w:color="CFF0FC"/>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7.7</w:t>
            </w:r>
          </w:p>
        </w:tc>
        <w:tc>
          <w:tcPr>
            <w:tcW w:w="360" w:type="dxa"/>
            <w:vAlign w:val="bottom"/>
            <w:tcBorders>
              <w:top w:val="single" w:sz="8" w:color="CFF0FC"/>
              <w:bottom w:val="single" w:sz="8" w:color="CFF0FC"/>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CFF0FC"/>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738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20" w:type="dxa"/>
            <w:vAlign w:val="bottom"/>
          </w:tcPr>
          <w:p>
            <w:pPr>
              <w:ind w:left="20"/>
              <w:spacing w:after="0"/>
              <w:rPr>
                <w:sz w:val="20"/>
                <w:szCs w:val="20"/>
                <w:color w:val="auto"/>
              </w:rPr>
            </w:pPr>
            <w:r>
              <w:rPr>
                <w:rFonts w:ascii="Arial" w:cs="Arial" w:eastAsia="Arial" w:hAnsi="Arial"/>
                <w:sz w:val="18"/>
                <w:szCs w:val="18"/>
                <w:color w:val="auto"/>
              </w:rPr>
              <w:t>Vested and exercisable at March 31, 2022</w:t>
            </w:r>
          </w:p>
        </w:tc>
        <w:tc>
          <w:tcPr>
            <w:tcW w:w="1120" w:type="dxa"/>
            <w:vAlign w:val="bottom"/>
          </w:tcPr>
          <w:p>
            <w:pPr>
              <w:jc w:val="right"/>
              <w:spacing w:after="0"/>
              <w:rPr>
                <w:sz w:val="20"/>
                <w:szCs w:val="20"/>
                <w:color w:val="auto"/>
              </w:rPr>
            </w:pPr>
            <w:r>
              <w:rPr>
                <w:rFonts w:ascii="Arial" w:cs="Arial" w:eastAsia="Arial" w:hAnsi="Arial"/>
                <w:sz w:val="18"/>
                <w:szCs w:val="18"/>
                <w:color w:val="auto"/>
              </w:rPr>
              <w:t>10,115,129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-171450</wp:posOffset>
            </wp:positionV>
            <wp:extent cx="768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-154305</wp:posOffset>
            </wp:positionV>
            <wp:extent cx="76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-308610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40"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The fair value of each stock option granted during the nine months ended March 31, 2022 is estimated on the grant date under the fair value method using a Black-Scholes valuation model. Stock options granted to employees during the nine months ended March 31, 2022 vest 25% one year from the date of grant and ratably each month thereafter for a period of 36 months and expire ten years from the date of grant. Stock options granted to directors during the nine months ended March 31, 2022 vest ratably each month for a period of 12 months from the date of grant and expire ten years from the date of grant. The estimated fair values of the stock options, including the effect of estimated forfeitures, are expensed over the service period.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weighted-average assumptions were used to determine the fair value of options granted during the period:</w:t>
      </w:r>
    </w:p>
    <w:p>
      <w:pPr>
        <w:spacing w:after="0" w:line="244"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6180" w:type="dxa"/>
            <w:vAlign w:val="bottom"/>
            <w:vMerge w:val="restart"/>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618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0.5</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Expected life (years)</w:t>
            </w:r>
          </w:p>
        </w:tc>
        <w:tc>
          <w:tcPr>
            <w:tcW w:w="82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82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6"/>
              </w:rPr>
              <w:t>68.8 %</w:t>
            </w:r>
          </w:p>
        </w:tc>
        <w:tc>
          <w:tcPr>
            <w:tcW w:w="30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81.1 %</w:t>
            </w: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82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0.0 %</w:t>
            </w:r>
          </w:p>
        </w:tc>
        <w:tc>
          <w:tcPr>
            <w:tcW w:w="30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3"/>
        </w:trPr>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grant date fair value</w:t>
            </w: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2.32</w:t>
            </w:r>
          </w:p>
        </w:tc>
        <w:tc>
          <w:tcPr>
            <w:tcW w:w="8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-642620</wp:posOffset>
            </wp:positionV>
            <wp:extent cx="570039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-385445</wp:posOffset>
            </wp:positionV>
            <wp:extent cx="5700395"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spacing w:after="0" w:line="209"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As of March 31, 2022, there was $9.5 million of unrecognized compensation expense related to the unvested portion of stock options. Such compensation expense is expected to be recognized over a weighted-average period of 1.7 years.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Restricted Stock Units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RSU activity for the nine months ended March 31, 2022 was as follows:</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52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Weighted-Average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18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RSUs</w:t>
            </w:r>
          </w:p>
        </w:tc>
        <w:tc>
          <w:tcPr>
            <w:tcW w:w="180" w:type="dxa"/>
            <w:vAlign w:val="bottom"/>
          </w:tcPr>
          <w:p>
            <w:pPr>
              <w:spacing w:after="0"/>
              <w:rPr>
                <w:sz w:val="16"/>
                <w:szCs w:val="16"/>
                <w:color w:val="auto"/>
              </w:rPr>
            </w:pPr>
          </w:p>
        </w:tc>
        <w:tc>
          <w:tcPr>
            <w:tcW w:w="1520" w:type="dxa"/>
            <w:vAlign w:val="bottom"/>
          </w:tcPr>
          <w:p>
            <w:pPr>
              <w:jc w:val="center"/>
              <w:ind w:right="98"/>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Non-vested at June 30, 2021</w:t>
            </w:r>
          </w:p>
        </w:tc>
        <w:tc>
          <w:tcPr>
            <w:tcW w:w="1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400,650</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180"/>
              <w:spacing w:after="0" w:line="202" w:lineRule="exact"/>
              <w:rPr>
                <w:sz w:val="20"/>
                <w:szCs w:val="20"/>
                <w:color w:val="auto"/>
              </w:rPr>
            </w:pPr>
            <w:r>
              <w:rPr>
                <w:rFonts w:ascii="Arial" w:cs="Arial" w:eastAsia="Arial" w:hAnsi="Arial"/>
                <w:sz w:val="18"/>
                <w:szCs w:val="18"/>
                <w:color w:val="auto"/>
              </w:rPr>
              <w:t>Vested</w:t>
            </w:r>
          </w:p>
        </w:tc>
        <w:tc>
          <w:tcPr>
            <w:tcW w:w="1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(130,000 )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Forfeited / Cancelled</w:t>
            </w:r>
          </w:p>
        </w:tc>
        <w:tc>
          <w:tcPr>
            <w:tcW w:w="18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(46,250 )</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line="182" w:lineRule="exact"/>
              <w:rPr>
                <w:sz w:val="20"/>
                <w:szCs w:val="20"/>
                <w:color w:val="auto"/>
              </w:rPr>
            </w:pPr>
            <w:r>
              <w:rPr>
                <w:rFonts w:ascii="Arial" w:cs="Arial" w:eastAsia="Arial" w:hAnsi="Arial"/>
                <w:sz w:val="18"/>
                <w:szCs w:val="18"/>
                <w:color w:val="auto"/>
              </w:rPr>
              <w:t>Non-vested at March 31, 2022</w:t>
            </w:r>
          </w:p>
        </w:tc>
        <w:tc>
          <w:tcPr>
            <w:tcW w:w="1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224,400</w:t>
            </w:r>
          </w:p>
        </w:tc>
        <w:tc>
          <w:tcPr>
            <w:tcW w:w="240" w:type="dxa"/>
            <w:vAlign w:val="bottom"/>
          </w:tcPr>
          <w:p>
            <w:pPr>
              <w:spacing w:after="0"/>
              <w:rPr>
                <w:sz w:val="17"/>
                <w:szCs w:val="17"/>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3.49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Each RSU represents the contingent right to receive one share of our common stock. Under the terms of the Omnibus Plan, each of the RSUs is calculated as 1.25 shares of common stock for purposes of determining the number of shares available for future grant. During the nine months ended March 31, 2022, 130,000 RSUs vested. We issued 63,855 shares of common stock to RSU holders; 66,145 shares were surrendered to us by RSU holders as payment for the employee portion of the required withholding of associated payroll taxes. As of March 31, 2022, unrecognized compensation expense related to the unvested portion of our RSUs was approximately $0.1 million and is expected to be recognized over approximately three months.</w:t>
      </w:r>
    </w:p>
    <w:p>
      <w:pPr>
        <w:spacing w:after="0" w:line="15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80" w:firstLine="509"/>
        <w:spacing w:after="0" w:line="271"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“believe,” “may,” “will,” “estimate,” “continue,” “anticipate,” “intend,” “should,” “plan,” “expect,” and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without limitation, those described in “Risk Factors” in our 2021 Amended Annual Report on Form 10-K/A, as filed with the Securities and Exchange Commission on May 23, 2022. Set forth below is a summary of the principal risks we face:</w:t>
      </w:r>
    </w:p>
    <w:p>
      <w:pPr>
        <w:spacing w:after="0" w:line="61" w:lineRule="exact"/>
        <w:rPr>
          <w:sz w:val="20"/>
          <w:szCs w:val="20"/>
          <w:color w:val="auto"/>
        </w:rPr>
      </w:pPr>
    </w:p>
    <w:p>
      <w:pPr>
        <w:ind w:left="1020" w:right="380" w:hanging="503"/>
        <w:spacing w:after="0" w:line="23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could be materially adversely affected by any negative impact on the global economy and capital markets resulting from the conflict in Ukraine or any other geopolitical tensions.</w:t>
      </w:r>
    </w:p>
    <w:p>
      <w:pPr>
        <w:spacing w:after="0" w:line="1" w:lineRule="exact"/>
        <w:rPr>
          <w:rFonts w:ascii="Arial" w:cs="Arial" w:eastAsia="Arial" w:hAnsi="Arial"/>
          <w:sz w:val="18"/>
          <w:szCs w:val="18"/>
          <w:color w:val="auto"/>
        </w:rPr>
      </w:pPr>
    </w:p>
    <w:p>
      <w:pPr>
        <w:ind w:left="1020" w:right="400" w:hanging="503"/>
        <w:spacing w:after="0" w:line="248"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ongoing military conflict between Russia and Ukraine has affected our planned sites in Ukraine and Russia for the COASTAL trial. Failure to replace those sites with new sites could have a materially detrimental effect on recruitment timelines.</w:t>
      </w:r>
    </w:p>
    <w:p>
      <w:pPr>
        <w:spacing w:after="0" w:line="1" w:lineRule="exact"/>
        <w:rPr>
          <w:rFonts w:ascii="Arial" w:cs="Arial" w:eastAsia="Arial" w:hAnsi="Arial"/>
          <w:sz w:val="17"/>
          <w:szCs w:val="17"/>
          <w:color w:val="auto"/>
        </w:rPr>
      </w:pPr>
    </w:p>
    <w:p>
      <w:pPr>
        <w:ind w:left="1020" w:right="30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need substantial additional funds to progress the clinical trial programs for our drug candidates, to commercialize our drug candidates, and to develop new compounds. The actual amount of funds we will need will be determined by a number of factors, some of which are beyond our control;</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a late stage clinical research and development stage company and are likely to incur operating losses for the foreseeable future;</w:t>
      </w:r>
    </w:p>
    <w:p>
      <w:pPr>
        <w:spacing w:after="0" w:line="18" w:lineRule="exact"/>
        <w:rPr>
          <w:rFonts w:ascii="Arial" w:cs="Arial" w:eastAsia="Arial" w:hAnsi="Arial"/>
          <w:sz w:val="16"/>
          <w:szCs w:val="16"/>
          <w:color w:val="auto"/>
        </w:rPr>
      </w:pPr>
    </w:p>
    <w:p>
      <w:pPr>
        <w:ind w:left="1020" w:right="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of pre-clinical studies and completed clinical trials are not necessarily predictive of future results, and our current drug candidates may not have favorable results in later studies or trials;</w:t>
      </w:r>
    </w:p>
    <w:p>
      <w:pPr>
        <w:spacing w:after="0" w:line="1" w:lineRule="exact"/>
        <w:rPr>
          <w:rFonts w:ascii="Arial" w:cs="Arial" w:eastAsia="Arial" w:hAnsi="Arial"/>
          <w:sz w:val="18"/>
          <w:szCs w:val="18"/>
          <w:color w:val="auto"/>
        </w:rPr>
      </w:pPr>
    </w:p>
    <w:p>
      <w:pPr>
        <w:ind w:left="1020" w:right="24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ongoing COVID-19 pandemic, or other pandemic, epidemic or outbreak of an infectious disease may materially and adversely impact our business, including our preclinical studies and clinical trials;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drug candidate manufacturing or formulation may result in additional costs or delay;</w:t>
      </w:r>
    </w:p>
    <w:p>
      <w:pPr>
        <w:ind w:left="1020" w:right="8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KKC or other parties with whom we collaborate on the development and commercialization of our drug candidates do not satisfy their obligations, do not otherwise pursue development or commercialization of our drug candidates or if they terminate their agreements with us, we may not be able to develop or commercialize our drug candidates;</w:t>
      </w:r>
    </w:p>
    <w:p>
      <w:pPr>
        <w:spacing w:after="0" w:line="2" w:lineRule="exact"/>
        <w:rPr>
          <w:rFonts w:ascii="Arial" w:cs="Arial" w:eastAsia="Arial" w:hAnsi="Arial"/>
          <w:sz w:val="18"/>
          <w:szCs w:val="18"/>
          <w:color w:val="auto"/>
        </w:rPr>
      </w:pPr>
    </w:p>
    <w:p>
      <w:pPr>
        <w:ind w:left="1020" w:right="16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significant obligations to Presage in connection with our license of voruciclib, and we may become subject to significant obligations in connection with future licenses we obtain, which could adversely affect the overall profitability of any products we may seek to commercialize, and such licenses of drug candidates, the development and commercialization for which we are solely responsible, may never become profitable;</w:t>
      </w:r>
    </w:p>
    <w:p>
      <w:pPr>
        <w:spacing w:after="0" w:line="2" w:lineRule="exact"/>
        <w:rPr>
          <w:rFonts w:ascii="Arial" w:cs="Arial" w:eastAsia="Arial" w:hAnsi="Arial"/>
          <w:sz w:val="18"/>
          <w:szCs w:val="18"/>
          <w:color w:val="auto"/>
        </w:rPr>
      </w:pPr>
    </w:p>
    <w:p>
      <w:pPr>
        <w:ind w:left="1020" w:right="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strategy may include entry into additional collaborative or license agreements. We may not be able to enter into collaborative or license agreements or may not be able to negotiate commercially acceptable terms for these agreements;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Final approval by regulatory authorities of our drug candidates for commercial use may be delayed, limited or prevented, any of which would adversely affect our ability to generate operating revenues;</w:t>
      </w:r>
    </w:p>
    <w:p>
      <w:pPr>
        <w:spacing w:after="0" w:line="1" w:lineRule="exact"/>
        <w:rPr>
          <w:rFonts w:ascii="Arial" w:cs="Arial" w:eastAsia="Arial" w:hAnsi="Arial"/>
          <w:sz w:val="18"/>
          <w:szCs w:val="18"/>
          <w:color w:val="auto"/>
        </w:rPr>
      </w:pPr>
    </w:p>
    <w:p>
      <w:pPr>
        <w:ind w:left="1020" w:right="50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may determine that our drug candidates have undesirable side effects that could delay or prevent their regulatory approval or commercialization;</w:t>
      </w:r>
    </w:p>
    <w:p>
      <w:pPr>
        <w:spacing w:after="0" w:line="1" w:lineRule="exact"/>
        <w:rPr>
          <w:rFonts w:ascii="Arial" w:cs="Arial" w:eastAsia="Arial" w:hAnsi="Arial"/>
          <w:sz w:val="18"/>
          <w:szCs w:val="18"/>
          <w:color w:val="auto"/>
        </w:rPr>
      </w:pPr>
    </w:p>
    <w:p>
      <w:pPr>
        <w:ind w:left="1020" w:right="14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enrolment of patients in clinical trials, our completion of clinical trials and receipt of necessary regulatory approvals could be delayed or prevented;</w:t>
      </w:r>
    </w:p>
    <w:p>
      <w:pPr>
        <w:spacing w:after="0" w:line="1" w:lineRule="exact"/>
        <w:rPr>
          <w:rFonts w:ascii="Arial" w:cs="Arial" w:eastAsia="Arial" w:hAnsi="Arial"/>
          <w:sz w:val="18"/>
          <w:szCs w:val="18"/>
          <w:color w:val="auto"/>
        </w:rPr>
      </w:pPr>
    </w:p>
    <w:p>
      <w:pPr>
        <w:ind w:left="1020" w:right="18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funding for the FDA and other government agencies or future government shutdowns could cause delays in the submission and regulatory review of marketing applications, which could negatively impact our business or prospects;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obtain regulatory approval in foreign jurisdictions would prevent us from marketing our products internationally;</w:t>
      </w:r>
    </w:p>
    <w:p>
      <w:pPr>
        <w:ind w:left="10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designation granted by the FDA for any of our product candidates may not lead to a faster development or regulatory review or approval process, and does not increase the likelihood that our product candidates will receive marketing approval. We may also not be able to obtain or maintain any such designation;</w:t>
      </w:r>
    </w:p>
    <w:p>
      <w:pPr>
        <w:spacing w:after="0" w:line="2"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orphan drug designations we receive may not confer marketing exclusivity or other benefits;</w:t>
      </w:r>
    </w:p>
    <w:p>
      <w:pPr>
        <w:ind w:left="1020" w:right="400" w:hanging="503"/>
        <w:spacing w:after="0" w:line="24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we or our licensees receive regulatory approval to commercialize our drug candidates, our ability to generate revenues from any resulting products will be subject to a variety of risks, many of which are out of our control;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ind w:left="1020" w:right="380" w:hanging="503"/>
        <w:spacing w:after="0" w:line="24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any products we develop become subject to unfavorable pricing regulations, third-party reimbursement practices or healthcare reform initiatives, our ability to successfully commercialize our products will be impaired;</w:t>
      </w: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drug candidates are subject to ongoing government regulation both before and after regulatory approval;</w:t>
      </w: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establish the contractual arrangements necessary to develop, market and distribute our drug candidates;</w:t>
      </w:r>
    </w:p>
    <w:p>
      <w:pPr>
        <w:ind w:left="1020" w:right="24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commercial opportunity will be reduced or eliminated if competitors develop and market products that are more effective, have fewer side effects or are less expensive than our drug candidates;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 candidates may face competition sooner than anticipated;</w:t>
      </w:r>
    </w:p>
    <w:p>
      <w:pPr>
        <w:ind w:left="1020" w:right="2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and pre-clinical studies. If those parties do not successfully carry out their contractual duties or meet expected deadlines, our drug candidates may not advance in a timely manner or at all;</w:t>
      </w:r>
    </w:p>
    <w:p>
      <w:pPr>
        <w:spacing w:after="0" w:line="1" w:lineRule="exact"/>
        <w:rPr>
          <w:rFonts w:ascii="Arial" w:cs="Arial" w:eastAsia="Arial" w:hAnsi="Arial"/>
          <w:sz w:val="18"/>
          <w:szCs w:val="18"/>
          <w:color w:val="auto"/>
        </w:rPr>
      </w:pPr>
    </w:p>
    <w:p>
      <w:pPr>
        <w:jc w:val="both"/>
        <w:ind w:left="1020" w:right="14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depend on third party suppliers and contract manufacturers for the manufacturing of our drug candidates and have no direct control over the cost of manufacturing our drug candidates. Increases in the cost of manufacturing our drug candidates would increase our costs of conducting clinical trials and could adversely affect our future profitability;</w:t>
      </w:r>
    </w:p>
    <w:p>
      <w:pPr>
        <w:spacing w:after="0" w:line="2"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acquisitions or licenses from third parties to expand our pipeline of drug candidates;</w:t>
      </w:r>
    </w:p>
    <w:p>
      <w:pPr>
        <w:ind w:left="1020" w:right="14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commercial success is dependent, in part, on obtaining and maintaining patent protection and preserving trade secrets, which cannot be guaranteed;</w:t>
      </w:r>
    </w:p>
    <w:p>
      <w:pPr>
        <w:spacing w:after="0" w:line="1" w:lineRule="exact"/>
        <w:rPr>
          <w:rFonts w:ascii="Arial" w:cs="Arial" w:eastAsia="Arial" w:hAnsi="Arial"/>
          <w:sz w:val="18"/>
          <w:szCs w:val="18"/>
          <w:color w:val="auto"/>
        </w:rPr>
      </w:pPr>
    </w:p>
    <w:p>
      <w:pPr>
        <w:ind w:left="1020" w:right="1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Claims by other companies that we infringe on their proprietary technology may result in liability for damages or stop our development and commercialization efforts;</w:t>
      </w:r>
    </w:p>
    <w:p>
      <w:pPr>
        <w:spacing w:after="0" w:line="1" w:lineRule="exact"/>
        <w:rPr>
          <w:rFonts w:ascii="Arial" w:cs="Arial" w:eastAsia="Arial" w:hAnsi="Arial"/>
          <w:sz w:val="18"/>
          <w:szCs w:val="18"/>
          <w:color w:val="auto"/>
        </w:rPr>
      </w:pPr>
    </w:p>
    <w:p>
      <w:pPr>
        <w:ind w:left="1020" w:right="6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subject to claims by third parties asserting that our employees or we have misappropriated their intellectual property, or claiming ownership of what we regard as our own intellectual property;</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subject to substantial costs stemming from our defense against third-party intellectual property infringement claims;</w:t>
      </w: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a risk of product liability claims and claims may exceed our insurance limits;</w:t>
      </w:r>
    </w:p>
    <w:p>
      <w:pPr>
        <w:jc w:val="both"/>
        <w:ind w:left="1020" w:right="16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2"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and operations would suffer in the event of system failures;</w:t>
      </w: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efforts will be seriously jeopardized if we are unable to retain and attract key employees;</w:t>
      </w:r>
    </w:p>
    <w:p>
      <w:pPr>
        <w:ind w:left="1020" w:right="44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U.S. and global economic conditions may pose challenges to our business strategy, which relies on funding from the financial markets or collaborators;</w:t>
      </w:r>
    </w:p>
    <w:p>
      <w:pPr>
        <w:spacing w:after="0" w:line="1" w:lineRule="exact"/>
        <w:rPr>
          <w:rFonts w:ascii="Arial" w:cs="Arial" w:eastAsia="Arial" w:hAnsi="Arial"/>
          <w:sz w:val="18"/>
          <w:szCs w:val="18"/>
          <w:color w:val="auto"/>
        </w:rPr>
      </w:pPr>
    </w:p>
    <w:p>
      <w:pPr>
        <w:ind w:left="1020" w:right="28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Laws, rules and regulations relating to public companies may be costly and impact our ability to attract and retain directors and executive officers;</w:t>
      </w:r>
    </w:p>
    <w:p>
      <w:pPr>
        <w:spacing w:after="0" w:line="1" w:lineRule="exact"/>
        <w:rPr>
          <w:rFonts w:ascii="Arial" w:cs="Arial" w:eastAsia="Arial" w:hAnsi="Arial"/>
          <w:sz w:val="18"/>
          <w:szCs w:val="18"/>
          <w:color w:val="auto"/>
        </w:rPr>
      </w:pPr>
    </w:p>
    <w:p>
      <w:pPr>
        <w:ind w:left="1020" w:right="140" w:hanging="503"/>
        <w:spacing w:after="0" w:line="264"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identified a material weakness in our internal control over financial reporting and determined that our disclosure controls and procedures were ineffective as of June 30, 2021, as a result of the restatement of our financial statements as of and for the years ended June 30, 2021 and 2020. Relevant unaudited interim financial information for each of the quarterly periods ended September 30, 2020 through December 31, 2021 have also been restated. In the future, we may identify additional material weaknesses or otherwise fail to maintain an effective system of internal control over financial reporting or adequate disclosure controls and procedures, which may result in material errors of our financial statements or cause us to fail to meet our periodic reporting obligations.</w:t>
      </w: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not in compliance with the Nasdaq continued listing requirements. If we are unable to comply with the continued listing requirements of the Nasdaq Capital Market, our common stock could be delisted, which could affect our common stock's market price and liquidity and reduce our ability to raise capital;</w:t>
      </w:r>
    </w:p>
    <w:p>
      <w:pPr>
        <w:spacing w:after="0" w:line="2" w:lineRule="exact"/>
        <w:rPr>
          <w:rFonts w:ascii="Arial" w:cs="Arial" w:eastAsia="Arial" w:hAnsi="Arial"/>
          <w:sz w:val="18"/>
          <w:szCs w:val="18"/>
          <w:color w:val="auto"/>
        </w:rPr>
      </w:pPr>
    </w:p>
    <w:p>
      <w:pPr>
        <w:ind w:left="1020" w:right="24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Security breaches and other disruptions could compromise our information and expose us to liability, which would cause our business and reputation to suffer;</w:t>
      </w:r>
    </w:p>
    <w:p>
      <w:pPr>
        <w:spacing w:after="0" w:line="1" w:lineRule="exact"/>
        <w:rPr>
          <w:rFonts w:ascii="Arial" w:cs="Arial" w:eastAsia="Arial" w:hAnsi="Arial"/>
          <w:sz w:val="18"/>
          <w:szCs w:val="18"/>
          <w:color w:val="auto"/>
        </w:rPr>
      </w:pPr>
    </w:p>
    <w:p>
      <w:pPr>
        <w:ind w:left="1020" w:right="8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comply with environmental, health and safety laws and regulations, we could become subject to fines or penalties or incur costs that could harm our business;</w:t>
      </w:r>
    </w:p>
    <w:p>
      <w:pPr>
        <w:spacing w:after="0" w:line="1" w:lineRule="exact"/>
        <w:rPr>
          <w:rFonts w:ascii="Arial" w:cs="Arial" w:eastAsia="Arial" w:hAnsi="Arial"/>
          <w:sz w:val="18"/>
          <w:szCs w:val="18"/>
          <w:color w:val="auto"/>
        </w:rPr>
      </w:pPr>
    </w:p>
    <w:p>
      <w:pPr>
        <w:ind w:left="1020" w:right="58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or the third parties upon whom we depend may be adversely affected by natural disasters and our business continuity and disaster recovery plans may not adequately protect us from a serious disaster;</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on the deductibility of net operating losses could adversely affect our business and financial condition;</w:t>
      </w:r>
    </w:p>
    <w:p>
      <w:pPr>
        <w:ind w:left="1020" w:right="8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trading price of the shares of our common stock has been and may continue to be highly volatile and could decline in value and we may incur significant costs from class action litigation;</w:t>
      </w:r>
    </w:p>
    <w:p>
      <w:pPr>
        <w:spacing w:after="0" w:line="1" w:lineRule="exact"/>
        <w:rPr>
          <w:rFonts w:ascii="Arial" w:cs="Arial" w:eastAsia="Arial" w:hAnsi="Arial"/>
          <w:sz w:val="18"/>
          <w:szCs w:val="18"/>
          <w:color w:val="auto"/>
        </w:rPr>
      </w:pPr>
    </w:p>
    <w:p>
      <w:pPr>
        <w:ind w:left="1020" w:right="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sales of our common stock, including common stock issued upon exercise of outstanding warrants or options, may depress the market price of our common stock and cause stockholders to experience dilution;</w:t>
      </w:r>
    </w:p>
    <w:p>
      <w:pPr>
        <w:spacing w:after="0" w:line="1" w:lineRule="exact"/>
        <w:rPr>
          <w:rFonts w:ascii="Arial" w:cs="Arial" w:eastAsia="Arial" w:hAnsi="Arial"/>
          <w:sz w:val="18"/>
          <w:szCs w:val="18"/>
          <w:color w:val="auto"/>
        </w:rPr>
      </w:pPr>
    </w:p>
    <w:p>
      <w:pPr>
        <w:ind w:left="1020" w:right="100" w:hanging="503"/>
        <w:spacing w:after="0" w:line="24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we do not intend to pay, and have not paid, any cash dividends on our shares of common stock, our stockholders will not be able to receive a return on their shares unless the value of our common stock appreciates and they sell their shares;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have broad discretion over the use of the net proceeds from any exercise of outstanding warrants and options;</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authorized to issue blank check preferred stock, which could adversely affect the holders of our common stock;</w:t>
      </w:r>
    </w:p>
    <w:p>
      <w:pPr>
        <w:ind w:left="1020" w:right="180" w:hanging="503"/>
        <w:spacing w:after="0" w:line="23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Anti-takeover provisions contained in our amended and restated certificate of incorporation and third amended and restated bylaws, as well as provisions of Delaware law, could impair a takeover attempt;</w:t>
      </w:r>
    </w:p>
    <w:p>
      <w:pPr>
        <w:spacing w:after="0" w:line="1" w:lineRule="exact"/>
        <w:rPr>
          <w:rFonts w:ascii="Arial" w:cs="Arial" w:eastAsia="Arial" w:hAnsi="Arial"/>
          <w:sz w:val="18"/>
          <w:szCs w:val="18"/>
          <w:color w:val="auto"/>
        </w:rPr>
      </w:pPr>
    </w:p>
    <w:p>
      <w:pPr>
        <w:ind w:left="1020" w:right="100" w:hanging="503"/>
        <w:spacing w:after="0" w:line="23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third amended and restated bylaws require,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 and</w:t>
      </w:r>
    </w:p>
    <w:p>
      <w:pPr>
        <w:spacing w:after="0" w:line="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executive officers and directors may sell shares of their stock, and these sales could adversely affect our stock price.</w:t>
      </w:r>
    </w:p>
    <w:p>
      <w:pPr>
        <w:spacing w:after="0" w:line="88"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These risks are not exhaustive. Other sections of this report and our other filings with the SEC include additional factors which could adversely impact our business and financial performance. Moreover, we operate in a very competitive and rapidly changing environment. There is substantial uncertainty regarding the impact of the COVID-19 on our business, industry, global economic conditions and government policy. 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w:t>
      </w:r>
    </w:p>
    <w:p>
      <w:pPr>
        <w:spacing w:after="0" w:line="5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Past performance may not be an indicator of future results. The following discussion is qualified in its entirety by, and should be read in conjunction with, the more detailed information set forth in the financial statements and the notes thereto appearing elsewhere in this Quarterly Report on Form 10-Q and the audited financial statements and notes thereto included in our 2021 Amended Annual Report on Form 10-K/A, as filed with the SEC on May 23, 2022. Operating results are not necessarily indicative of results that may occur in future periods.</w:t>
      </w:r>
    </w:p>
    <w:p>
      <w:pPr>
        <w:spacing w:after="0" w:line="72" w:lineRule="exact"/>
        <w:rPr>
          <w:sz w:val="20"/>
          <w:szCs w:val="20"/>
          <w:color w:val="auto"/>
        </w:rPr>
      </w:pPr>
    </w:p>
    <w:p>
      <w:pPr>
        <w:ind w:right="820" w:firstLine="509"/>
        <w:spacing w:after="0" w:line="291" w:lineRule="auto"/>
        <w:rPr>
          <w:sz w:val="20"/>
          <w:szCs w:val="20"/>
          <w:color w:val="auto"/>
        </w:rPr>
      </w:pPr>
      <w:r>
        <w:rPr>
          <w:rFonts w:ascii="Arial" w:cs="Arial" w:eastAsia="Arial" w:hAnsi="Arial"/>
          <w:sz w:val="17"/>
          <w:szCs w:val="17"/>
          <w:color w:val="auto"/>
        </w:rPr>
        <w:t>The following information has been adjusted to reflect the restatement of our financial statements as described in Note 1, "Restatement of Previously Issued Financial Statements," in the Notes to Condensed Financial Statements of this Quarterly Report.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108" w:lineRule="exact"/>
        <w:rPr>
          <w:sz w:val="20"/>
          <w:szCs w:val="20"/>
          <w:color w:val="auto"/>
        </w:rPr>
      </w:pPr>
    </w:p>
    <w:p>
      <w:pPr>
        <w:jc w:val="both"/>
        <w:ind w:right="220" w:firstLine="509"/>
        <w:spacing w:after="0" w:line="243" w:lineRule="auto"/>
        <w:rPr>
          <w:sz w:val="20"/>
          <w:szCs w:val="20"/>
          <w:color w:val="auto"/>
        </w:rPr>
      </w:pPr>
      <w:r>
        <w:rPr>
          <w:rFonts w:ascii="Arial" w:cs="Arial" w:eastAsia="Arial" w:hAnsi="Arial"/>
          <w:sz w:val="18"/>
          <w:szCs w:val="18"/>
          <w:color w:val="auto"/>
        </w:rPr>
        <w:t>We are a late-stage pharmaceutical company committed to the development and commercialization of novel cancer therapies intended to improve outcomes for patients. Our portfolio of drug candidates has three clinical-stage assets, including zandelisib, currently in multiple ongoing clinical studies intended to support marketing applications with the U.S. Food and Drug Administration (“FDA”) and other regulatory authorities globally. Our common stock is listed on the Nasdaq Capital Market under the symbol “MEIP.”</w:t>
      </w:r>
    </w:p>
    <w:p>
      <w:pPr>
        <w:spacing w:after="0" w:line="80" w:lineRule="exact"/>
        <w:rPr>
          <w:sz w:val="20"/>
          <w:szCs w:val="20"/>
          <w:color w:val="auto"/>
        </w:rPr>
      </w:pPr>
    </w:p>
    <w:p>
      <w:pPr>
        <w:ind w:right="860" w:firstLine="509"/>
        <w:spacing w:after="0" w:line="261" w:lineRule="auto"/>
        <w:rPr>
          <w:sz w:val="20"/>
          <w:szCs w:val="20"/>
          <w:color w:val="auto"/>
        </w:rPr>
      </w:pPr>
      <w:r>
        <w:rPr>
          <w:rFonts w:ascii="Arial" w:cs="Arial" w:eastAsia="Arial" w:hAnsi="Arial"/>
          <w:sz w:val="18"/>
          <w:szCs w:val="18"/>
          <w:color w:val="auto"/>
        </w:rPr>
        <w:t>Our approach to building our pipeline is to license or acquire promising cancer agents and build value in programs through development, commercialization and strategic partnerships, as appropriate.</w:t>
      </w:r>
    </w:p>
    <w:p>
      <w:pPr>
        <w:spacing w:after="0" w:line="63" w:lineRule="exact"/>
        <w:rPr>
          <w:sz w:val="20"/>
          <w:szCs w:val="20"/>
          <w:color w:val="auto"/>
        </w:rPr>
      </w:pPr>
    </w:p>
    <w:p>
      <w:pPr>
        <w:ind w:right="300" w:firstLine="509"/>
        <w:spacing w:after="0" w:line="243" w:lineRule="auto"/>
        <w:rPr>
          <w:sz w:val="20"/>
          <w:szCs w:val="20"/>
          <w:color w:val="auto"/>
        </w:rPr>
      </w:pPr>
      <w:r>
        <w:rPr>
          <w:rFonts w:ascii="Arial" w:cs="Arial" w:eastAsia="Arial" w:hAnsi="Arial"/>
          <w:sz w:val="18"/>
          <w:szCs w:val="18"/>
          <w:color w:val="auto"/>
        </w:rPr>
        <w:t>As a result of the ongoing COVID-19 pandemic, various public health orders and guidance measures have been implemented across much of the United States, and across the globe, including in the locations of our office, clinical trial sites, key vendors and partners. The COVID-19 virus may continue to mutate into different strains, which could be more contagious or severe or for which current vaccines and treatments are not effective or available.</w:t>
      </w:r>
    </w:p>
    <w:p>
      <w:pPr>
        <w:spacing w:after="0" w:line="80"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While we continue to enroll and dose patients in our clinical trials, certain of our clinical trials evaluating zandelisib and voruciclib have been delayed due to COVID-19, and our clinical development program timelines may continue to be subject to potential negative impacts from the ongoing pandemic in the U.S. and globally. The extent to which the ongoing pandemic continues to impact our business, including our preclinical studies, chemistry, manufacturing and controls (“CMC”) studies, manufacturing, and clinical trials, will depend on future developments, which are highly uncertain and cannot be predicted with confidence including the fluctuating geographic distribution of the disease, the duration of the pandemic, the development, effectiveness and timing of distribution of treatments and vaccines for COVID-19, travel restrictions and social distancing in other countries, business closures or business disruptions and the effectiveness of actions taken in the United States and other countries to contain and treat the disease and to minimize its economic impact, including vaccination rates and effectiveness. See the section entitled "</w:t>
      </w:r>
      <w:r>
        <w:rPr>
          <w:rFonts w:ascii="Arial" w:cs="Arial" w:eastAsia="Arial" w:hAnsi="Arial"/>
          <w:sz w:val="18"/>
          <w:szCs w:val="18"/>
          <w:i w:val="1"/>
          <w:iCs w:val="1"/>
          <w:color w:val="auto"/>
        </w:rPr>
        <w:t>Results of Operations - Contractual Obligations -</w:t>
      </w:r>
      <w:r>
        <w:rPr>
          <w:rFonts w:ascii="Arial" w:cs="Arial" w:eastAsia="Arial" w:hAnsi="Arial"/>
          <w:sz w:val="18"/>
          <w:szCs w:val="18"/>
          <w:color w:val="auto"/>
        </w:rPr>
        <w:t xml:space="preserve"> </w:t>
      </w:r>
      <w:r>
        <w:rPr>
          <w:rFonts w:ascii="Arial" w:cs="Arial" w:eastAsia="Arial" w:hAnsi="Arial"/>
          <w:sz w:val="18"/>
          <w:szCs w:val="18"/>
          <w:i w:val="1"/>
          <w:iCs w:val="1"/>
          <w:color w:val="auto"/>
        </w:rPr>
        <w:t>COVID-19</w:t>
      </w:r>
      <w:r>
        <w:rPr>
          <w:rFonts w:ascii="Arial" w:cs="Arial" w:eastAsia="Arial" w:hAnsi="Arial"/>
          <w:sz w:val="18"/>
          <w:szCs w:val="18"/>
          <w:color w:val="auto"/>
        </w:rPr>
        <w:t>."</w:t>
      </w:r>
    </w:p>
    <w:p>
      <w:pPr>
        <w:spacing w:after="0" w:line="83"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As a result of the ongoing military conflict between Russia and Ukraine, our planned sites in Ukraine and Russia for the COASTAL trial have been suspended and no enrollment is planned in these two countries. Study sites in Ukraine and Russia will need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to be moved elsewhere. Failure to find a replacement for those sites could have a detrimental effect on recruitment timelines. It is possible this conflict may further impact enrollment at study sites in neighboring countries (e.g. Poland, Georgia, and Hungary).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108" w:lineRule="exact"/>
        <w:rPr>
          <w:sz w:val="20"/>
          <w:szCs w:val="20"/>
          <w:color w:val="auto"/>
        </w:rPr>
      </w:pPr>
    </w:p>
    <w:p>
      <w:pPr>
        <w:ind w:right="200" w:firstLine="509"/>
        <w:spacing w:after="0" w:line="294" w:lineRule="auto"/>
        <w:rPr>
          <w:sz w:val="20"/>
          <w:szCs w:val="20"/>
          <w:color w:val="auto"/>
        </w:rPr>
      </w:pPr>
      <w:r>
        <w:rPr>
          <w:rFonts w:ascii="Arial" w:cs="Arial" w:eastAsia="Arial" w:hAnsi="Arial"/>
          <w:sz w:val="16"/>
          <w:szCs w:val="16"/>
          <w:color w:val="auto"/>
        </w:rPr>
        <w:t>We build our pipeline by licensing or acquiring promising cancer agents and creating value in programs through development, commercialization and strategic partnerships, as appropriate. Our objective is to leverage the mechanisms and properties of our pipeline drug candidates to optimize the balance between efficacy and tolerability to meet the needs of patients with cancer. Our drug candidate pipeline includes:</w:t>
      </w:r>
    </w:p>
    <w:p>
      <w:pPr>
        <w:spacing w:after="0" w:line="39"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Zandelisib, an oral phosphatidylinositol 3-kinase (“PI3K”) delta inhibitor;</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Voruciclib, an oral cyclin-dependent kinase 9 (“CDK9”) inhibitor; and</w:t>
      </w: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ME-344, a mitochondrial inhibitor targeting the oxidative phosphorylation (“OXPHOS”) complex.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6172200" cy="29832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7220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20" w:right="860" w:hanging="503"/>
        <w:spacing w:after="0" w:line="25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Study evaluating patients with Indolent B-cell non-Hodgkin's lymphoma (iB-NHL) without small lymphocytic lymphoma (SLL), lymphoplasmacytic lymphoma (LPL), and Waldenström's macroglobulinemia (WM) conducted by Kyowa Kirin.</w:t>
      </w:r>
    </w:p>
    <w:p>
      <w:pPr>
        <w:ind w:left="1020" w:hanging="503"/>
        <w:spacing w:after="0" w:line="234"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Study arm initiated under clinical collaboration with BeiGene, Ltd.</w:t>
      </w:r>
    </w:p>
    <w:p>
      <w:pPr>
        <w:ind w:left="1020" w:hanging="503"/>
        <w:spacing w:after="0" w:line="234"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Investigator-initiated trial.</w:t>
      </w: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Initiation of clinical studies is subject to opening of a new Investigational New Drug Application with FDA</w:t>
      </w:r>
    </w:p>
    <w:p>
      <w:pPr>
        <w:spacing w:after="0" w:line="196"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i w:val="1"/>
          <w:iCs w:val="1"/>
          <w:u w:val="single" w:color="auto"/>
          <w:color w:val="auto"/>
        </w:rPr>
        <w:t>Zandelisib: PI3Kδ Inhibitor in Multiple Trials Intended to Support Marketing Approvals in Relapsed or Refractory Follicular and Marginal Zone Lymphomas</w:t>
      </w:r>
    </w:p>
    <w:p>
      <w:pPr>
        <w:spacing w:after="0" w:line="6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Zandelisib is an oral, once-daily, selective PI3Kδ inhibitor in clinical development for the treatment of B-cell malignancies. Clinical studies are focused on the time-limited, intermittent dosing, of zandelisib in patients with relapsed or refractory (“r/r”) indolent non-Hodgkin lymphomas and chronic lymphocytic leukemia ("CLL"). “Time-limited” therapy is treatment which is to be administered for a fixed period of time and not based on an event like disease progression.</w:t>
      </w:r>
    </w:p>
    <w:p>
      <w:pPr>
        <w:spacing w:after="0" w:line="80"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 March 2020, the FDA granted zandelisib Fast Track designation for the treatment of adult patients with r/r follicular lymphoma (“FL”) who have received at least two prior systemic therapies. In November 2021 the FDA granted orphan-drug designation to zandelisib for the treatment of follicular lymphoma. In April 2020, we entered a global license, development and commercialization agreement to further develop and commercialize zandelisib with Kyowa Kirin Co., Ltd. (“KKC”). MEI and KKC will co-develop and co-promote zandelisib in the U.S., with MEI recording all revenue from U.S. sales. KKC has exclusive commercialization rights outside of the U.S.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0"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are conducting multiple ongoing studies evaluating zandelisib. Our studies include TIDAL, a Phase 2 study evaluating zandelisib as a monotherapy in patients with r/r FL and marginal zone lymphoma (“MZL”) patients who have received at least two prior lines of treatment. Enrollment in the FL cohort of the study is complete. Enrollment of the MZL cohort remains ongoing. In November 2021 TIDAL data was first reported for the cohort of patients with FL, including an overall response rate of 70.3% in the primary efficacy population as determined by Independent Review Committee assessment in the primary efficacy population of 91 patients; the complete response rate was 35.2%. It was also reported that zandelisib was generally well tolerated in the TIDAL study; with 9.4 months (range: 0.8-24) median duration of follow-up in the total study population of 121 patients with FL, interim data demonstrated a discontinuation rate due to any drug related adverse event of 9.9%. Patients enrolled in the study continue to be followed for safety as well as duration of response.</w:t>
      </w:r>
    </w:p>
    <w:p>
      <w:pPr>
        <w:spacing w:after="0" w:line="86"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On March 24, 2022, we reported that the FDA recently informed us of its position that a randomized trial is now needed to adequately assess drug efficacy and safety of PI3K inhibitor drug candidates, including zandelisib. Based on this view, the agency discouraged a planned filing based on the Phase 2 TIDAL study data and emphasized that the companies continue efforts with the ongoing, randomized Phase 3 COASTAL study as planned. On April 21, 2022, FDA’s Oncology Drugs Advisory Committee concluded that companies developing PI3K-delta inhibitors for hematologic malignancies should conduct randomized trials, not single arm studies, to support approval. Accordingly, in line with the FDA’s recommendation, we no longer plan to submit an FDA marketing application based on the single arm Phase 2 TIDAL study. In addition, while the FDA stated that safety on the 60 mg intermittent schedule appears reasonable, it recommended continued dose exploration to further support the current dose and regimen.</w:t>
      </w:r>
    </w:p>
    <w:p>
      <w:pPr>
        <w:spacing w:after="0" w:line="55"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COASTAL is an ongoing Phase 3 study evaluating the intermittent dosing and time-limited therapy of zandelisib in combination with rituximab in patients with r/r FL and MZL who have received at least one prior line of treatment. COASTAL is intended to support full marketing applications in the U.S. and globally in r/r FL and MZL patients receiving at least one prior line of treatment.</w:t>
      </w:r>
    </w:p>
    <w:p>
      <w:pPr>
        <w:spacing w:after="0" w:line="74" w:lineRule="exact"/>
        <w:rPr>
          <w:sz w:val="20"/>
          <w:szCs w:val="20"/>
          <w:color w:val="auto"/>
        </w:rPr>
      </w:pPr>
    </w:p>
    <w:p>
      <w:pPr>
        <w:ind w:right="300" w:firstLine="509"/>
        <w:spacing w:after="0" w:line="243" w:lineRule="auto"/>
        <w:rPr>
          <w:sz w:val="20"/>
          <w:szCs w:val="20"/>
          <w:color w:val="auto"/>
        </w:rPr>
      </w:pPr>
      <w:r>
        <w:rPr>
          <w:rFonts w:ascii="Arial" w:cs="Arial" w:eastAsia="Arial" w:hAnsi="Arial"/>
          <w:sz w:val="18"/>
          <w:szCs w:val="18"/>
          <w:color w:val="auto"/>
        </w:rPr>
        <w:t>We are also conducting a multi-arm, open-label, Phase 1b dose finding and expansion trial evaluating zandelisib as a monotherapy and in combination with other therapies in patients with relapsed or refractory B-cell malignancies. Other initiated studies include Phase 1 and Phase 2 studies being conducted by KKC evaluating zandelisib as a monotherapy in patients in Japan with indolent B-cell malignancies pursuant to our agreement with KKC.</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Zandelisib: Potentially Highly Differentiated Pharmaceutical Properties within a Clinically Validated Class of Treatments</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While PI3Kδ inhibitors as a group are a clinically validated class for the treatment of B-cell malignancies, earlier entrants to the class have been challenged by toxicities, modest efficacy and/or inconvenience of administration route. We believe this provides an opportunity for the development of a next-generation candidate with pharmaceutical properties that may realize the therapeutic potential of PI3Kδ inhibition by limiting toxicities and improving upon modest efficacy, which together hinder clinical utility.</w:t>
      </w:r>
    </w:p>
    <w:p>
      <w:pPr>
        <w:spacing w:after="0" w:line="80" w:lineRule="exact"/>
        <w:rPr>
          <w:sz w:val="20"/>
          <w:szCs w:val="20"/>
          <w:color w:val="auto"/>
        </w:rPr>
      </w:pPr>
    </w:p>
    <w:p>
      <w:pPr>
        <w:ind w:right="80" w:firstLine="509"/>
        <w:spacing w:after="0" w:line="272" w:lineRule="auto"/>
        <w:rPr>
          <w:sz w:val="20"/>
          <w:szCs w:val="20"/>
          <w:color w:val="auto"/>
        </w:rPr>
      </w:pPr>
      <w:r>
        <w:rPr>
          <w:rFonts w:ascii="Arial" w:cs="Arial" w:eastAsia="Arial" w:hAnsi="Arial"/>
          <w:sz w:val="16"/>
          <w:szCs w:val="16"/>
          <w:color w:val="auto"/>
        </w:rPr>
        <w:t>The molecular structure and pharmacodynamic characteristics of zandelisib are distinct from the FDA approved PI3Kδ inhibitors. Clinical and preclinical data demonstrate that zandelisib’s distinct characteristics include prolonged target binding, preferential cellular accumulation, high volume of distribution throughout the body tissues, and an approximately 28-hour half-life suitable for once daily oral administration. The properties of zandelisib support the evaluation of an innovative dosing ("ID") regimen. The ID regimen consists of daily dosing only in the first seven days of each 28-day dosing cycle. The unique zandelisib ID regimen is hypothesized to allow for the recovery of regulatory T cells, which in turn may lead to fewer and/or less severe immune-related adverse events. This may provide long-term disease control through maintenance therapy, without the need for dose reductions or premature discontinuations. Clinical evaluation of the ID regimen to date has demonstrated the potential to maintain clinical benefit while minimizing immune-related toxicities common to other PI3Kδ agents, either as a monotherapy or in combination with other therapies.</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KKC License, Development and Commercialization Agreement</w:t>
      </w:r>
    </w:p>
    <w:p>
      <w:pPr>
        <w:spacing w:after="0" w:line="104"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In April 2020, we entered into a License, Development and Commercialization Agreement with KKC (the “KKC Commercialization Agreement”). We granted to KKC a co-exclusive, sublicensable, payment-bearing license under certain patents and know-how controlled by us to develop and commercialize zandelisib and any pharmaceutical product containing zandelisib for all human indications in the U.S., and an exclusive (subject to certain retained rights to perform obligations under the agreement), sublicensable, payment-bearing, license under certain patents and know-how controlled by us to develop and commercialize zandelisib and any pharmaceutical product containing zandelisib for all human indications in countries outside of the United States (the “Ex-U.S”). KKC grants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The KKC Commercialization Agreement substantially retains and consolidates the terms of the 2018 license agreement with KKC to develop and commercialize zandelisib in Japan.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0"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KKC will be responsible for the development and commercialization of zandelisib in the Ex-U.S. and, subject to certain exceptions, will be solely responsible for all costs related thereto. We will co-develop and co-promote zandelisib with KKC in the U.S., with the Company recording all revenue from U.S. sales. We will share U.S. profits and costs (including development costs) on a 50-50 basis with KKC. We will also provide to KKC certain drug supplies necessary for the development and commercialization of zandelisib in the Ex-U.S. pursuant to supply agreements to be entered into on customary terms, with the understanding that KKC will assume responsibility for manufacturing for the Ex-U.S. as soon as practicable.</w:t>
      </w:r>
    </w:p>
    <w:p>
      <w:pPr>
        <w:spacing w:after="0" w:line="6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Under the terms of the KKC Commercialization Agreement, KKC paid us an initial payment of $100 million. We may also earn up to approximately $582.5 million in potential development, regulatory and commercialization milestone payments, plus royalties on net sales of zandelisib in the Ex-U.S., which are tiered beginning in the teens. During the nine months ended March 31, 2022, two $10 million milestones were earned in connection with the initiation of the Phase 3 COASTAL study.</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Zandelisib Scientific Overview: at the Crossroads of B-cell Signaling Pathways</w:t>
      </w:r>
    </w:p>
    <w:p>
      <w:pPr>
        <w:spacing w:after="0" w:line="104"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The PI3K/AKT/mTOR pathway is an important signaling pathway for many cellular functions such as cell survival, cell cycle progression and cellular growth. PI3Ks are a family of enzymes within this pathway that have been shown to play a critical role in the proliferation and survival of certain cancer cells.</w:t>
      </w:r>
    </w:p>
    <w:p>
      <w:pPr>
        <w:spacing w:after="0" w:line="7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There are several isoforms of PI3K that are expressed in different types of cells. The PI3Kδ isoform is at the crossroads of B-cell receptor signaling pathways that are major drivers of survival and proliferation of many B-cell malignancies. Because the δ isoform is often overexpressed in cancer cells of the B-lymphocyte lineage, such as B-cell leukemias and lymphomas, it is understood to be important for survival of these cells. Zandelisib displays high selectivity for the PI3K delta isoform and functions to inhibit its activity.</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Program Overview</w:t>
      </w:r>
    </w:p>
    <w:p>
      <w:pPr>
        <w:spacing w:after="0" w:line="10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are conducting multiple ongoing studies evaluating zandelisib including TIDAL, a global Phase 2 trial evaluating patients with r/r FL and MZL with at least two prior of lines of therapy, and COASTAL, a global Phase 3 study evaluating patients with r/r FL and MZL with at least one prior line of therapy that is intended to support full marketing authorization with the FDA as well as regulatory authorities globally. Clinical evaluation is focused on the intermittent dosing of zandelisib as part of time-limited therapy.</w:t>
      </w:r>
    </w:p>
    <w:p>
      <w:pPr>
        <w:spacing w:after="0" w:line="80"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Additionally, we are conducting a multi-arm, open-label, Phase 1b dose escalation and expansion trial as a monotherapy and in combination with rituximab or zanubrutinib in patients with FL and other B-cell malignancies. The Phase 1b trial continues enrollment in the study arm exploring zandelisib in combination with zanubrutinib (marketed as BRUKINSA®), an inhibitor of Bruton’s tyrosine kinase developed by BeiGene, Ltd. (“BeiGene”). This study arm completed the safety evaluation stage in patients with B-cell malignancies and has expanded into disease specific B-cell malignancy cohorts. The evaluation of zandelisib in combination with zanubrutinib is conducted under a collaboration established with BeiGene in October 2018, pursuant to which the cost of the combination trial is being equally shared, and each company is supplying its own investigational agent. We retain all commercial rights to zandelisib (subject to the KKC Commercialization Agreement) and BeiGene retains all commercial rights to zanubrutinib.</w:t>
      </w:r>
    </w:p>
    <w:p>
      <w:pPr>
        <w:spacing w:after="0" w:line="55"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Ongoing clinical trials also include Phase 1 and Phase 2 studies conducted by KKC evaluating zandelisib as a monotherapy in patients in Japan with indolent B-cell malignancies. The Phase 2 study is intended to support marketing authorization in Japan.</w:t>
      </w:r>
    </w:p>
    <w:p>
      <w:pPr>
        <w:spacing w:after="0" w:line="6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In addition to other planned clinical studies sponsored by us, such as initiation of the Phase 2 CORAL study evaluating zandelisib in combination with venetoclax plus rituximab in patients with CLL in the first half of calendar year 2022, we also plan to support select investigator-initiated studies, including one being conducted at the Cleveland Clinic evaluating zandelisib combined with standard of care in patients with newly diagnosed diffuse large B-cell lymphoma (“DLBCL”).</w:t>
      </w:r>
    </w:p>
    <w:p>
      <w:pPr>
        <w:spacing w:after="0" w:line="80"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All ongoing studies, as well as planned studies, utilize zandelisib’s unique ID regimen intended to optimize zandelisib’s therapeutic profile and also support its potential as a backbone for combination approaches with other modalities in the treatment of B-cell malignances.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1b Multi-arm Trial</w:t>
      </w:r>
    </w:p>
    <w:p>
      <w:pPr>
        <w:spacing w:after="0" w:line="104" w:lineRule="exact"/>
        <w:rPr>
          <w:sz w:val="20"/>
          <w:szCs w:val="20"/>
          <w:color w:val="auto"/>
        </w:rPr>
      </w:pPr>
    </w:p>
    <w:p>
      <w:pPr>
        <w:ind w:right="380" w:firstLine="509"/>
        <w:spacing w:after="0" w:line="248" w:lineRule="auto"/>
        <w:rPr>
          <w:sz w:val="20"/>
          <w:szCs w:val="20"/>
          <w:color w:val="auto"/>
        </w:rPr>
      </w:pPr>
      <w:r>
        <w:rPr>
          <w:rFonts w:ascii="Arial" w:cs="Arial" w:eastAsia="Arial" w:hAnsi="Arial"/>
          <w:sz w:val="18"/>
          <w:szCs w:val="18"/>
          <w:color w:val="auto"/>
        </w:rPr>
        <w:t>In May 2022, updated data from the Phase 1b clinical trial evaluating zandelisib as a monotherapy and in combination with rituximab or zanubrutinib in patients with r/r FL was published in an abstract selected to be featured in a poster discussion at the European Hematology Association ("EHA") 2022 Congress to be held in June 2022.</w:t>
      </w:r>
    </w:p>
    <w:p>
      <w:pPr>
        <w:spacing w:after="0" w:line="7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abstract reports data from the evaluation of zandelisib in 69 patients with follicular lymphoma. In the 69 patients, zandelisib was administered at 60 mg daily for two 28-day cycles then on the ID regimen of 60 mg daily on days 1-7 of a 28-day cycle as a single agent (Group 1, n=18) or in combination with rituximab (Group 2, n=19). Group 3 (n=32) evaluated zandelisib 60 mg on ID regimen from cycle 1 and zanubrutinib 80 mg twice daily. Patients were generally heavily pretreated and had a median follow-up of 10.8 months (range 1.8-49.5).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0" w:lineRule="exact"/>
        <w:rPr>
          <w:sz w:val="20"/>
          <w:szCs w:val="20"/>
          <w:color w:val="auto"/>
        </w:rPr>
      </w:pPr>
    </w:p>
    <w:p>
      <w:pPr>
        <w:jc w:val="both"/>
        <w:ind w:right="180" w:firstLine="509"/>
        <w:spacing w:after="0" w:line="270" w:lineRule="auto"/>
        <w:rPr>
          <w:sz w:val="20"/>
          <w:szCs w:val="20"/>
          <w:color w:val="auto"/>
        </w:rPr>
      </w:pPr>
      <w:r>
        <w:rPr>
          <w:rFonts w:ascii="Arial" w:cs="Arial" w:eastAsia="Arial" w:hAnsi="Arial"/>
          <w:sz w:val="17"/>
          <w:szCs w:val="17"/>
          <w:color w:val="auto"/>
        </w:rPr>
        <w:t>The overall response rate in 65 evaluable pts was 84.6% (55/65) and the complete response rate was 24.6% (16/65). The overall response rate was 77.8% (14/18) in Group 1, 94.7% (18/19) in Group 2, and 82.1% (23/28) in Group 3. The median duration of response was 31.1 months in Group 1, 25.8 months in Group 2, and not yet mature in Group 3, with median drug exposure of 17.1, 20.5, and 7.1 months, respectively.</w:t>
      </w:r>
    </w:p>
    <w:p>
      <w:pPr>
        <w:spacing w:after="0" w:line="56"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Six patients (8.7%) discontinued therapy due to an adverse event. Grade 3 adverse events of special interest were rash in 6 patients (8.7%), ALT increased in 6 (8.7%), diarrhea in 3 (4.3%), colitis in 2 (2.9%), and AST increased in 3 (4.3%). No grade 4-5 adverse events of special interest were reported. One patient in Group 3 had reversible grade 4 drug rash with eosinophilia and systemic symptoms ("DRESS") syndrome. Grade 3-4 neutropenia was observed in 11 patients (16%).</w:t>
      </w:r>
    </w:p>
    <w:p>
      <w:pPr>
        <w:spacing w:after="0" w:line="80" w:lineRule="exact"/>
        <w:rPr>
          <w:sz w:val="20"/>
          <w:szCs w:val="20"/>
          <w:color w:val="auto"/>
        </w:rPr>
      </w:pPr>
    </w:p>
    <w:p>
      <w:pPr>
        <w:ind w:right="860" w:firstLine="509"/>
        <w:spacing w:after="0" w:line="261" w:lineRule="auto"/>
        <w:rPr>
          <w:sz w:val="20"/>
          <w:szCs w:val="20"/>
          <w:color w:val="auto"/>
        </w:rPr>
      </w:pPr>
      <w:r>
        <w:rPr>
          <w:rFonts w:ascii="Arial" w:cs="Arial" w:eastAsia="Arial" w:hAnsi="Arial"/>
          <w:sz w:val="18"/>
          <w:szCs w:val="18"/>
          <w:color w:val="auto"/>
        </w:rPr>
        <w:t>The Phase 1b study is enrolling the r/r MCL expansion cohort, and will continue to further evaluate the combination of zandelisib 60 mg administered on days 1-7 starting Cycle 1 and zanubrutinib administered at 80 mg twice daily.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TIDAL: A Phase 2 Trial Evaluating Zandelisib as a Single-Agent in Follicular and Marginal Zone Lymphoma Patients</w:t>
      </w:r>
    </w:p>
    <w:p>
      <w:pPr>
        <w:spacing w:after="0" w:line="10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TIDAL is an ongoing global Phase 2 trial evaluating the intermittent administration of zandelisib as a monotherapy across two study cohorts: the first study cohort for the treatment of adults with r/r FL and the second study cohort for r/r MZL, in both cases after failure of at least two prior systemic therapies including chemotherapy and an anti-CD20 antibody. The study is evaluating zandelisib administered once daily at 60 mg for two 28-day cycles and then on an intermittent schedule of once daily dosing for the first seven days of each subsequent 28-day cycle (i.e., IS). The primary efficacy endpoint is the rate of objective responses to therapy and other endpoints include duration of response and tolerability of zandelisib. The primary efficacy population sample size for r/r FL is 91 patients and the primary efficacy population sample size for r/r MZL is 64 patients. Total study enrollment in the FL cohort is 121 patients administered zandelisib on the ID regimen after 2 cycles (56 days) of daily dosing to provide additional safety data for the registration application. Enrollment of the FL cohort of the TIDAL study is complete.</w:t>
      </w:r>
    </w:p>
    <w:p>
      <w:pPr>
        <w:spacing w:after="0" w:line="73"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In November 2021, we first reported data from the TIDAL study. In May 2022, an update to the November 2021 TIDAL data report was published in an abstract selected to be featured in an oral presentation at the EHA 2022 Congress to be held in June 2022.</w:t>
      </w:r>
    </w:p>
    <w:p>
      <w:pPr>
        <w:spacing w:after="0" w:line="63"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EHA abstract reports that ORR was 70.3% (N=64), with 32 patients (35.2%) achieving a complete response. Responses occurred early: 85.5% (N=56) achieved a response in the first two cycles of therapy and 75% of CRs (N=24) achieved the first four cycles. Patients were generally heavily pretreated: the median number of prior therapies was three (range 2-8), 21 patients (23%) received prior stem cell transplant, 42 patients (46%) were refractory to last therapy, 31 patients (34%) had tumors ≥5 cm, and 51 patients (56%) were POD24. The data are still immature to estimate accurately the DOR.</w:t>
      </w:r>
    </w:p>
    <w:p>
      <w:pPr>
        <w:spacing w:after="0" w:line="8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With a median follow-up of 9.4 months (range 0.8-24) in the safety population of 121 pts, 12 patients (9.9%) discontinued therapy due to any drug-related AE. Grade 3 adverse events of special interest (AESI) were diarrhea in 6 patients (5%), colitis in two (1.7%), cutaneous rash in four (3.3%), stomatitis in three (2.5%), and one (0.8%) each for AST and ALT elevation, and non-infectious pneumonitis. Grade 3 AESIs primarily (15 of 18, 83%) occurred in cycles 1-3, during daily dosing, with only three cases reported on ID regimen in Cycles ≥4.</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COASTAL: A Phase 3 Trial Intended to Support Full FDA and Global Marketing Authorizations</w:t>
      </w:r>
    </w:p>
    <w:p>
      <w:pPr>
        <w:spacing w:after="0" w:line="10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COASTAL is a global, randomized, two-arm Phase 3 trial comparing the intermittent and time-limited administration of zandelisib plus rituximab to standard of care chemotherapy plus rituximab, in patients with r/r FL or MZL who received at least one prior line of therapy, which must have included an anti-CD20 antibody in combination with chemotherapy or lenalidomide. COASTAL is expected to enroll 534 patients. Zandelisib will be administered once daily for two 28-day cycles followed by an intermittent schedule of once daily dosing for seven days of each subsequent 28-day cycle for a total of 24 months, in combination with rituximab (R) in the first six months only. The control arm will consist of six cycles of the standard chemoimmunotherapy regimens R-CHOP or R-bendamustine. The primary efficacy endpoint is progression-free survival; secondary endpoints include overall response rate, overall survival, patient reported outcomes assessments, and safety and tolerability.</w:t>
      </w:r>
    </w:p>
    <w:p>
      <w:pPr>
        <w:spacing w:after="0" w:line="72"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COASTAL is intended to support full marketing applications in the U.S. and globally in r/r FL and MZL patients who have received at least one prior line of treatment.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Impact of COVID-19 on the TIDAL and COASTAL Studies</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The extent to which the COVID-19 pandemic will impact the progress of the zandelisib development program, including the enrollment and completion of the COASTAL and TIDAL studies, is subject to future developments, which are highly uncertain and cannot be predicted with confidence. Currently, we believe that the integrity of the program and individual studies remains intact; however, the pandemic did have a negative impact on the rate of enrollment in the TIDAL study. Enrollment in the FL cohort of the TIDAL study was completed in August 2021, and data was reported in November 2021; enrollment in the MZL cohort is ongoing. The COASTAL study was initiated in 2021, with the first patient enrolled in July 2021. There is a potential that the COVID-19 pandemic could have a negative impact on the execution of the COASTAL study but that is unclear at this time because of the continuing nature of the pandemic and because all planned clinical trial sites are not yet active. We will continue to closely monitor for potential negative impacts on the development program related to the ongoing COVID-19 pandemic. We will also continue efforts to be proactive in managing the impact from the pandemic, including various actions to communicate with sites and investigators, and making accommodations to patients consistent with FDA guidance and guidance from other regulatory authorities, as we may deem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Voruciclib: Potent Orally Administered CDK9 Inhibitor in Phase 1 Studies</w:t>
      </w:r>
    </w:p>
    <w:p>
      <w:pPr>
        <w:spacing w:after="0" w:line="104"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Voruciclib is a potent orally administered CDK9 inhibitor. Voruciclib is being evaluated in a Phase 1b trial evaluating dose and schedule in patients with acute myeloid leukemia (“AML”) and B-cell malignancies. Voruciclib is also being evaluated in pre-clinical studies to explore the potential synergistic activity in various solid tumor cancers of voruciclib in combination with drug-candidates that targets in the RAS signaling pathway, including KRAS.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Voruciclib Scientific Overview: Cell Cycle Signaling</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CDK9 has important functions in cell cycle regulation, including the modulation of two therapeutic targets in cancer:</w:t>
      </w:r>
    </w:p>
    <w:p>
      <w:pPr>
        <w:spacing w:after="0" w:line="104" w:lineRule="exact"/>
        <w:rPr>
          <w:sz w:val="20"/>
          <w:szCs w:val="20"/>
          <w:color w:val="auto"/>
        </w:rPr>
      </w:pPr>
    </w:p>
    <w:p>
      <w:pPr>
        <w:jc w:val="both"/>
        <w:ind w:left="1020" w:right="120" w:hanging="503"/>
        <w:spacing w:after="0" w:line="228"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CDK9 is a transcriptional regulator of the myeloid leukemia cell differentiation protein ("MCL1"), a member of the family of anti-apoptotic proteins which, when elevated, may prevent the cell from undergoing cell death. Inhibition of CDK9 blocks the production of MCL1, which is an established resistance mechanism to the B-cell lymphoma ("BCL2") inhibitor venetoclax (marketed as Venclexta</w:t>
      </w:r>
      <w:r>
        <w:rPr>
          <w:rFonts w:ascii="Arial" w:cs="Arial" w:eastAsia="Arial" w:hAnsi="Arial"/>
          <w:sz w:val="23"/>
          <w:szCs w:val="23"/>
          <w:color w:val="auto"/>
          <w:vertAlign w:val="superscript"/>
        </w:rPr>
        <w:t>®</w:t>
      </w:r>
      <w:r>
        <w:rPr>
          <w:rFonts w:ascii="Arial" w:cs="Arial" w:eastAsia="Arial" w:hAnsi="Arial"/>
          <w:sz w:val="17"/>
          <w:szCs w:val="17"/>
          <w:color w:val="auto"/>
        </w:rPr>
        <w:t>).</w:t>
      </w:r>
    </w:p>
    <w:p>
      <w:pPr>
        <w:ind w:left="1020" w:right="320" w:hanging="503"/>
        <w:spacing w:after="0" w:line="23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CDK9 is a transcriptional regulator of the MYC proto-oncogene protein ("MYC") which regulates cell proliferation and growth. Upregulation of MYC is implicated in many human cancers and is frequently associated with poor prognosis and unfavorable patient survival. CDK9, in addition to being a transcription factor for MYC, also decreases phosphorylation of MYC protein that is implicated in stabilizing MYC in KRAS mutant cancers. Targeting MYC directly has historically been difficult, but CDK9 is a promising approach to target this oncogene.</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Voruciclib: Inhibition of MCL1</w:t>
      </w:r>
    </w:p>
    <w:p>
      <w:pPr>
        <w:spacing w:after="0" w:line="104" w:lineRule="exact"/>
        <w:rPr>
          <w:sz w:val="20"/>
          <w:szCs w:val="20"/>
          <w:color w:val="auto"/>
        </w:rPr>
      </w:pPr>
    </w:p>
    <w:p>
      <w:pPr>
        <w:ind w:right="160" w:firstLine="509"/>
        <w:spacing w:after="0" w:line="294" w:lineRule="auto"/>
        <w:rPr>
          <w:sz w:val="20"/>
          <w:szCs w:val="20"/>
          <w:color w:val="auto"/>
        </w:rPr>
      </w:pPr>
      <w:r>
        <w:rPr>
          <w:rFonts w:ascii="Arial" w:cs="Arial" w:eastAsia="Arial" w:hAnsi="Arial"/>
          <w:sz w:val="16"/>
          <w:szCs w:val="16"/>
          <w:color w:val="auto"/>
        </w:rPr>
        <w:t>In pre-clinical studies voruciclib shows dose-dependent suppression of MCL1; in December 2017, a study of voruciclib published in the journal Nature Scientific Reports reported that the combination of voruciclib plus the BCL-2 inhibitor venetoclax was capable of inhibiting two master regulators of cell survival, MCL-1 and BCL-2, and achieved synergistic antitumor effect in an aggressive subset of DLBCL pre-clinical models.</w:t>
      </w:r>
    </w:p>
    <w:p>
      <w:pPr>
        <w:spacing w:after="0" w:line="3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 a peer reviewed manuscript published in 2020 by Luedtke et al, it was reported that the inhibition of CDK9 by voruciclib synergistically enhances cell death induced by the Bcl-2 selective inhibitor venetoclax in preclinical models of AML. The data demonstrated that voruciclib synergizes with venetoclax to induce apoptosis in both AML cell lines and primary patient samples. It was also demonstrated that voruciclib downregulates MCL1, which is relevant for the synergy between voruciclib and venetoclax, and further that voruciclib also downregulates MYC, which also contributes to the synergies with venetoclax.</w:t>
      </w:r>
    </w:p>
    <w:p>
      <w:pPr>
        <w:spacing w:after="0" w:line="81"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research presented suggests that voruciclib is an attractive therapeutic target for treating cancers in combination with venetoclax or other BCL-2 inhibitors, and is supportive of our ongoing clinical evaluation of voruciclib in B-cell malignancies and AML.</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Voruciclib: Inhibition of MYC</w:t>
      </w:r>
    </w:p>
    <w:p>
      <w:pPr>
        <w:spacing w:after="0" w:line="104" w:lineRule="exact"/>
        <w:rPr>
          <w:sz w:val="20"/>
          <w:szCs w:val="20"/>
          <w:color w:val="auto"/>
        </w:rPr>
      </w:pPr>
    </w:p>
    <w:p>
      <w:pPr>
        <w:jc w:val="both"/>
        <w:ind w:right="660" w:firstLine="509"/>
        <w:spacing w:after="0" w:line="248" w:lineRule="auto"/>
        <w:rPr>
          <w:sz w:val="20"/>
          <w:szCs w:val="20"/>
          <w:color w:val="auto"/>
        </w:rPr>
      </w:pPr>
      <w:r>
        <w:rPr>
          <w:rFonts w:ascii="Arial" w:cs="Arial" w:eastAsia="Arial" w:hAnsi="Arial"/>
          <w:sz w:val="18"/>
          <w:szCs w:val="18"/>
          <w:color w:val="auto"/>
        </w:rPr>
        <w:t>Many cancers are associated with overexpression of MYC, a transcription factor regulating cell proliferation and growth. CDK9 is a known regulator of MYC transcription and a modulator of MYC protein phosphorylation. Data reported at the American Association for Cancer Research ("AACR") Annual Meeting 2021 in preclinical models demonstrates that voruciclib:</w:t>
      </w:r>
    </w:p>
    <w:p>
      <w:pPr>
        <w:spacing w:after="0" w:line="74"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in a rapid decrease in the phosphorylation of proteins that promote MYC transcription;</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Rapidly decreases phosphorylation of MYC protein on Ser62, a site implicated in stabilizing MYC in KRAS mutant cancers;</w:t>
      </w: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Possesses single agent activity against multiple KRAS mutant cancer cell lines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Synergistically inhibits KRAS G12C mutant cancer cell lines in combination with KRAS G12C inhibitors,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research presented suggests that voruciclib could be an attractive therapeutic agent for cancers, including solid tumors, dependent on the activity of MYC.</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Program</w:t>
      </w:r>
    </w:p>
    <w:p>
      <w:pPr>
        <w:spacing w:after="0" w:line="104"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are evaluating patients with hematological malignancies in a Phase 1b clinical trial evaluating the dose and schedule of voruciclib. The trial is initially intended to evaluate the dose and schedule of voruciclib as a monotherapy in patients with relapsed and refractory B-cell malignancies and AML after failure of prior standard therapies to determine the safety, preliminary efficacy and maximum tolerated dose. Once dose levels and schedules have been explored and established, we plan in parallel, subject to FDA agreement, to evaluate the dose and schedule of voruciclib in combination with a BCL2 inhibitor such as venetoclax to assess synergies and the opportunity for combination treatments, initially in patients with AML and subsequently across multiple indications.</w:t>
      </w:r>
    </w:p>
    <w:p>
      <w:pPr>
        <w:spacing w:after="0" w:line="81"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As reported at the American Society of Hematology 2021 annual meeting in a poster presentation, data to date from the Phase 1b study evaluating voruciclib as a monotherapy on an optimized schedule of 14 consecutive days in a 28-day cycle was well tolerated. No dose limiting toxicities were observed and no significant myelosuppression was seen in patients with B-cell malignancies, suggesting a lower likelihood of additive toxicities in combination with venetoclax. Disease stabilization was observed in heavily pretreated patients and differentiation syndrome was observed in AML patients, which is indicative of biologic activity. A protocol amendment is planned to evaluate voruciclib in combination with venetoclax in patients with relapsed AML.</w:t>
      </w:r>
    </w:p>
    <w:p>
      <w:pPr>
        <w:spacing w:after="0" w:line="81"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 In one clinical study, voruciclib was evaluated in combination with vemurafenib (marketed as Zelboraf®) in nine patients with BRAF mutated advanced/inoperable malignant melanoma. Three of three BRAF/MEK naive patients achieved a response: two partial responses and one complete response. In this study voruciclib was dosed at 150 mg daily plus vemurafenib 720 mg or 960 mg twice daily in 28-day cycles. The most common adverse events were fatigue, constipation, diarrhea, arthralgia and headache. One instance of grade 3 fatigue was dose limiting and no serious adverse events related to voruciclib were reported. Other clinical studies evaluated voruciclib at doses up to 850 mg in patients with solid tumors, demonstrating additional evidence of potential biologic activity and an adverse event profile generally consistent with other drugs in its class.</w:t>
      </w:r>
    </w:p>
    <w:p>
      <w:pPr>
        <w:spacing w:after="0" w:line="73" w:lineRule="exact"/>
        <w:rPr>
          <w:sz w:val="20"/>
          <w:szCs w:val="20"/>
          <w:color w:val="auto"/>
        </w:rPr>
      </w:pPr>
    </w:p>
    <w:p>
      <w:pPr>
        <w:ind w:right="240" w:firstLine="509"/>
        <w:spacing w:after="0" w:line="291" w:lineRule="auto"/>
        <w:rPr>
          <w:sz w:val="20"/>
          <w:szCs w:val="20"/>
          <w:color w:val="auto"/>
        </w:rPr>
      </w:pPr>
      <w:r>
        <w:rPr>
          <w:rFonts w:ascii="Arial" w:cs="Arial" w:eastAsia="Arial" w:hAnsi="Arial"/>
          <w:sz w:val="17"/>
          <w:szCs w:val="17"/>
          <w:color w:val="auto"/>
        </w:rPr>
        <w:t>We are exploring opportunities to clinically evaluate voruciclib in solid tumors where MYC may play an important role in tumor growth. We also plan to initiate a Phase 1b study evaluating voruciclib in combination with venetoclax in patients with AML mid calendar year 2022.</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Impact of COVID-19 on the Voruciclib Clinical Development Program</w:t>
      </w:r>
    </w:p>
    <w:p>
      <w:pPr>
        <w:spacing w:after="0" w:line="10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While the extent to which the COVID-19 pandemic will impact the progress of the voruciclib clinical development program, including the ongoing Phase 1b study, is subject to future developments, which are highly uncertain and cannot be predicted with confidence, the study remains ongoing and is continuing to enroll patients; however, the rate of enrollment of patients has been negatively impacted by the pandemic. We will continue efforts to be proactive in managing the impact from the pandemic, including various actions to communicate with sites and investigators, and making accommodations to patients consistent with FDA guidance as we may deem appropriate.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ME-344: Clinical Stage Mitochondrial Inhibitor with Combinatorial Potential</w:t>
      </w:r>
    </w:p>
    <w:p>
      <w:pPr>
        <w:spacing w:after="0" w:line="104" w:lineRule="exact"/>
        <w:rPr>
          <w:sz w:val="20"/>
          <w:szCs w:val="20"/>
          <w:color w:val="auto"/>
        </w:rPr>
      </w:pPr>
    </w:p>
    <w:p>
      <w:pPr>
        <w:ind w:right="180" w:firstLine="509"/>
        <w:spacing w:after="0" w:line="224" w:lineRule="auto"/>
        <w:rPr>
          <w:sz w:val="20"/>
          <w:szCs w:val="20"/>
          <w:color w:val="auto"/>
        </w:rPr>
      </w:pPr>
      <w:r>
        <w:rPr>
          <w:rFonts w:ascii="Arial" w:cs="Arial" w:eastAsia="Arial" w:hAnsi="Arial"/>
          <w:sz w:val="18"/>
          <w:szCs w:val="18"/>
          <w:color w:val="auto"/>
        </w:rPr>
        <w:t>ME-344 is our novel and tumor selective, isoflavone-derived mitochondrial inhibitor drug candidate. It directly targets the OXPHOS complex 1, a pathway involved in adenosine triphosphate ("ATP") production in the mitochondria. ME-344 was studied in an investigator-initiated, multi-center, randomized clinical trial in combination with the vascular endothelial growth factor (“VEGF”) inhibitor bevacizumab (marketed as Avastin</w:t>
      </w:r>
      <w:r>
        <w:rPr>
          <w:rFonts w:ascii="Arial" w:cs="Arial" w:eastAsia="Arial" w:hAnsi="Arial"/>
          <w:sz w:val="24"/>
          <w:szCs w:val="24"/>
          <w:color w:val="auto"/>
          <w:vertAlign w:val="superscript"/>
        </w:rPr>
        <w:t>®</w:t>
      </w:r>
      <w:r>
        <w:rPr>
          <w:rFonts w:ascii="Arial" w:cs="Arial" w:eastAsia="Arial" w:hAnsi="Arial"/>
          <w:sz w:val="18"/>
          <w:szCs w:val="18"/>
          <w:color w:val="auto"/>
        </w:rPr>
        <w:t>) in a total of 42 patients with human epidermal growth factor receptor 2 (“HER2”) negative breast cancer.</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ME-344 Scientific Overview: Cancer Metabolism</w:t>
      </w:r>
    </w:p>
    <w:p>
      <w:pPr>
        <w:spacing w:after="0" w:line="104" w:lineRule="exact"/>
        <w:rPr>
          <w:sz w:val="20"/>
          <w:szCs w:val="20"/>
          <w:color w:val="auto"/>
        </w:rPr>
      </w:pPr>
    </w:p>
    <w:p>
      <w:pPr>
        <w:jc w:val="both"/>
        <w:ind w:right="460" w:firstLine="509"/>
        <w:spacing w:after="0" w:line="248" w:lineRule="auto"/>
        <w:rPr>
          <w:sz w:val="20"/>
          <w:szCs w:val="20"/>
          <w:color w:val="auto"/>
        </w:rPr>
      </w:pPr>
      <w:r>
        <w:rPr>
          <w:rFonts w:ascii="Arial" w:cs="Arial" w:eastAsia="Arial" w:hAnsi="Arial"/>
          <w:sz w:val="18"/>
          <w:szCs w:val="18"/>
          <w:color w:val="auto"/>
        </w:rPr>
        <w:t>Tumor cells often display a high metabolic rate to support cell division and growth. This heightened metabolism requires a continual supply of energy in the form of ATP. The two major sources of ATP are the specialized cellular organelles termed mitochondria and through the metabolism of carbohydrates, proteins and lipids.</w:t>
      </w:r>
    </w:p>
    <w:p>
      <w:pPr>
        <w:spacing w:after="0" w:line="7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ME-344 was identified through a screen of more than 400 new chemical structures originally created based on the central design of naturally occurring plant isoflavones. We believe that some of these synthetic compounds, including our drug candidate ME-344, interact with specific mitochondrial enzyme targets, resulting in the inhibition of ATP generation. When these compounds interact with their target, a rapid reduction in ATP occurs, which leads to a cascade of biochemical events within the cell and ultimately to cell death.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Program</w:t>
      </w:r>
    </w:p>
    <w:p>
      <w:pPr>
        <w:spacing w:after="0" w:line="104" w:lineRule="exact"/>
        <w:rPr>
          <w:sz w:val="20"/>
          <w:szCs w:val="20"/>
          <w:color w:val="auto"/>
        </w:rPr>
      </w:pPr>
    </w:p>
    <w:p>
      <w:pPr>
        <w:ind w:right="140" w:firstLine="509"/>
        <w:spacing w:after="0" w:line="257" w:lineRule="auto"/>
        <w:rPr>
          <w:sz w:val="20"/>
          <w:szCs w:val="20"/>
          <w:color w:val="auto"/>
        </w:rPr>
      </w:pPr>
      <w:r>
        <w:rPr>
          <w:rFonts w:ascii="Arial" w:cs="Arial" w:eastAsia="Arial" w:hAnsi="Arial"/>
          <w:sz w:val="17"/>
          <w:szCs w:val="17"/>
          <w:color w:val="auto"/>
        </w:rPr>
        <w:t>ME-344 demonstrated evidence of single agent activity against refractory solid tumors in a Phase 1 trial, and in pre-clinical studies tumor cells treated with ME-344 resulted in a rapid loss of ATP and cancer cell death. In addition to single agent activity, ME-344 may also have significant potential in combination with anti-angiogenic therapeutics. In pre-clinical studies, it was shown that one outcome of anti-angiogenics was to reduce the rate of glycolysis in tumors as a mechanism to slow tumor growth. However, tumor metabolism was able to shift to mitochondrial metabolism for energy production to support continued tumor proliferation. In such cases of tumor plasticity in the presence of treatment with anti-angiogenics, targeting the alternative metabolic source with ME-344 may open an important therapeutic opportunity.</w:t>
      </w:r>
    </w:p>
    <w:p>
      <w:pPr>
        <w:spacing w:after="0" w:line="67"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Support for this combinatorial use of ME-344 was first published in the June 2016 edition of Cell Reports; pre-clinical data from a collaboration with the Spanish National Cancer Research Centre in Madrid demonstrated mitochondria-specific effects of ME-344 in cancer cells, including substantially enhanced anti-tumor activity when combined with agents that inhibit the activity of VEGF. These data demonstrating the potential anti-cancer effects of combining ME-344 with a VEGF inhibitor due to an inhibition of both mitochondrial and glycolytic metabolism provided a basis for commencement of an investigator-initiated trial of ME-344 in combination with bevacizumab in HER2 negative breast cancer patients.</w:t>
      </w:r>
    </w:p>
    <w:p>
      <w:pPr>
        <w:spacing w:after="0" w:line="66" w:lineRule="exact"/>
        <w:rPr>
          <w:sz w:val="20"/>
          <w:szCs w:val="20"/>
          <w:color w:val="auto"/>
        </w:rPr>
      </w:pPr>
    </w:p>
    <w:p>
      <w:pPr>
        <w:ind w:right="500" w:firstLine="509"/>
        <w:spacing w:after="0" w:line="248" w:lineRule="auto"/>
        <w:rPr>
          <w:sz w:val="20"/>
          <w:szCs w:val="20"/>
          <w:color w:val="auto"/>
        </w:rPr>
      </w:pPr>
      <w:r>
        <w:rPr>
          <w:rFonts w:ascii="Arial" w:cs="Arial" w:eastAsia="Arial" w:hAnsi="Arial"/>
          <w:sz w:val="18"/>
          <w:szCs w:val="18"/>
          <w:color w:val="auto"/>
        </w:rPr>
        <w:t>Results published in the November 2019 issue of Clinical Cancer Research from a multicenter, investigator-initiated, randomized, open-label, clinical trial that evaluated the combination of ME-344 and bevacizumab in 42 women with early HER2-negative breast cancer further support the combinatorial use of ME-344 with anti-angiogenic therapeutics.</w:t>
      </w:r>
    </w:p>
    <w:p>
      <w:pPr>
        <w:spacing w:after="0" w:line="74"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The primary objective of the trial was to show proof of ME-344 biologic activity as measured by Ki67 reductions in the presence of the nuclear protein Ki67 (expression of which is strongly associated with tumor cell proliferation and growth) from days 0 to 28 compared to the control group who received bevacizumab alone. Secondary objectives included determining whether ME-344 biologic activity correlates with vascular normalization. The data demonstrate significant biologic activity in the ME-344 treatment group:</w:t>
      </w:r>
    </w:p>
    <w:p>
      <w:pPr>
        <w:spacing w:after="0" w:line="80" w:lineRule="exact"/>
        <w:rPr>
          <w:sz w:val="20"/>
          <w:szCs w:val="20"/>
          <w:color w:val="auto"/>
        </w:rPr>
      </w:pPr>
    </w:p>
    <w:p>
      <w:pPr>
        <w:ind w:left="1020" w:right="80" w:hanging="503"/>
        <w:spacing w:after="0" w:line="244"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ME-344 treated patients, mean absolute Ki67 decreases were 13.3 compared to an increase of 1.1 in the bevacizumab monotherapy group (P=0.01).</w:t>
      </w:r>
    </w:p>
    <w:p>
      <w:pPr>
        <w:ind w:left="1020" w:right="400" w:hanging="503"/>
        <w:spacing w:after="0" w:line="234"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ME-344 treated patients, mean relative Ki67 decreases were 23% compared to an increase of 186% in the bevacizumab monotherapy group (P &lt; 0.01).</w:t>
      </w:r>
    </w:p>
    <w:p>
      <w:pPr>
        <w:spacing w:after="0" w:line="1" w:lineRule="exact"/>
        <w:rPr>
          <w:rFonts w:ascii="Arial" w:cs="Arial" w:eastAsia="Arial" w:hAnsi="Arial"/>
          <w:sz w:val="18"/>
          <w:szCs w:val="18"/>
          <w:color w:val="auto"/>
        </w:rPr>
      </w:pPr>
    </w:p>
    <w:p>
      <w:pPr>
        <w:jc w:val="both"/>
        <w:ind w:left="1020" w:right="180" w:hanging="503"/>
        <w:spacing w:after="0" w:line="23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mean relative Ki67 reduction in patients experiencing vascular normalization in the ME-344 treated patients was 33%, compared to an increase of 11.8% in normalized patients from the bevacizumab monotherapy group (P=0.09). Approximately one-third of patients in each arm had vascular normalization.</w:t>
      </w:r>
    </w:p>
    <w:p>
      <w:pPr>
        <w:spacing w:after="0" w:line="81"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Treatment was generally well tolerated; three grade 3 adverse events of high blood pressure were reported, two in the ME-344 arm and one in the bevacizumab monotherapy arm.</w:t>
      </w:r>
    </w:p>
    <w:p>
      <w:pPr>
        <w:spacing w:after="0" w:line="63"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Results from our earlier, first-in-human, single-agent Phase 1 clinical trial of ME-344 in patients with refractory solid tumors were published in the April 1, 2015 issue of Cancer. The results indicated that eight of 21 evaluable patients (38%) treated with ME-344 achieved stable disease or better, including five who experienced progression-free survival that was at least twice the duration of their last prior treatment before entry into the trial. In addition, one of these patients, a heavily pre-treated patient with small cell lung cancer, achieved a confirmed partial response and remained on study for two years. ME-344 was generally well tolerated at doses equal to or less than 10 mg/kg delivered on a weekly schedule for extended durations. Treatment-related adverse events included nausea, dizziness and fatigue. Dose-limiting toxicities were observed at both the 15 mg/kg and 20 mg/kg dose levels, consisting primarily of grade 3 peripheral neuropathy. We are planning to advance ME-344 in combination with the anti-angiogenic antibody bevacizumab in a Phase 1b study evaluating patients with relapsed colorectal cancer by the end of calendar year 2022.</w:t>
      </w:r>
    </w:p>
    <w:p>
      <w:pPr>
        <w:spacing w:after="0" w:line="7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Additionally, ME-344 may also have clinical potential against hematological malignancies. At the AACR Annual Meeting 2022, a poster presentation reported results from preclinical studies exploring the ability of ME-344 to enhance the activity of venetoclax against AML. Data from the in vitro and in vivo preclinical studies evaluating the combination of ME-344 with venetoclax in standard-of-care-resistant AML cell lines and relapsed or refractory AML patient samples suggest that ME-344, both alone and in combination with venetoclax, inhibits purine biosynthesis, suppresses oxidative phosphorylation, induces apoptosis and decreases Mcl-1, which together target metabolic vulnerabilities of AML cells. The data demonstrated that ME-344 and venetoclax prolong survival in MV4-11- and MV4-11/AraC-R-derived xenograft AML models. The poster concludes that ME-344 enhances venetoclax activity against AML cells including resistant AML.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right="800" w:firstLine="509"/>
        <w:spacing w:after="0" w:line="291" w:lineRule="auto"/>
        <w:rPr>
          <w:sz w:val="20"/>
          <w:szCs w:val="20"/>
          <w:color w:val="auto"/>
        </w:rPr>
      </w:pPr>
      <w:r>
        <w:rPr>
          <w:rFonts w:ascii="Arial" w:cs="Arial" w:eastAsia="Arial" w:hAnsi="Arial"/>
          <w:sz w:val="17"/>
          <w:szCs w:val="17"/>
          <w:color w:val="auto"/>
        </w:rPr>
        <w:t>The following information has been adjusted to reflect the restatement of our financial statements as described in Note 1, "Restatement of Previously Issued Financial Statements," in the Notes to Condensed Financial Statements of this Quarterly Report.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March 31, 2022 and 2021</w:t>
      </w:r>
    </w:p>
    <w:p>
      <w:pPr>
        <w:spacing w:after="0" w:line="10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We had a loss from operations of $21.6 million for the three months ended March 31, 2022 compared to a loss from operations of $16.4 million for the three months ended March 31, 2021.</w:t>
      </w:r>
    </w:p>
    <w:p>
      <w:pPr>
        <w:spacing w:after="0" w:line="171" w:lineRule="exact"/>
        <w:rPr>
          <w:sz w:val="20"/>
          <w:szCs w:val="20"/>
          <w:color w:val="auto"/>
        </w:rPr>
      </w:pPr>
    </w:p>
    <w:p>
      <w:pPr>
        <w:jc w:val="both"/>
        <w:ind w:right="160"/>
        <w:spacing w:after="0" w:line="270"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We recognized revenue of $9.7 million for the three months ended March 31, 2022 compared to $8.1 million for the three months ended March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31, 2021. Revenue increased as a result of increased reimbursement of expenses from KKC due to research and development activity related to zandelisib and our progress towards completion of our performance obligations under the KKC Commercialization Agreement.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is a summary of our research and development expenses to supplement the more detailed discussion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dollar values in the following table are in thousands.</w:t>
      </w: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r>
      <w:tr>
        <w:trPr>
          <w:trHeight w:val="185"/>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60" w:type="dxa"/>
            <w:vAlign w:val="bottom"/>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6"/>
        </w:trPr>
        <w:tc>
          <w:tcPr>
            <w:tcW w:w="5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Zandelisib</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13,071</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11,460</w:t>
            </w:r>
          </w:p>
        </w:tc>
        <w:tc>
          <w:tcPr>
            <w:tcW w:w="80" w:type="dxa"/>
            <w:vAlign w:val="bottom"/>
            <w:shd w:val="clear" w:color="auto" w:fill="CFF0FC"/>
          </w:tcPr>
          <w:p>
            <w:pPr>
              <w:spacing w:after="0"/>
              <w:rPr>
                <w:sz w:val="17"/>
                <w:szCs w:val="17"/>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Voruciclib</w:t>
            </w: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1,364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694</w:t>
            </w:r>
          </w:p>
        </w:tc>
        <w:tc>
          <w:tcPr>
            <w:tcW w:w="80" w:type="dxa"/>
            <w:vAlign w:val="bottom"/>
          </w:tcPr>
          <w:p>
            <w:pPr>
              <w:spacing w:after="0"/>
              <w:rPr>
                <w:sz w:val="17"/>
                <w:szCs w:val="17"/>
                <w:color w:val="auto"/>
              </w:rPr>
            </w:pPr>
          </w:p>
        </w:tc>
      </w:tr>
      <w:tr>
        <w:trPr>
          <w:trHeight w:val="203"/>
        </w:trPr>
        <w:tc>
          <w:tcPr>
            <w:tcW w:w="5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ME-344</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382</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212</w:t>
            </w:r>
          </w:p>
        </w:tc>
        <w:tc>
          <w:tcPr>
            <w:tcW w:w="80" w:type="dxa"/>
            <w:vAlign w:val="bottom"/>
            <w:shd w:val="clear" w:color="auto" w:fill="CFF0FC"/>
          </w:tcPr>
          <w:p>
            <w:pPr>
              <w:spacing w:after="0"/>
              <w:rPr>
                <w:sz w:val="17"/>
                <w:szCs w:val="17"/>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7,501</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5,518</w:t>
            </w:r>
          </w:p>
        </w:tc>
        <w:tc>
          <w:tcPr>
            <w:tcW w:w="80" w:type="dxa"/>
            <w:vAlign w:val="bottom"/>
          </w:tcPr>
          <w:p>
            <w:pPr>
              <w:spacing w:after="0"/>
              <w:rPr>
                <w:sz w:val="17"/>
                <w:szCs w:val="17"/>
                <w:color w:val="auto"/>
              </w:rPr>
            </w:pPr>
          </w:p>
        </w:tc>
      </w:tr>
      <w:tr>
        <w:trPr>
          <w:trHeight w:val="236"/>
        </w:trPr>
        <w:tc>
          <w:tcPr>
            <w:tcW w:w="53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22,318</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17,884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514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514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7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Research and development expenses consist primarily of clinical trial costs (including payments to contract research organizations “CROs”), pre-clinical study costs, and costs to manufacture our drug candidates for non-clinical and clinical studies. Other research and development expenses consist primarily of salaries and personnel costs, share-based compensation, legal costs, and other costs not allocated to specific drug programs. Research and development expenses were $22.3 million for the three months ended March 31, 2022 compared to $17.9 million for the three months ended March 31, 2021. Costs related to zandelisib increased primarily as a result of higher professional services costs to support ongoing clinical studies offset by decreased costs for the COASTAL study as a result of higher start-up costs during the prior period. Costs related to voruciclib increased for the three months ended March 31, 2022 compared with the three months ended March 31, 2021, due primarily to increased costs associated with the phase 1b study and drug manufacturing costs. Costs related to ME-344 increased for the three months ended March 31, 2022 compared with the three months ended March 31, 2021, due primarily to increased drug manufacturing costs. Other research and development costs increased for the three months ended March 31, 2022 due primarily to higher levels of personnel costs ($1.8 million) associated with increased headcount to support our clinical activities.</w:t>
      </w:r>
    </w:p>
    <w:p>
      <w:pPr>
        <w:spacing w:after="0" w:line="167" w:lineRule="exact"/>
        <w:rPr>
          <w:sz w:val="20"/>
          <w:szCs w:val="20"/>
          <w:color w:val="auto"/>
        </w:rPr>
      </w:pPr>
    </w:p>
    <w:p>
      <w:pPr>
        <w:jc w:val="both"/>
        <w:ind w:right="280"/>
        <w:spacing w:after="0" w:line="296" w:lineRule="auto"/>
        <w:rPr>
          <w:sz w:val="20"/>
          <w:szCs w:val="20"/>
          <w:color w:val="auto"/>
        </w:rPr>
      </w:pPr>
      <w:r>
        <w:rPr>
          <w:rFonts w:ascii="Arial" w:cs="Arial" w:eastAsia="Arial" w:hAnsi="Arial"/>
          <w:sz w:val="16"/>
          <w:szCs w:val="16"/>
          <w:b w:val="1"/>
          <w:bCs w:val="1"/>
          <w:i w:val="1"/>
          <w:iCs w:val="1"/>
          <w:color w:val="auto"/>
        </w:rPr>
        <w:t>General and Administrative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increased by $2.7 million to $8.9 million for the three months ended March 31, 2022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$6.2 million for the three months ended March 31, 2021. The increase is primarily due to increased personnel costs ($1.4 million), external professional services and legal costs ($0.6 million), share-based compensation ($0.3 million), and corporate overhead costs ($0.4 million).</w:t>
      </w:r>
    </w:p>
    <w:p>
      <w:pPr>
        <w:spacing w:after="0" w:line="1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 xml:space="preserve">Other income or expense: </w:t>
      </w:r>
      <w:r>
        <w:rPr>
          <w:rFonts w:ascii="Arial" w:cs="Arial" w:eastAsia="Arial" w:hAnsi="Arial"/>
          <w:sz w:val="18"/>
          <w:szCs w:val="18"/>
          <w:color w:val="auto"/>
        </w:rPr>
        <w:t>We recorded a non-cash gain of $12.8 million during the three months ended March 31, 2022 due to a change in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warrant liability. The change in the warrant liability is primarily due to changes in our stock price.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nine months ended March 31, 2022 and 2021</w:t>
      </w:r>
    </w:p>
    <w:p>
      <w:pPr>
        <w:spacing w:after="0" w:line="108"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We had a loss from operations of $59.3 million for the nine months ended March 31, 2022 compared to a loss from operations of $45.0 million for the nine months ended March 31, 2021.</w:t>
      </w:r>
    </w:p>
    <w:p>
      <w:pPr>
        <w:spacing w:after="0" w:line="171" w:lineRule="exact"/>
        <w:rPr>
          <w:sz w:val="20"/>
          <w:szCs w:val="20"/>
          <w:color w:val="auto"/>
        </w:rPr>
      </w:pPr>
    </w:p>
    <w:p>
      <w:pPr>
        <w:jc w:val="both"/>
        <w:ind w:right="80"/>
        <w:spacing w:after="0" w:line="324"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We recognized revenue of $29.3 million for the nine months ended March 31, 2022 compared to $27.3 million for the nine months ended March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 2021. Revenue increased as a result of increased reimbursement of expenses from KKC due to research and development activity related to zandelisib.</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is a summary of our research and development expenses to supplement the more detailed discussion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dollar values in the following table are in thousands.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r>
      <w:tr>
        <w:trPr>
          <w:trHeight w:val="185"/>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60" w:type="dxa"/>
            <w:vAlign w:val="bottom"/>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6"/>
        </w:trPr>
        <w:tc>
          <w:tcPr>
            <w:tcW w:w="5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Zandelisib</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40,082</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36,350</w:t>
            </w:r>
          </w:p>
        </w:tc>
        <w:tc>
          <w:tcPr>
            <w:tcW w:w="80" w:type="dxa"/>
            <w:vAlign w:val="bottom"/>
            <w:shd w:val="clear" w:color="auto" w:fill="CFF0FC"/>
          </w:tcPr>
          <w:p>
            <w:pPr>
              <w:spacing w:after="0"/>
              <w:rPr>
                <w:sz w:val="17"/>
                <w:szCs w:val="17"/>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Voruciclib</w:t>
            </w: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3,950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2,215</w:t>
            </w:r>
          </w:p>
        </w:tc>
        <w:tc>
          <w:tcPr>
            <w:tcW w:w="80" w:type="dxa"/>
            <w:vAlign w:val="bottom"/>
          </w:tcPr>
          <w:p>
            <w:pPr>
              <w:spacing w:after="0"/>
              <w:rPr>
                <w:sz w:val="17"/>
                <w:szCs w:val="17"/>
                <w:color w:val="auto"/>
              </w:rPr>
            </w:pPr>
          </w:p>
        </w:tc>
      </w:tr>
      <w:tr>
        <w:trPr>
          <w:trHeight w:val="203"/>
        </w:trPr>
        <w:tc>
          <w:tcPr>
            <w:tcW w:w="5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ME-344</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2,166</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433</w:t>
            </w:r>
          </w:p>
        </w:tc>
        <w:tc>
          <w:tcPr>
            <w:tcW w:w="80" w:type="dxa"/>
            <w:vAlign w:val="bottom"/>
            <w:shd w:val="clear" w:color="auto" w:fill="CFF0FC"/>
          </w:tcPr>
          <w:p>
            <w:pPr>
              <w:spacing w:after="0"/>
              <w:rPr>
                <w:sz w:val="17"/>
                <w:szCs w:val="17"/>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17,604</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14,106</w:t>
            </w:r>
          </w:p>
        </w:tc>
        <w:tc>
          <w:tcPr>
            <w:tcW w:w="80" w:type="dxa"/>
            <w:vAlign w:val="bottom"/>
          </w:tcPr>
          <w:p>
            <w:pPr>
              <w:spacing w:after="0"/>
              <w:rPr>
                <w:sz w:val="17"/>
                <w:szCs w:val="17"/>
                <w:color w:val="auto"/>
              </w:rPr>
            </w:pPr>
          </w:p>
        </w:tc>
      </w:tr>
      <w:tr>
        <w:trPr>
          <w:trHeight w:val="236"/>
        </w:trPr>
        <w:tc>
          <w:tcPr>
            <w:tcW w:w="53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63,802</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53,104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514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7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Research and development expenses consist primarily of clinical trial costs (including payments to contract research organizations “CROs”), pre-clinical study costs, and costs to manufacture our drug candidates for non-clinical and clinical studies. Other research and development expenses consist primarily of salaries and personnel costs, share-based compensation, legal costs, and other costs not allocated to specific drug programs. Research and development expenses were $63.8 million for the nine months ended March 31, 2022 compared to $53.1 million for the nine months ended March 31, 2021. Costs related to zandelisib increased for the nine months ended March 31, 2022 primarily as a result of higher professional services and drug manufacturing costs offset by decreased costs for the COASTAL study as a result of higher start-up costs during the prior period. Costs related to voruciclib increased for the nine months ended March 31, 2022 compared with the nine months ended March 31, 2021, primarily due to increased costs associated with the phase 1b study and drug manufacturing costs. Costs related to ME-344 increased for the nine months ended March 31, 2022 compared with the nine months ended March 31, 2021, primarily due to increased drug manufacturing costs and start-up costs for the Phase 2 study. Other research and development costs increased for the nine months ended March 31, 2022 due to higher levels of personnel costs ($4.1 million) associated with increased headcount to support our clinical activities.</w:t>
      </w:r>
    </w:p>
    <w:p>
      <w:pPr>
        <w:spacing w:after="0" w:line="182" w:lineRule="exact"/>
        <w:rPr>
          <w:sz w:val="20"/>
          <w:szCs w:val="20"/>
          <w:color w:val="auto"/>
        </w:rPr>
      </w:pPr>
    </w:p>
    <w:p>
      <w:pPr>
        <w:jc w:val="both"/>
        <w:ind w:right="240"/>
        <w:spacing w:after="0" w:line="296" w:lineRule="auto"/>
        <w:rPr>
          <w:sz w:val="20"/>
          <w:szCs w:val="20"/>
          <w:color w:val="auto"/>
        </w:rPr>
      </w:pPr>
      <w:r>
        <w:rPr>
          <w:rFonts w:ascii="Arial" w:cs="Arial" w:eastAsia="Arial" w:hAnsi="Arial"/>
          <w:sz w:val="16"/>
          <w:szCs w:val="16"/>
          <w:b w:val="1"/>
          <w:bCs w:val="1"/>
          <w:i w:val="1"/>
          <w:iCs w:val="1"/>
          <w:color w:val="auto"/>
        </w:rPr>
        <w:t>General and Administrative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increased by $7.0 million to $24.8 million for the nine months ended March 31, 2022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$17.8 million for the nine months ended March 31, 2021. The increase is primarily due to increased personnel costs ($3.4 million), external professional services and legal costs ($2.2 million), share-based compensation ($0.6 million), and corporate overhead costs ($0.8 million).</w:t>
      </w:r>
    </w:p>
    <w:p>
      <w:pPr>
        <w:spacing w:after="0" w:line="14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 xml:space="preserve">Other income or expense: </w:t>
      </w:r>
      <w:r>
        <w:rPr>
          <w:rFonts w:ascii="Arial" w:cs="Arial" w:eastAsia="Arial" w:hAnsi="Arial"/>
          <w:sz w:val="18"/>
          <w:szCs w:val="18"/>
          <w:color w:val="auto"/>
        </w:rPr>
        <w:t>We recorded a non-cash gain of $20.8 million during the nine months ended March 31, 2022 due to a change in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warrant liability. The change in the warrant liability is primarily due to changes in our stock price.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We have accumulated losses of $358.1 million since inception and expect to incur operating losses and generate negative cash flows from operations for the foreseeable future. As of March 31, 2022, we had $169.0 million in cash and cash equivalents, and short-term investments. We believe that these resources will be sufficient to fund our operations for at least 12 months from the issuance of this Quarterly Report.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73"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Sources and Uses of Our Cash</w:t>
      </w:r>
    </w:p>
    <w:p>
      <w:pPr>
        <w:spacing w:after="0" w:line="104"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Net cash used in operating activities for the nine months ended March 31, 2022 was $33.2 million. Net cash used in operating activities for the nine months ended March 31, 2021 was $20.7 million. The increase in cash used in operating activities year over year reflects increased development activities and changes in working capital.</w:t>
      </w:r>
    </w:p>
    <w:p>
      <w:pPr>
        <w:spacing w:after="0" w:line="7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Net cash used in investing activities for the nine months ended March 31, 2022 was $13.2 million compared to $14.7 million provided by investing activities for the nine months ended March 31, 2021. The change was primarily due to increased purchases of short-term investments in 2022, net of maturities.</w:t>
      </w:r>
    </w:p>
    <w:p>
      <w:pPr>
        <w:spacing w:after="0" w:line="7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Net cash provided by financing activities during the nine months ended March 31, 2022 was $49.0 million compared with $3.4 million provided by financing activities during the nine months ended March 31, 2021. Cash raised during the nine months ended March 31, 2022 reflected $48.7 million of net proceeds from the issuance of common stock. Cash raised during the nine months ended March 31, 2021 reflected $3.1 million of net proceeds from the issuance of common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ind w:right="240" w:firstLine="509"/>
        <w:spacing w:after="0" w:line="262" w:lineRule="auto"/>
        <w:rPr>
          <w:sz w:val="20"/>
          <w:szCs w:val="20"/>
          <w:color w:val="auto"/>
        </w:rPr>
      </w:pPr>
      <w:r>
        <w:rPr>
          <w:rFonts w:ascii="Arial" w:cs="Arial" w:eastAsia="Arial" w:hAnsi="Arial"/>
          <w:sz w:val="17"/>
          <w:szCs w:val="17"/>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Additionally, we have employment agreements with certain of our current employees that provide for severance payments and accelerated vesting for share-based awards if their employment is terminated under specified circumstances.</w:t>
      </w:r>
    </w:p>
    <w:p>
      <w:pPr>
        <w:spacing w:after="0" w:line="6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We have leased approximately 32,800 square feet of office space in San Diego, California. The contractual lease term is from July 2020 through March 2028. The average annual lease payment over the remaining term of the lease is $1.7 million, plus a pro rata share of certain building expenses. Our total contractual obligation over the remaining term of the lease is $13.6 million.</w:t>
      </w:r>
    </w:p>
    <w:p>
      <w:pPr>
        <w:spacing w:after="0" w:line="74" w:lineRule="exact"/>
        <w:rPr>
          <w:sz w:val="20"/>
          <w:szCs w:val="20"/>
          <w:color w:val="auto"/>
        </w:rPr>
      </w:pPr>
    </w:p>
    <w:p>
      <w:pPr>
        <w:ind w:right="220" w:firstLine="509"/>
        <w:spacing w:after="0" w:line="284" w:lineRule="auto"/>
        <w:rPr>
          <w:sz w:val="20"/>
          <w:szCs w:val="20"/>
          <w:color w:val="auto"/>
        </w:rPr>
      </w:pPr>
      <w:r>
        <w:rPr>
          <w:rFonts w:ascii="Arial" w:cs="Arial" w:eastAsia="Arial" w:hAnsi="Arial"/>
          <w:sz w:val="16"/>
          <w:szCs w:val="16"/>
          <w:color w:val="auto"/>
        </w:rPr>
        <w:t>In January 2022, we entered into an amended lease agreement for an additional 12,300 square feet of office space in San Diego, California. The amended lease agreement encompasses both our current office space and the additional office space, for a total of approximately 45,100 square feet. The amended lease term will begin upon the earlier of September 1, 2022 or the date that the landlord’s work is completed on the additional space, and will expire in January 2030. Our total contractual obligation over the term of the amended lease is approximately $21.5 million.</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0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In September 2017, we entered into the Presage License Agreement. Under the terms of the Presage License Agreement, Presage granted to us exclusive worldwide rights to develop, manufacture and commercialize voruciclib, a clinical-stage, oral and selective CDK inhibitor, and related compounds. In exchange, we paid Presage $2.9 million. With respect to the first indication, an incremental $2.0 million payment, due upon dosing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mid-single-digit tiered royalties on the net sales of any product successfully developed. As an alternative to milestone and royalty payments related to countries in which we sublicense product rights, we will pay to Presage a tiered percent (which decreases as product development progresses) of amounts received from such sublicensees. As of March 31, 2022, we had not accrued any amounts for potential future payments.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a result of the ongoing COVID-19 pandemic, various public health orders and guidance measures have been implemented across much of the United States, and across the globe, including in the locations of our office, clinical trial sites, key vendors and partners. Despite the relaxation of many governmental orders earlier this year, COVID-19 still impacts the normal conduct of business. In addition, although the FDA authorized vaccines for the treatment of COVID-19, and although a significant portion of the U.S. population has been vaccinated, the vaccination rate of the population and the effectiveness of the vaccines, particularly with respect to the COVID-19 Delta and Omicron variants, as well as other variants, continues to create uncertainty. Furthermore, the COVID-19 virus may continue to mutate into different strains, which could be more contagious or severe or for which current vaccines and treatments are not effective or available.</w:t>
      </w:r>
    </w:p>
    <w:p>
      <w:pPr>
        <w:spacing w:after="0" w:line="8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While we continue to enroll and dose patients in our clinical trials, our clinical development program timelines may continue to be subject to potential negative impacts from the ongoing pandemic in the U.S. and globally. The extent to which the ongoing pandemic continues to impact our business, including our preclinical studies, CMC studies, manufacturing, and clinical trials, will depend on future developments, which are highly uncertain and cannot be predicted with confidence.</w:t>
      </w:r>
    </w:p>
    <w:p>
      <w:pPr>
        <w:spacing w:after="0" w:line="80"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We may experience enrollment delays and suspensions, patient withdrawals, postponement of planned clinical or preclinical studies, redirection of site resources from studies, and study deviations or noncompliance. We may also need to maintain or implement study modifications, suspensions, or terminations, the introduction of additional remote study procedures and modified informed consent procedures, study site changes, direct delivery of investigational products to patient homes or alternative sites, which may require state licensing, and changes or delays in site monitoring. The foregoing may require that we consult with relevant review and ethics committees, Institutional Review Boards (“IRBs”), and the FDA. The foregoing may also impact the integrity of our study data. The COVID-19 outbreak may further increase the need for clinical trial patient monitoring and regulatory reporting of adverse effects, and may delay regulatory authority meetings, inspections, or the regulatory review of marketing or investigational applications or submissions.</w:t>
      </w:r>
    </w:p>
    <w:p>
      <w:pPr>
        <w:spacing w:after="0" w:line="86"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The COVID-19 pandemic may also impact our ability to procure the necessary supply of our investigational drug products, as well as any ancillary supplies necessary for the conduct of our studies. Third party manufacturers may also need to implement measures and changes, or deviate from typical manufacturing requirements that may otherwise adversely impact our product candidates.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In light of the ongoing COVID-19 pandemic, the FDA issued a number of new guidance documents. Specifically, as a result of the potential effect of the ongoing COVID-19 pandemic on many clinical trial programs in the U.S. and globally, the FDA issued guidance concerning potential impacts on clinical trial programs, which guidance FDA has continually updated. In addition, the European Medicines Agency (“EMA”) as well as various country regulatory authorities (EU and UK) have issued similar guidance. We have adapted the FDA and EMA/UK guidance for study procedures, data collection, and oversight resulting from the pandemic.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Management Estimates</w:t>
      </w:r>
    </w:p>
    <w:p>
      <w:pPr>
        <w:spacing w:after="0" w:line="10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describe our significant accounting policies in Note 1A, The Company and Summary of Significant Accounting Policies, of the notes to the financial statements included in our 2021 Annual Report. We discuss our critical accounting estimates in Item 7, Management’s Discussion and Analysis of Financial Condition and Results of Operations, in our 2021 Annual Report. There have been no changes in our significant accounting policies or critical accounting estimates since June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no recent accounting pronouncements that we anticipate adopting.</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Our exposure to market interest rates relates primarily to the investments of cash balances and short-term investments. We have cash reserves held in U.S. dollars and we place funds on deposit with financial institutions, which are readily available. Our short-term investments consist solely of U.S. government securities with a maturity of three to twelve months.</w:t>
      </w:r>
    </w:p>
    <w:p>
      <w:pPr>
        <w:spacing w:after="0" w:line="18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place our cash deposits with high credit quality financial institutions and by policy limit the amount of credit exposure to any one corporation or bank. These deposits are in excess of the Federal Deposit Insurance Corporation (“FDIC”) insurance limits. We are adverse to principal loss and we ensure the safety and preservation of our invested funds by limiting default risk, market risk and reinvestment risk. We seek to mitigate default risk by depositing funds with high credit quality financial institutions, by limiting the amount of credit exposure to any one corporation or bank, by purchasing short-term investments consisting of U.S. government securities, and by positioning our portfolio to respond appropriately to a significant reduction in a credit rating of any such financial institution.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consider the effects of interest rate movements to be a material risk to our financial condition.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At the end of the period covered by this Quarterly Report on Form 10-Q, our management, with the participation of our Chief Executive Officer and Chief Financial Officer, evaluated the effectiveness of our disclosure controls and procedures.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66"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auto"/>
        </w:rPr>
        <w:t>On May 10, 2022, we determined that we made certain errors in the manner in which we recognized revenue from our License, Development, and Commercialization Agreement with Kyowa Kirin Company (the “KKC Commercialization Agreement”), with the result that revenue was overstated in some quarters and understated in other quarters in our financial statements during 2020 and 2021. The errors relate to the appropriate timing and amounts of revenue recognized over time under the cost-to-cost method associated with the KKC Commercialization Agreement. These errors did not have any effect on the Company's previously reported operating expenses or cash and short-term investments.</w:t>
      </w:r>
    </w:p>
    <w:p>
      <w:pPr>
        <w:spacing w:after="0" w:line="66"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As a result, we determined that there were material errors in the financial statements that required a restatement of the 2020 and 2021 financial statements included in the Original Form 10-K for the year ended June 30, 2021 and our Forms 10-Q for the quarterly periods ended September 30, 2020 through December 31, 2021. This was due to the inadequate design and implementation of controls to evaluate and monitor the accounting for revenue recognition related to license agreements. Accordingly, management has determined that this control deficiency constitutes a material weakness and, as a result, management has concluded that, as of March 31, 2022, our internal control over financial reporting was not effective based on the criteria in Internal Control Integrated Framework (2013) issued by the Committee of Sponsoring Organizations of the Treadway Commission (the COSO criteria).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not effective to ensure that the information required to be disclosed by us in reports that we file or submit under the Exchange Act is recorded, processed, summarized and reported within the time periods specified in the SEC’s rules and forms.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 for Material Weakness</w:t>
      </w:r>
    </w:p>
    <w:p>
      <w:pPr>
        <w:spacing w:after="0" w:line="104"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Management is actively engaged in the planning for, and implementation of, remediation efforts to address the material weakness. The remediation plan includes enhancement of our existing contract review control for license agreements to confirm appropriate understanding of the terms as well as implementation of a new control designed to evaluate and monitor, at inception and on a quarterly basis, the estimated consideration to be received under license agreements for purposes of revenue recognition, and enhanced detailed review of our revenue recognition models.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Other than the material weakness discussed above, there were no changes in our internal control over financial reporting (as such term is defined by Rules 13a-15(f) and 15d-15(f) of the Exchange Act) during the most recent fiscal quarter ended March 31, 2022 that have materially affected, or are reasonably likely to materially affect, our internal control over financial reporting. In light of the restatement of our financial statements included in this Form 10-Q, we plan to enhance our processes to identify and appropriately apply applicable accounting requirements to better evaluate and understand the nuances of the complex accounting standards related to revenue recognition that apply to our financial statements. Our plans at this time include increased communication between our personnel and third-party professionals with whom we consult regarding complex accounting applications as well as implementation of a new control designed to evaluate and monitor the estimated consideration to be received under license agreements for purposes of revenue recognition, and enhanced detailed review of our revenue recognition models.</w:t>
      </w:r>
    </w:p>
    <w:p>
      <w:pPr>
        <w:spacing w:after="0" w:line="73"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elements of our remediation plan can only be accomplished over time, and we can offer no assurance that these initiatives will ultimately have the intended effects.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b w:val="1"/>
          <w:bCs w:val="1"/>
          <w:i w:val="1"/>
          <w:iCs w:val="1"/>
          <w:color w:val="auto"/>
        </w:rPr>
        <w:t>We have identified a material weakness in our internal control over financial reporting and determined that our disclosure controls and procedures were ineffective as of June 30, 2021, as a result of the restatement of our financial statements as of and for the years ended June 30, 2021 and 2020. Relevant unaudited interim financial information for each of the quarterly periods ended September 30, 2020 through December 31, 2021 were also restated. In the future, we may identify additional material weaknesses or otherwise fail to maintain an effective system of internal control over financial reporting or adequate disclosure controls and procedures, which may result in material errors in our financial statements or cause us to fail to meet our period reporting obligations.</w:t>
      </w:r>
    </w:p>
    <w:p>
      <w:pPr>
        <w:spacing w:after="0" w:line="67"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assessment of the effectiveness of our internal control over financial reporting as of June 30, 2021. A material weakness is a deficiency, or a combination of deficiencies, in internal control over financial reporting, such that there is a reasonable possibility that a material error in our annual or interim financial statements will not be prevented or detected on a timely basis. In Management's Report on Internal Control over Financial Reporting included in our Original Form 10-K for the year ended June 30, 2021, our management previously concluded that we maintained effective internal control over financial reporting as of June 30, 2021. Our management subsequently concluded that a material weakness existed and our internal control over financial reporting was not effective as of June 30, 2021.</w:t>
      </w:r>
    </w:p>
    <w:p>
      <w:pPr>
        <w:spacing w:after="0" w:line="72" w:lineRule="exact"/>
        <w:rPr>
          <w:sz w:val="20"/>
          <w:szCs w:val="20"/>
          <w:color w:val="auto"/>
        </w:rPr>
      </w:pPr>
    </w:p>
    <w:p>
      <w:pPr>
        <w:ind w:right="180" w:firstLine="509"/>
        <w:spacing w:after="0" w:line="284" w:lineRule="auto"/>
        <w:rPr>
          <w:sz w:val="20"/>
          <w:szCs w:val="20"/>
          <w:color w:val="auto"/>
        </w:rPr>
      </w:pPr>
      <w:r>
        <w:rPr>
          <w:rFonts w:ascii="Arial" w:cs="Arial" w:eastAsia="Arial" w:hAnsi="Arial"/>
          <w:sz w:val="16"/>
          <w:szCs w:val="16"/>
          <w:color w:val="auto"/>
        </w:rPr>
        <w:t>In May 2022, we determined that we made certain errors in the manner in which we recognized revenue from our License, Development and Commercialization Agreement with Kyowa Kirin Company (the “KKC Commercialization Agreement”), with the result that revenue was overstated in some quarters and understated in other quarters in our financial statements during 2020 and 2021. The errors relate to the appropriate timing and amounts of revenue recognized over time under the cost-to-cost method associated with the KKC Commercialization Agreement.</w:t>
      </w:r>
    </w:p>
    <w:p>
      <w:pPr>
        <w:spacing w:after="0" w:line="47"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As a result, we determined that there were material errors in the financial statements that required a restatement of the June 30, 2021 and 2020 financial statements included in the Original Form 10-K for the year ended June 30, 2021 and our Forms 10-Q for the quarterly periods ended September 30, 2020 through December 31, 2021. This was due to the inadequate design and implementation of controls to evaluate and monitor the accounting for revenue recognition related to license agreements.</w:t>
      </w:r>
    </w:p>
    <w:p>
      <w:pPr>
        <w:spacing w:after="0" w:line="80"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Management is actively engaged in the planning for, and implementation of, remediation efforts to address our material weakness. The remediation plan includes enhancement of our existing contract review control for license agreements to confirm appropriate understanding of the terms as well as implementation of a new control designed to evaluate and monitor, at inception and on a quarterly basis, the estimated consideration to be received under license agreements for purposes of revenue recognition, and enhanced detailed review of our revenue recognition models.</w:t>
      </w:r>
    </w:p>
    <w:p>
      <w:pPr>
        <w:spacing w:after="0" w:line="4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If we are not able to comply with the requirements of the Sarbanes-Oxley Act or if we are unable to maintain effective internal control over financial reporting, we may not be able to produce timely and accurate financial statements or guarantee that information required to be disclosed by us in the reports that we file with the SEC, is recorded, processed, summarized, and reported within the time periods specified in SEC rules and forms. Any failure of our internal control over financial reporting or disclosure controls and procedures could cause our investors to lose confidence in our publicly reported information, cause the market price of our stock to decline, expose us to sanctions or investigations by the SEC or other regulatory authorities, or impact our results of operations.</w:t>
      </w:r>
    </w:p>
    <w:p>
      <w:pPr>
        <w:spacing w:after="0" w:line="81"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b w:val="1"/>
          <w:bCs w:val="1"/>
          <w:i w:val="1"/>
          <w:iCs w:val="1"/>
          <w:color w:val="auto"/>
        </w:rPr>
        <w:t>We are not in compliance with the Nasdaq continued listing requirements. If we are unable to comply with the continued listing requirements of the Nasdaq Capital Market, our common stock could be delisted, which could affect our common stock's market price and liquidity and reduce our ability to raise capital.</w:t>
      </w:r>
    </w:p>
    <w:p>
      <w:pPr>
        <w:spacing w:after="0" w:line="74" w:lineRule="exact"/>
        <w:rPr>
          <w:sz w:val="20"/>
          <w:szCs w:val="20"/>
          <w:color w:val="auto"/>
        </w:rPr>
      </w:pPr>
    </w:p>
    <w:p>
      <w:pPr>
        <w:jc w:val="both"/>
        <w:ind w:right="300" w:firstLine="509"/>
        <w:spacing w:after="0" w:line="270" w:lineRule="auto"/>
        <w:rPr>
          <w:sz w:val="20"/>
          <w:szCs w:val="20"/>
          <w:color w:val="auto"/>
        </w:rPr>
      </w:pPr>
      <w:r>
        <w:rPr>
          <w:rFonts w:ascii="Arial" w:cs="Arial" w:eastAsia="Arial" w:hAnsi="Arial"/>
          <w:sz w:val="17"/>
          <w:szCs w:val="17"/>
          <w:color w:val="auto"/>
        </w:rPr>
        <w:t>On May 9, 2022, we received a letter from the Nasdaq Stock Market, or Nasdaq, indicating that we have failed to comply with the minimum bid price requirement, which requires that companies listed on The Nasdaq Capital Market maintain a minimum closing bid price of at least $1.00 per share (“Bid Price Requirement”). The notification of noncompliance had no immediate effect on the listing or trading of our common stock.</w:t>
      </w:r>
    </w:p>
    <w:p>
      <w:pPr>
        <w:spacing w:after="0" w:line="56"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In accordance with Nasdaq rules, we have a 180-calendar day grace period, or until November 7, 2022 (the “Compliance Date”), to regain compliance with the Bid Price Requirement. The continued listing standard would have been met if our common stock had a minimum closing bid price of at least $1.00 per share for a minimum of ten consecutive business days during the 180-calendar day grace period. If we do not regain compliance with the Bid Price Requirement by the Compliance Date, Nasdaq may grant an additional 180 calendar day compliance period, if we meet the continued listing requirement for value of publicly held shares 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all other initial listing standards for The Nasdaq Capital Market and provide written notice of our intention to cure the deficiency during the second 180 calendar day compliance period by effecting a reverse stock split, if necessary.</w:t>
      </w:r>
    </w:p>
    <w:p>
      <w:pPr>
        <w:spacing w:after="0" w:line="63" w:lineRule="exact"/>
        <w:rPr>
          <w:sz w:val="20"/>
          <w:szCs w:val="20"/>
          <w:color w:val="auto"/>
        </w:rPr>
      </w:pPr>
    </w:p>
    <w:p>
      <w:pPr>
        <w:ind w:right="400" w:firstLine="509"/>
        <w:spacing w:after="0" w:line="324" w:lineRule="auto"/>
        <w:rPr>
          <w:sz w:val="20"/>
          <w:szCs w:val="20"/>
          <w:color w:val="auto"/>
        </w:rPr>
      </w:pPr>
      <w:r>
        <w:rPr>
          <w:rFonts w:ascii="Arial" w:cs="Arial" w:eastAsia="Arial" w:hAnsi="Arial"/>
          <w:sz w:val="16"/>
          <w:szCs w:val="16"/>
          <w:color w:val="auto"/>
        </w:rPr>
        <w:t>If we do not regain compliance within the allotted compliance period(s), including any extensions that may be granted by Nasdaq, Nasdaq will provide notice that our common stock will be subject to delisting. At that time, we may appeal the Nasdaq staff's determination to a Hearings Panel.</w:t>
      </w:r>
    </w:p>
    <w:p>
      <w:pPr>
        <w:spacing w:after="0" w:line="1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intend to monitor the closing bid price of our common stock and consider our available options to resolve the noncompliance with the Bid Price Requirement. There can be no assurance that we will be able to regain compliance with the Bid Price Requirement or will otherwise be in compliance with other Nasdaq listing criteria. If our securities are delisted, it could be more difficult to buy or sell our securities and to obtain accurate quotations, and the price of our securities could suffer a material decline. Delisting could also impair the liquidity of our common stock and could harm our ability to raise capital through alternative financing sources on terms acceptable to us, or at all, and may result in potential loss of confidence by investors, employees, and fewer business development opportunities.</w:t>
      </w:r>
    </w:p>
    <w:p>
      <w:pPr>
        <w:spacing w:after="0" w:line="8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b w:val="1"/>
          <w:bCs w:val="1"/>
          <w:i w:val="1"/>
          <w:iCs w:val="1"/>
          <w:color w:val="auto"/>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could be materially adversely affected by any negative impact on the global economy and capital markets resulting from the conflict in Ukraine or any other geopolitical tensions.</w:t>
      </w:r>
    </w:p>
    <w:p>
      <w:pPr>
        <w:spacing w:after="0" w:line="80"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81"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Additionally,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spacing w:after="0" w:line="80"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The extent and duration of the military action, sanctions and resulting market disruptions are impossible to predict, but could be substantial. Any such market disruptions may also magnify the impact of other risks described in our 2021 Amended Annual Report.</w:t>
      </w:r>
    </w:p>
    <w:p>
      <w:pPr>
        <w:spacing w:after="0" w:line="63"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b w:val="1"/>
          <w:bCs w:val="1"/>
          <w:i w:val="1"/>
          <w:iCs w:val="1"/>
          <w:color w:val="auto"/>
        </w:rPr>
        <w:t>The ongoing military conflict between Russia and Ukraine has affected our planned sites in Ukraine/Russia for the COASTAL trial. Failure to replace those sites with new sites could have a materially detrimental effect on recruitment timelines.</w:t>
      </w:r>
    </w:p>
    <w:p>
      <w:pPr>
        <w:spacing w:after="0" w:line="6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As a result of the ongoing military conflict between Russia and Ukraine, our planned sites in Ukraine and Russia for the COASTAL trial have been suspended and no enrollment is planned in these two countries. Study sites in Ukraine and Russia will need to be moved elsewhere. Failure to find a replacement for those sites could have a detrimental effect on recruitment timelines. It is possible this conflict may further impact enrollment at study sites in neighboring countries (e.g. Poland, Georgia, and Hungary).</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additional risk factors, please see our 2021 Amended Annual Report on Form 10-K/A filed with the SEC on May 23, 2022.</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5"/>
          </w:tcPr>
          <w:p>
            <w:pPr>
              <w:ind w:left="40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Exhibits</w:t>
            </w:r>
          </w:p>
        </w:tc>
        <w:tc>
          <w:tcPr>
            <w:tcW w:w="1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tcPr>
          <w:p>
            <w:pPr>
              <w:ind w:left="260"/>
              <w:spacing w:after="0" w:line="182"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5"/>
                <w:szCs w:val="15"/>
                <w:color w:val="auto"/>
              </w:rPr>
            </w:pPr>
          </w:p>
        </w:tc>
        <w:tc>
          <w:tcPr>
            <w:tcW w:w="10080" w:type="dxa"/>
            <w:vAlign w:val="bottom"/>
            <w:gridSpan w:val="5"/>
          </w:tcPr>
          <w:p>
            <w:pPr>
              <w:spacing w:after="0" w:line="182" w:lineRule="exact"/>
              <w:rPr>
                <w:rFonts w:ascii="Arial" w:cs="Arial" w:eastAsia="Arial" w:hAnsi="Arial"/>
                <w:sz w:val="18"/>
                <w:szCs w:val="18"/>
                <w:color w:val="0000FF"/>
              </w:rPr>
            </w:pPr>
            <w:hyperlink w:anchor="page40">
              <w:r>
                <w:rPr>
                  <w:rFonts w:ascii="Arial" w:cs="Arial" w:eastAsia="Arial" w:hAnsi="Arial"/>
                  <w:sz w:val="18"/>
                  <w:szCs w:val="18"/>
                  <w:color w:val="0000FF"/>
                </w:rPr>
                <w:t>Rule 13a-14(a) or Rule 15d-14(a) Certification of Principal Executive Officer.</w:t>
              </w:r>
            </w:hyperlink>
          </w:p>
        </w:tc>
        <w:tc>
          <w:tcPr>
            <w:tcW w:w="0" w:type="dxa"/>
            <w:vAlign w:val="bottom"/>
          </w:tcPr>
          <w:p>
            <w:pPr>
              <w:spacing w:after="0"/>
              <w:rPr>
                <w:sz w:val="1"/>
                <w:szCs w:val="1"/>
                <w:color w:val="auto"/>
              </w:rPr>
            </w:pPr>
          </w:p>
        </w:tc>
      </w:tr>
      <w:tr>
        <w:trPr>
          <w:trHeight w:val="183"/>
        </w:trPr>
        <w:tc>
          <w:tcPr>
            <w:tcW w:w="880" w:type="dxa"/>
            <w:vAlign w:val="bottom"/>
            <w:gridSpan w:val="2"/>
          </w:tcPr>
          <w:p>
            <w:pPr>
              <w:ind w:left="280"/>
              <w:spacing w:after="0" w:line="182"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5"/>
                <w:szCs w:val="15"/>
                <w:color w:val="auto"/>
              </w:rPr>
            </w:pPr>
          </w:p>
        </w:tc>
        <w:tc>
          <w:tcPr>
            <w:tcW w:w="5620" w:type="dxa"/>
            <w:vAlign w:val="bottom"/>
            <w:tcBorders>
              <w:top w:val="single" w:sz="8" w:color="0000FF"/>
            </w:tcBorders>
            <w:gridSpan w:val="4"/>
          </w:tcPr>
          <w:p>
            <w:pPr>
              <w:spacing w:after="0" w:line="182" w:lineRule="exact"/>
              <w:rPr>
                <w:rFonts w:ascii="Arial" w:cs="Arial" w:eastAsia="Arial" w:hAnsi="Arial"/>
                <w:sz w:val="18"/>
                <w:szCs w:val="18"/>
                <w:color w:val="0000FF"/>
                <w:w w:val="93"/>
              </w:rPr>
            </w:pPr>
            <w:hyperlink w:anchor="page41">
              <w:r>
                <w:rPr>
                  <w:rFonts w:ascii="Arial" w:cs="Arial" w:eastAsia="Arial" w:hAnsi="Arial"/>
                  <w:sz w:val="18"/>
                  <w:szCs w:val="18"/>
                  <w:color w:val="0000FF"/>
                  <w:w w:val="93"/>
                </w:rPr>
                <w:t>Rule 13a-14(a) or Rule 15d-14(a) Certification of Principal Financial Officer.</w:t>
              </w:r>
            </w:hyperlink>
          </w:p>
        </w:tc>
        <w:tc>
          <w:tcPr>
            <w:tcW w:w="4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gridSpan w:val="2"/>
          </w:tcPr>
          <w:p>
            <w:pPr>
              <w:ind w:left="28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08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42">
              <w:r>
                <w:rPr>
                  <w:rFonts w:ascii="Arial" w:cs="Arial" w:eastAsia="Arial" w:hAnsi="Arial"/>
                  <w:sz w:val="18"/>
                  <w:szCs w:val="18"/>
                  <w:color w:val="0000FF"/>
                  <w:w w:val="92"/>
                </w:rPr>
                <w:t>Certification of Principal Executive Officer and Principal Financial Officer required by Rule 13a-14(b) or Rule 15d-14(b) and Section 1350</w:t>
              </w:r>
            </w:hyperlink>
          </w:p>
        </w:tc>
        <w:tc>
          <w:tcPr>
            <w:tcW w:w="0" w:type="dxa"/>
            <w:vAlign w:val="bottom"/>
          </w:tcPr>
          <w:p>
            <w:pPr>
              <w:spacing w:after="0"/>
              <w:rPr>
                <w:sz w:val="1"/>
                <w:szCs w:val="1"/>
                <w:color w:val="auto"/>
              </w:rPr>
            </w:pPr>
          </w:p>
        </w:tc>
      </w:tr>
      <w:tr>
        <w:trPr>
          <w:trHeight w:val="156"/>
        </w:trPr>
        <w:tc>
          <w:tcPr>
            <w:tcW w:w="880" w:type="dxa"/>
            <w:vAlign w:val="bottom"/>
            <w:gridSpan w:val="2"/>
            <w:vMerge w:val="restart"/>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3"/>
                <w:szCs w:val="13"/>
                <w:color w:val="auto"/>
              </w:rPr>
            </w:pPr>
          </w:p>
        </w:tc>
        <w:tc>
          <w:tcPr>
            <w:tcW w:w="4960" w:type="dxa"/>
            <w:vAlign w:val="bottom"/>
            <w:tcBorders>
              <w:bottom w:val="single" w:sz="8" w:color="0000FF"/>
            </w:tcBorders>
          </w:tcPr>
          <w:p>
            <w:pPr>
              <w:spacing w:after="0" w:line="156" w:lineRule="exact"/>
              <w:rPr>
                <w:rFonts w:ascii="Arial" w:cs="Arial" w:eastAsia="Arial" w:hAnsi="Arial"/>
                <w:sz w:val="18"/>
                <w:szCs w:val="18"/>
                <w:color w:val="0000FF"/>
                <w:w w:val="90"/>
              </w:rPr>
            </w:pPr>
            <w:hyperlink w:anchor="page42">
              <w:r>
                <w:rPr>
                  <w:rFonts w:ascii="Arial" w:cs="Arial" w:eastAsia="Arial" w:hAnsi="Arial"/>
                  <w:sz w:val="18"/>
                  <w:szCs w:val="18"/>
                  <w:color w:val="0000FF"/>
                  <w:w w:val="90"/>
                </w:rPr>
                <w:t>of Chapter 63 of Title 18 of the United States Code (18 U.S.C 1350).</w:t>
              </w:r>
            </w:hyperlink>
          </w:p>
        </w:tc>
        <w:tc>
          <w:tcPr>
            <w:tcW w:w="20" w:type="dxa"/>
            <w:vAlign w:val="bottom"/>
            <w:tcBorders>
              <w:bottom w:val="single" w:sz="8" w:color="0000EE"/>
            </w:tcBorders>
          </w:tcPr>
          <w:p>
            <w:pPr>
              <w:spacing w:after="0"/>
              <w:rPr>
                <w:sz w:val="13"/>
                <w:szCs w:val="13"/>
                <w:color w:val="auto"/>
              </w:rPr>
            </w:pPr>
          </w:p>
        </w:tc>
        <w:tc>
          <w:tcPr>
            <w:tcW w:w="5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980" w:type="dxa"/>
            <w:vAlign w:val="bottom"/>
            <w:gridSpan w:val="2"/>
          </w:tcPr>
          <w:p>
            <w:pPr>
              <w:spacing w:after="0" w:line="169" w:lineRule="exact"/>
              <w:rPr>
                <w:sz w:val="20"/>
                <w:szCs w:val="20"/>
                <w:color w:val="auto"/>
              </w:rPr>
            </w:pPr>
            <w:r>
              <w:rPr>
                <w:rFonts w:ascii="Arial" w:cs="Arial" w:eastAsia="Arial" w:hAnsi="Arial"/>
                <w:sz w:val="18"/>
                <w:szCs w:val="18"/>
                <w:color w:val="auto"/>
                <w:w w:val="93"/>
              </w:rPr>
              <w:t>Inline XBRL Instance Document – the instance document does not</w:t>
            </w:r>
          </w:p>
        </w:tc>
        <w:tc>
          <w:tcPr>
            <w:tcW w:w="5100" w:type="dxa"/>
            <w:vAlign w:val="bottom"/>
            <w:gridSpan w:val="3"/>
          </w:tcPr>
          <w:p>
            <w:pPr>
              <w:spacing w:after="0" w:line="169" w:lineRule="exact"/>
              <w:rPr>
                <w:sz w:val="20"/>
                <w:szCs w:val="20"/>
                <w:color w:val="auto"/>
              </w:rPr>
            </w:pPr>
            <w:r>
              <w:rPr>
                <w:rFonts w:ascii="Arial" w:cs="Arial" w:eastAsia="Arial" w:hAnsi="Arial"/>
                <w:sz w:val="18"/>
                <w:szCs w:val="18"/>
                <w:color w:val="auto"/>
                <w:w w:val="91"/>
              </w:rPr>
              <w:t>appear in the Interactive Data File because XBRL tags are embedded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5"/>
          </w:tcPr>
          <w:p>
            <w:pPr>
              <w:spacing w:after="0" w:line="201" w:lineRule="exact"/>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03"/>
        </w:trPr>
        <w:tc>
          <w:tcPr>
            <w:tcW w:w="880" w:type="dxa"/>
            <w:vAlign w:val="bottom"/>
            <w:gridSpan w:val="2"/>
          </w:tcPr>
          <w:p>
            <w:pPr>
              <w:spacing w:after="0" w:line="202" w:lineRule="exact"/>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7"/>
                <w:szCs w:val="17"/>
                <w:color w:val="auto"/>
              </w:rPr>
            </w:pPr>
          </w:p>
        </w:tc>
        <w:tc>
          <w:tcPr>
            <w:tcW w:w="1008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880" w:type="dxa"/>
            <w:vAlign w:val="bottom"/>
            <w:gridSpan w:val="2"/>
          </w:tcPr>
          <w:p>
            <w:pPr>
              <w:spacing w:after="0" w:line="202" w:lineRule="exact"/>
              <w:rPr>
                <w:sz w:val="20"/>
                <w:szCs w:val="20"/>
                <w:color w:val="auto"/>
              </w:rPr>
            </w:pPr>
            <w:r>
              <w:rPr>
                <w:rFonts w:ascii="Arial" w:cs="Arial" w:eastAsia="Arial" w:hAnsi="Arial"/>
                <w:sz w:val="18"/>
                <w:szCs w:val="18"/>
                <w:color w:val="auto"/>
              </w:rPr>
              <w:t>101.CAL</w:t>
            </w:r>
          </w:p>
        </w:tc>
        <w:tc>
          <w:tcPr>
            <w:tcW w:w="140" w:type="dxa"/>
            <w:vAlign w:val="bottom"/>
          </w:tcPr>
          <w:p>
            <w:pPr>
              <w:spacing w:after="0"/>
              <w:rPr>
                <w:sz w:val="17"/>
                <w:szCs w:val="17"/>
                <w:color w:val="auto"/>
              </w:rPr>
            </w:pPr>
          </w:p>
        </w:tc>
        <w:tc>
          <w:tcPr>
            <w:tcW w:w="1008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880" w:type="dxa"/>
            <w:vAlign w:val="bottom"/>
            <w:gridSpan w:val="2"/>
          </w:tcPr>
          <w:p>
            <w:pPr>
              <w:spacing w:after="0" w:line="202" w:lineRule="exact"/>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7"/>
                <w:szCs w:val="17"/>
                <w:color w:val="auto"/>
              </w:rPr>
            </w:pPr>
          </w:p>
        </w:tc>
        <w:tc>
          <w:tcPr>
            <w:tcW w:w="1008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880" w:type="dxa"/>
            <w:vAlign w:val="bottom"/>
            <w:gridSpan w:val="2"/>
          </w:tcPr>
          <w:p>
            <w:pPr>
              <w:spacing w:after="0" w:line="202" w:lineRule="exact"/>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7"/>
                <w:szCs w:val="17"/>
                <w:color w:val="auto"/>
              </w:rPr>
            </w:pPr>
          </w:p>
        </w:tc>
        <w:tc>
          <w:tcPr>
            <w:tcW w:w="1008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8"/>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19"/>
                <w:szCs w:val="19"/>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5540" w:right="4300" w:hanging="5519"/>
        <w:spacing w:after="0" w:line="728"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to be signed on its behalf by the undersigned, thereunto duly authorized.</w:t>
      </w:r>
    </w:p>
    <w:p>
      <w:pPr>
        <w:spacing w:after="0" w:line="18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MEI Pharma, Inc.</w:t>
      </w:r>
    </w:p>
    <w:p>
      <w:pPr>
        <w:spacing w:after="0" w:line="17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Daniel P.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32061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line="232" w:lineRule="auto"/>
        <w:rPr>
          <w:sz w:val="20"/>
          <w:szCs w:val="20"/>
          <w:color w:val="auto"/>
        </w:rPr>
      </w:pPr>
      <w:r>
        <w:rPr>
          <w:rFonts w:ascii="Arial" w:cs="Arial" w:eastAsia="Arial" w:hAnsi="Arial"/>
          <w:sz w:val="18"/>
          <w:szCs w:val="18"/>
          <w:color w:val="auto"/>
        </w:rPr>
        <w:t>Daniel P. Gold</w:t>
      </w: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15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May 23, 2022</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Daniel P. Gold, certify that:</w:t>
      </w:r>
    </w:p>
    <w:p>
      <w:pPr>
        <w:spacing w:after="0" w:line="104"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MEI Pharma, Inc.;</w:t>
      </w:r>
    </w:p>
    <w:p>
      <w:pPr>
        <w:spacing w:after="0" w:line="103" w:lineRule="exact"/>
        <w:rPr>
          <w:rFonts w:ascii="Arial" w:cs="Arial" w:eastAsia="Arial" w:hAnsi="Arial"/>
          <w:sz w:val="18"/>
          <w:szCs w:val="18"/>
          <w:color w:val="auto"/>
        </w:rPr>
      </w:pPr>
    </w:p>
    <w:p>
      <w:pPr>
        <w:jc w:val="both"/>
        <w:ind w:left="520" w:right="100" w:hanging="512"/>
        <w:spacing w:after="0" w:line="248"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 w:lineRule="exact"/>
        <w:rPr>
          <w:rFonts w:ascii="Arial" w:cs="Arial" w:eastAsia="Arial" w:hAnsi="Arial"/>
          <w:sz w:val="16"/>
          <w:szCs w:val="16"/>
          <w:color w:val="auto"/>
        </w:rPr>
      </w:pPr>
    </w:p>
    <w:p>
      <w:pPr>
        <w:ind w:left="520" w:right="260" w:hanging="512"/>
        <w:spacing w:after="0" w:line="248"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20" w:right="40" w:hanging="503"/>
        <w:spacing w:after="0" w:line="248"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20" w:right="60" w:hanging="503"/>
        <w:spacing w:after="0" w:line="248"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73" w:lineRule="exact"/>
        <w:rPr>
          <w:rFonts w:ascii="Arial" w:cs="Arial" w:eastAsia="Arial" w:hAnsi="Arial"/>
          <w:sz w:val="18"/>
          <w:szCs w:val="18"/>
          <w:color w:val="auto"/>
        </w:rPr>
      </w:pPr>
    </w:p>
    <w:p>
      <w:pPr>
        <w:ind w:left="1020" w:right="120" w:hanging="503"/>
        <w:spacing w:after="0" w:line="248"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1020" w:right="740" w:hanging="503"/>
        <w:spacing w:after="0" w:line="324"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ind w:left="20"/>
              <w:spacing w:after="0"/>
              <w:rPr>
                <w:sz w:val="20"/>
                <w:szCs w:val="20"/>
                <w:color w:val="auto"/>
              </w:rPr>
            </w:pPr>
            <w:r>
              <w:rPr>
                <w:rFonts w:ascii="Arial" w:cs="Arial" w:eastAsia="Arial" w:hAnsi="Arial"/>
                <w:sz w:val="18"/>
                <w:szCs w:val="18"/>
                <w:color w:val="auto"/>
              </w:rPr>
              <w:t>Date: May 23, 2022</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P. Gold</w:t>
            </w:r>
          </w:p>
        </w:tc>
        <w:tc>
          <w:tcPr>
            <w:tcW w:w="20" w:type="dxa"/>
            <w:vAlign w:val="bottom"/>
          </w:tcPr>
          <w:p>
            <w:pPr>
              <w:spacing w:after="0"/>
              <w:rPr>
                <w:sz w:val="18"/>
                <w:szCs w:val="18"/>
                <w:color w:val="auto"/>
              </w:rPr>
            </w:pPr>
          </w:p>
        </w:tc>
      </w:tr>
      <w:tr>
        <w:trPr>
          <w:trHeight w:val="155"/>
        </w:trPr>
        <w:tc>
          <w:tcPr>
            <w:tcW w:w="6020" w:type="dxa"/>
            <w:vAlign w:val="bottom"/>
          </w:tcPr>
          <w:p>
            <w:pPr>
              <w:spacing w:after="0"/>
              <w:rPr>
                <w:sz w:val="13"/>
                <w:szCs w:val="13"/>
                <w:color w:val="auto"/>
              </w:rPr>
            </w:pPr>
          </w:p>
        </w:tc>
        <w:tc>
          <w:tcPr>
            <w:tcW w:w="5200" w:type="dxa"/>
            <w:vAlign w:val="bottom"/>
          </w:tcPr>
          <w:p>
            <w:pPr>
              <w:spacing w:after="0" w:line="156" w:lineRule="exact"/>
              <w:rPr>
                <w:sz w:val="20"/>
                <w:szCs w:val="20"/>
                <w:color w:val="auto"/>
              </w:rPr>
            </w:pPr>
            <w:r>
              <w:rPr>
                <w:rFonts w:ascii="Arial" w:cs="Arial" w:eastAsia="Arial" w:hAnsi="Arial"/>
                <w:sz w:val="18"/>
                <w:szCs w:val="18"/>
                <w:color w:val="auto"/>
              </w:rPr>
              <w:t>Daniel P. Gold</w:t>
            </w:r>
          </w:p>
        </w:tc>
        <w:tc>
          <w:tcPr>
            <w:tcW w:w="20" w:type="dxa"/>
            <w:vAlign w:val="bottom"/>
          </w:tcPr>
          <w:p>
            <w:pPr>
              <w:spacing w:after="0"/>
              <w:rPr>
                <w:sz w:val="13"/>
                <w:szCs w:val="13"/>
                <w:color w:val="auto"/>
              </w:rPr>
            </w:pPr>
          </w:p>
        </w:tc>
      </w:tr>
      <w:tr>
        <w:trPr>
          <w:trHeight w:val="175"/>
        </w:trPr>
        <w:tc>
          <w:tcPr>
            <w:tcW w:w="6020" w:type="dxa"/>
            <w:vAlign w:val="bottom"/>
          </w:tcPr>
          <w:p>
            <w:pPr>
              <w:spacing w:after="0"/>
              <w:rPr>
                <w:sz w:val="15"/>
                <w:szCs w:val="15"/>
                <w:color w:val="auto"/>
              </w:rPr>
            </w:pPr>
          </w:p>
        </w:tc>
        <w:tc>
          <w:tcPr>
            <w:tcW w:w="5200" w:type="dxa"/>
            <w:vAlign w:val="bottom"/>
          </w:tcPr>
          <w:p>
            <w:pPr>
              <w:spacing w:after="0" w:line="176" w:lineRule="exact"/>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15"/>
                <w:szCs w:val="15"/>
                <w:color w:val="auto"/>
              </w:rPr>
            </w:pPr>
          </w:p>
        </w:tc>
      </w:tr>
      <w:tr>
        <w:trPr>
          <w:trHeight w:val="230"/>
        </w:trPr>
        <w:tc>
          <w:tcPr>
            <w:tcW w:w="60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0" w:type="dxa"/>
            <w:vAlign w:val="bottom"/>
          </w:tcPr>
          <w:p>
            <w:pPr>
              <w:spacing w:after="0"/>
              <w:rPr>
                <w:sz w:val="20"/>
                <w:szCs w:val="20"/>
                <w:color w:val="auto"/>
              </w:rPr>
            </w:pPr>
          </w:p>
        </w:tc>
      </w:tr>
      <w:tr>
        <w:trPr>
          <w:trHeight w:val="506"/>
        </w:trPr>
        <w:tc>
          <w:tcPr>
            <w:tcW w:w="602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Brian G. Drazba, certify that:</w:t>
      </w:r>
    </w:p>
    <w:p>
      <w:pPr>
        <w:spacing w:after="0" w:line="104"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MEI Pharma, Inc.;</w:t>
      </w:r>
    </w:p>
    <w:p>
      <w:pPr>
        <w:spacing w:after="0" w:line="103" w:lineRule="exact"/>
        <w:rPr>
          <w:rFonts w:ascii="Arial" w:cs="Arial" w:eastAsia="Arial" w:hAnsi="Arial"/>
          <w:sz w:val="18"/>
          <w:szCs w:val="18"/>
          <w:color w:val="auto"/>
        </w:rPr>
      </w:pPr>
    </w:p>
    <w:p>
      <w:pPr>
        <w:jc w:val="both"/>
        <w:ind w:left="520" w:right="100" w:hanging="512"/>
        <w:spacing w:after="0" w:line="248"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 w:lineRule="exact"/>
        <w:rPr>
          <w:rFonts w:ascii="Arial" w:cs="Arial" w:eastAsia="Arial" w:hAnsi="Arial"/>
          <w:sz w:val="16"/>
          <w:szCs w:val="16"/>
          <w:color w:val="auto"/>
        </w:rPr>
      </w:pPr>
    </w:p>
    <w:p>
      <w:pPr>
        <w:ind w:left="520" w:right="260" w:hanging="512"/>
        <w:spacing w:after="0" w:line="248"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20" w:right="40" w:hanging="503"/>
        <w:spacing w:after="0" w:line="248"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20" w:right="60" w:hanging="503"/>
        <w:spacing w:after="0" w:line="248"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73" w:lineRule="exact"/>
        <w:rPr>
          <w:rFonts w:ascii="Arial" w:cs="Arial" w:eastAsia="Arial" w:hAnsi="Arial"/>
          <w:sz w:val="18"/>
          <w:szCs w:val="18"/>
          <w:color w:val="auto"/>
        </w:rPr>
      </w:pPr>
    </w:p>
    <w:p>
      <w:pPr>
        <w:ind w:left="1020" w:right="120" w:hanging="503"/>
        <w:spacing w:after="0" w:line="248"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1020" w:right="740" w:hanging="503"/>
        <w:spacing w:after="0" w:line="324" w:lineRule="auto"/>
        <w:tabs>
          <w:tab w:leader="none" w:pos="10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ind w:left="20"/>
              <w:spacing w:after="0"/>
              <w:rPr>
                <w:sz w:val="20"/>
                <w:szCs w:val="20"/>
                <w:color w:val="auto"/>
              </w:rPr>
            </w:pPr>
            <w:r>
              <w:rPr>
                <w:rFonts w:ascii="Arial" w:cs="Arial" w:eastAsia="Arial" w:hAnsi="Arial"/>
                <w:sz w:val="18"/>
                <w:szCs w:val="18"/>
                <w:color w:val="auto"/>
              </w:rPr>
              <w:t>Date: May 23, 2022</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G. Drazba</w:t>
            </w:r>
          </w:p>
        </w:tc>
        <w:tc>
          <w:tcPr>
            <w:tcW w:w="20" w:type="dxa"/>
            <w:vAlign w:val="bottom"/>
          </w:tcPr>
          <w:p>
            <w:pPr>
              <w:spacing w:after="0"/>
              <w:rPr>
                <w:sz w:val="18"/>
                <w:szCs w:val="18"/>
                <w:color w:val="auto"/>
              </w:rPr>
            </w:pPr>
          </w:p>
        </w:tc>
      </w:tr>
      <w:tr>
        <w:trPr>
          <w:trHeight w:val="156"/>
        </w:trPr>
        <w:tc>
          <w:tcPr>
            <w:tcW w:w="6020" w:type="dxa"/>
            <w:vAlign w:val="bottom"/>
          </w:tcPr>
          <w:p>
            <w:pPr>
              <w:spacing w:after="0"/>
              <w:rPr>
                <w:sz w:val="13"/>
                <w:szCs w:val="13"/>
                <w:color w:val="auto"/>
              </w:rPr>
            </w:pPr>
          </w:p>
        </w:tc>
        <w:tc>
          <w:tcPr>
            <w:tcW w:w="5200" w:type="dxa"/>
            <w:vAlign w:val="bottom"/>
          </w:tcPr>
          <w:p>
            <w:pPr>
              <w:spacing w:after="0" w:line="156" w:lineRule="exact"/>
              <w:rPr>
                <w:sz w:val="20"/>
                <w:szCs w:val="20"/>
                <w:color w:val="auto"/>
              </w:rPr>
            </w:pPr>
            <w:r>
              <w:rPr>
                <w:rFonts w:ascii="Arial" w:cs="Arial" w:eastAsia="Arial" w:hAnsi="Arial"/>
                <w:sz w:val="18"/>
                <w:szCs w:val="18"/>
                <w:color w:val="auto"/>
              </w:rPr>
              <w:t>Brian G. Drazba</w:t>
            </w:r>
          </w:p>
        </w:tc>
        <w:tc>
          <w:tcPr>
            <w:tcW w:w="20" w:type="dxa"/>
            <w:vAlign w:val="bottom"/>
          </w:tcPr>
          <w:p>
            <w:pPr>
              <w:spacing w:after="0"/>
              <w:rPr>
                <w:sz w:val="13"/>
                <w:szCs w:val="13"/>
                <w:color w:val="auto"/>
              </w:rPr>
            </w:pPr>
          </w:p>
        </w:tc>
      </w:tr>
      <w:tr>
        <w:trPr>
          <w:trHeight w:val="175"/>
        </w:trPr>
        <w:tc>
          <w:tcPr>
            <w:tcW w:w="6020" w:type="dxa"/>
            <w:vAlign w:val="bottom"/>
          </w:tcPr>
          <w:p>
            <w:pPr>
              <w:spacing w:after="0"/>
              <w:rPr>
                <w:sz w:val="15"/>
                <w:szCs w:val="15"/>
                <w:color w:val="auto"/>
              </w:rPr>
            </w:pPr>
          </w:p>
        </w:tc>
        <w:tc>
          <w:tcPr>
            <w:tcW w:w="5200" w:type="dxa"/>
            <w:vAlign w:val="bottom"/>
          </w:tcPr>
          <w:p>
            <w:pPr>
              <w:spacing w:after="0" w:line="176" w:lineRule="exact"/>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15"/>
                <w:szCs w:val="15"/>
                <w:color w:val="auto"/>
              </w:rPr>
            </w:pPr>
          </w:p>
        </w:tc>
      </w:tr>
      <w:tr>
        <w:trPr>
          <w:trHeight w:val="230"/>
        </w:trPr>
        <w:tc>
          <w:tcPr>
            <w:tcW w:w="60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20"/>
                <w:szCs w:val="20"/>
                <w:color w:val="auto"/>
              </w:rPr>
            </w:pPr>
          </w:p>
        </w:tc>
      </w:tr>
      <w:tr>
        <w:trPr>
          <w:trHeight w:val="506"/>
        </w:trPr>
        <w:tc>
          <w:tcPr>
            <w:tcW w:w="602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Pursuant to the requirement set forth in Rule 13a-14(b) or Rule 15d-14(b) of the Securities Exchange Act of 1934, as amended, and Section 1350 of Chapter 63 of Title 18 of the United States Code (18 U.S.C. § 1350), Daniel P. Gold, the Chief Executive Officer of MEI Pharma, Inc. (the “Registrant”), and Brian G. Drazba, the Chief Financial Officer of the Registrant, each hereby certifies that, to his knowledge:</w:t>
      </w:r>
    </w:p>
    <w:p>
      <w:pPr>
        <w:spacing w:after="0" w:line="56" w:lineRule="exact"/>
        <w:rPr>
          <w:sz w:val="20"/>
          <w:szCs w:val="20"/>
          <w:color w:val="auto"/>
        </w:rPr>
      </w:pPr>
    </w:p>
    <w:p>
      <w:pPr>
        <w:ind w:left="520" w:right="140" w:hanging="512"/>
        <w:spacing w:after="0" w:line="324" w:lineRule="auto"/>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Quarterly Report on Form 10-Q for the period ended March 31, 2022, (the “Form 10-Q”) to which this Certification is attached as Exhibit 32.1, fully complies with the requirements of Section 13(a) or Section 15(d) of the Securities Exchange Act of 1934, as amended; and</w:t>
      </w:r>
    </w:p>
    <w:p>
      <w:pPr>
        <w:spacing w:after="0" w:line="16" w:lineRule="exact"/>
        <w:rPr>
          <w:rFonts w:ascii="Arial" w:cs="Arial" w:eastAsia="Arial" w:hAnsi="Arial"/>
          <w:sz w:val="16"/>
          <w:szCs w:val="16"/>
          <w:color w:val="auto"/>
        </w:rPr>
      </w:pPr>
    </w:p>
    <w:p>
      <w:pPr>
        <w:ind w:left="520" w:right="60" w:hanging="512"/>
        <w:spacing w:after="0" w:line="261"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of the Registrant at the end of the period covered by the Form 10-Q and results of operations of the registrant for the period covered by the Form 10-Q.</w:t>
      </w:r>
    </w:p>
    <w:p>
      <w:pPr>
        <w:spacing w:after="0" w:line="17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These certifications accompanying the Form 10-Q to which they relate,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Dated: May 23, 2022</w:t>
            </w:r>
          </w:p>
        </w:tc>
        <w:tc>
          <w:tcPr>
            <w:tcW w:w="7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 Daniel P. Gold</w:t>
            </w:r>
          </w:p>
        </w:tc>
        <w:tc>
          <w:tcPr>
            <w:tcW w:w="5980" w:type="dxa"/>
            <w:vAlign w:val="bottom"/>
            <w:gridSpan w:val="2"/>
          </w:tcPr>
          <w:p>
            <w:pPr>
              <w:ind w:left="780"/>
              <w:spacing w:after="0"/>
              <w:rPr>
                <w:sz w:val="20"/>
                <w:szCs w:val="20"/>
                <w:color w:val="auto"/>
              </w:rPr>
            </w:pPr>
            <w:r>
              <w:rPr>
                <w:rFonts w:ascii="Arial" w:cs="Arial" w:eastAsia="Arial" w:hAnsi="Arial"/>
                <w:sz w:val="18"/>
                <w:szCs w:val="18"/>
                <w:color w:val="auto"/>
              </w:rPr>
              <w:t>/s/ Brian G. Drazba</w:t>
            </w:r>
          </w:p>
        </w:tc>
        <w:tc>
          <w:tcPr>
            <w:tcW w:w="20" w:type="dxa"/>
            <w:vAlign w:val="bottom"/>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5220" w:type="dxa"/>
            <w:vAlign w:val="bottom"/>
            <w:tcBorders>
              <w:top w:val="single" w:sz="8" w:color="auto"/>
            </w:tcBorders>
          </w:tcPr>
          <w:p>
            <w:pPr>
              <w:spacing w:after="0" w:line="168" w:lineRule="exact"/>
              <w:rPr>
                <w:sz w:val="20"/>
                <w:szCs w:val="20"/>
                <w:color w:val="auto"/>
              </w:rPr>
            </w:pPr>
            <w:r>
              <w:rPr>
                <w:rFonts w:ascii="Arial" w:cs="Arial" w:eastAsia="Arial" w:hAnsi="Arial"/>
                <w:sz w:val="18"/>
                <w:szCs w:val="18"/>
                <w:color w:val="auto"/>
              </w:rPr>
              <w:t>Daniel P. Gold</w:t>
            </w:r>
          </w:p>
        </w:tc>
        <w:tc>
          <w:tcPr>
            <w:tcW w:w="780" w:type="dxa"/>
            <w:vAlign w:val="bottom"/>
          </w:tcPr>
          <w:p>
            <w:pPr>
              <w:spacing w:after="0"/>
              <w:rPr>
                <w:sz w:val="14"/>
                <w:szCs w:val="14"/>
                <w:color w:val="auto"/>
              </w:rPr>
            </w:pPr>
          </w:p>
        </w:tc>
        <w:tc>
          <w:tcPr>
            <w:tcW w:w="5200" w:type="dxa"/>
            <w:vAlign w:val="bottom"/>
            <w:tcBorders>
              <w:top w:val="single" w:sz="8" w:color="auto"/>
            </w:tcBorders>
          </w:tcPr>
          <w:p>
            <w:pPr>
              <w:spacing w:after="0" w:line="168" w:lineRule="exact"/>
              <w:rPr>
                <w:sz w:val="20"/>
                <w:szCs w:val="20"/>
                <w:color w:val="auto"/>
              </w:rPr>
            </w:pPr>
            <w:r>
              <w:rPr>
                <w:rFonts w:ascii="Arial" w:cs="Arial" w:eastAsia="Arial" w:hAnsi="Arial"/>
                <w:sz w:val="18"/>
                <w:szCs w:val="18"/>
                <w:color w:val="auto"/>
              </w:rPr>
              <w:t>Brian G. Drazba</w:t>
            </w: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220" w:type="dxa"/>
            <w:vAlign w:val="bottom"/>
          </w:tcPr>
          <w:p>
            <w:pPr>
              <w:spacing w:after="0" w:line="176" w:lineRule="exact"/>
              <w:rPr>
                <w:sz w:val="20"/>
                <w:szCs w:val="20"/>
                <w:color w:val="auto"/>
              </w:rPr>
            </w:pPr>
            <w:r>
              <w:rPr>
                <w:rFonts w:ascii="Arial" w:cs="Arial" w:eastAsia="Arial" w:hAnsi="Arial"/>
                <w:sz w:val="18"/>
                <w:szCs w:val="18"/>
                <w:color w:val="auto"/>
              </w:rPr>
              <w:t>Chief Executive Officer</w:t>
            </w:r>
          </w:p>
        </w:tc>
        <w:tc>
          <w:tcPr>
            <w:tcW w:w="5980" w:type="dxa"/>
            <w:vAlign w:val="bottom"/>
            <w:gridSpan w:val="2"/>
          </w:tcPr>
          <w:p>
            <w:pPr>
              <w:ind w:left="780"/>
              <w:spacing w:after="0" w:line="176" w:lineRule="exact"/>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980" w:type="dxa"/>
            <w:vAlign w:val="bottom"/>
            <w:gridSpan w:val="2"/>
          </w:tcPr>
          <w:p>
            <w:pPr>
              <w:ind w:left="780"/>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20"/>
                <w:szCs w:val="20"/>
                <w:color w:val="auto"/>
              </w:rPr>
            </w:pPr>
          </w:p>
        </w:tc>
      </w:tr>
      <w:tr>
        <w:trPr>
          <w:trHeight w:val="506"/>
        </w:trPr>
        <w:tc>
          <w:tcPr>
            <w:tcW w:w="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04"/>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2022-05-23T15:29:45Z</dcterms:created>
  <dcterms:modified xsi:type="dcterms:W3CDTF">2022-05-23T15:29:45Z</dcterms:modified>
</cp:coreProperties>
</file>