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47"/>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587"/>
        <w:spacing w:after="0"/>
        <w:rPr>
          <w:sz w:val="20"/>
          <w:szCs w:val="20"/>
          <w:color w:val="auto"/>
        </w:rPr>
      </w:pPr>
      <w:r>
        <w:rPr>
          <w:rFonts w:ascii="Times New Roman" w:cs="Times New Roman" w:eastAsia="Times New Roman" w:hAnsi="Times New Roman"/>
          <w:sz w:val="22"/>
          <w:szCs w:val="22"/>
          <w:b w:val="1"/>
          <w:bCs w:val="1"/>
          <w:color w:val="0000FF"/>
        </w:rPr>
        <w:t>Lite Strategy,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Common Stock, par value $0.00000002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55279B301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55279B301</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DELAWARE</w:t>
      </w:r>
    </w:p>
    <w:p>
      <w:pPr>
        <w:sectPr>
          <w:pgSz w:w="11920" w:h="16838" w:orient="portrait"/>
          <w:cols w:equalWidth="0" w:num="1">
            <w:col w:w="10105"/>
          </w:cols>
          <w:pgMar w:left="373" w:top="861" w:right="1440" w:bottom="0" w:gutter="0" w:footer="0" w:header="0"/>
        </w:sectPr>
      </w:pPr>
    </w:p>
    <w:bookmarkStart w:id="1" w:name="page2"/>
    <w:bookmarkEnd w:id="1"/>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1,085,626.00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1,085,626.00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1,085,626.00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20" w:h="16838" w:orient="portrait"/>
          <w:cols w:equalWidth="0" w:num="2">
            <w:col w:w="1080" w:space="60"/>
            <w:col w:w="9740"/>
          </w:cols>
          <w:pgMar w:left="340" w:top="161" w:right="698" w:bottom="67"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36,769,677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December 15, 2025 (according to the issuer's definitive proxy statement as filed with the Securities and Exchange Commission on December 30,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55279B301</w:t>
      </w: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4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40" w:hanging="1107"/>
        <w:spacing w:after="0"/>
        <w:tabs>
          <w:tab w:leader="none" w:pos="114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4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40" w:hanging="1107"/>
        <w:spacing w:after="0"/>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82"/>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Beneficially 6</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1,085,626.00</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1,085,626.00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40"/>
        <w:spacing w:after="0"/>
        <w:rPr>
          <w:sz w:val="20"/>
          <w:szCs w:val="20"/>
          <w:color w:val="auto"/>
        </w:rPr>
      </w:pPr>
      <w:r>
        <w:rPr>
          <w:rFonts w:ascii="Times New Roman" w:cs="Times New Roman" w:eastAsia="Times New Roman" w:hAnsi="Times New Roman"/>
          <w:sz w:val="22"/>
          <w:szCs w:val="22"/>
          <w:color w:val="auto"/>
        </w:rPr>
        <w:t>1,085,626.00</w:t>
      </w:r>
    </w:p>
    <w:p>
      <w:pPr>
        <w:sectPr>
          <w:pgSz w:w="11920" w:h="16838" w:orient="portrait"/>
          <w:cols w:equalWidth="0" w:num="1">
            <w:col w:w="10880"/>
          </w:cols>
          <w:pgMar w:left="340" w:top="161" w:right="698" w:bottom="67" w:gutter="0" w:footer="0" w:header="0"/>
          <w:type w:val="continuous"/>
        </w:sectPr>
      </w:pPr>
    </w:p>
    <w:bookmarkStart w:id="2" w:name="page3"/>
    <w:bookmarkEnd w:id="2"/>
    <w:p>
      <w:pPr>
        <w:jc w:val="right"/>
        <w:ind w:right="1418"/>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4445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0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0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55279B301</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20" w:h="16838" w:orient="portrait"/>
          <w:cols w:equalWidth="0" w:num="1">
            <w:col w:w="10098"/>
          </w:cols>
          <w:pgMar w:left="380" w:top="121" w:right="1440" w:bottom="27"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1,085,626.00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1,085,626.00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1,085,626.00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20" w:h="16838" w:orient="portrait"/>
          <w:cols w:equalWidth="0" w:num="2">
            <w:col w:w="1040" w:space="60"/>
            <w:col w:w="8998"/>
          </w:cols>
          <w:pgMar w:left="380" w:top="121" w:right="1440" w:bottom="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55279B301</w:t>
      </w:r>
    </w:p>
    <w:p>
      <w:pPr>
        <w:spacing w:after="0" w:line="200" w:lineRule="exact"/>
        <w:rPr>
          <w:sz w:val="20"/>
          <w:szCs w:val="20"/>
          <w:color w:val="auto"/>
        </w:rPr>
      </w:pPr>
    </w:p>
    <w:p>
      <w:pPr>
        <w:spacing w:after="0" w:line="361" w:lineRule="exact"/>
        <w:rPr>
          <w:sz w:val="20"/>
          <w:szCs w:val="20"/>
          <w:color w:val="auto"/>
        </w:rPr>
      </w:pPr>
    </w:p>
    <w:p>
      <w:pPr>
        <w:jc w:val="right"/>
        <w:ind w:right="6518"/>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Citadel Securities LLC</w:t>
      </w:r>
    </w:p>
    <w:p>
      <w:pPr>
        <w:sectPr>
          <w:pgSz w:w="11920" w:h="16838" w:orient="portrait"/>
          <w:cols w:equalWidth="0" w:num="1">
            <w:col w:w="10098"/>
          </w:cols>
          <w:pgMar w:left="380" w:top="121" w:right="1440" w:bottom="27" w:gutter="0" w:footer="0" w:header="0"/>
          <w:type w:val="continuous"/>
        </w:sectPr>
      </w:pPr>
    </w:p>
    <w:bookmarkStart w:id="3" w:name="page4"/>
    <w:bookmarkEnd w:id="3"/>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105"/>
          </w:cols>
          <w:pgMar w:left="373" w:top="121" w:right="1440" w:bottom="0" w:gutter="0" w:footer="0" w:header="0"/>
        </w:sectPr>
      </w:pP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347,585.00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347,585.00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347,585.00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20" w:h="16838" w:orient="portrait"/>
          <w:cols w:equalWidth="0" w:num="2">
            <w:col w:w="1047" w:space="60"/>
            <w:col w:w="8998"/>
          </w:cols>
          <w:pgMar w:left="373" w:top="12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55279B301</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07" w:hanging="1107"/>
        <w:spacing w:after="0"/>
        <w:tabs>
          <w:tab w:leader="none" w:pos="1107"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07" w:hanging="1107"/>
        <w:spacing w:after="0"/>
        <w:tabs>
          <w:tab w:leader="none" w:pos="110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tbl>
      <w:tblPr>
        <w:tblLayout w:type="fixed"/>
        <w:tblInd w:w="7"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82"/>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Beneficially 6</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347,585.00</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347,585.00</w:t>
            </w:r>
          </w:p>
        </w:tc>
        <w:tc>
          <w:tcPr>
            <w:tcW w:w="0" w:type="dxa"/>
            <w:vAlign w:val="bottom"/>
          </w:tcPr>
          <w:p>
            <w:pPr>
              <w:spacing w:after="0"/>
              <w:rPr>
                <w:sz w:val="1"/>
                <w:szCs w:val="1"/>
                <w:color w:val="auto"/>
              </w:rPr>
            </w:pPr>
          </w:p>
        </w:tc>
      </w:tr>
    </w:tbl>
    <w:p>
      <w:pPr>
        <w:sectPr>
          <w:pgSz w:w="11920" w:h="16838" w:orient="portrait"/>
          <w:cols w:equalWidth="0" w:num="1">
            <w:col w:w="10105"/>
          </w:cols>
          <w:pgMar w:left="373" w:top="121" w:right="1440" w:bottom="0" w:gutter="0" w:footer="0" w:header="0"/>
          <w:type w:val="continuous"/>
        </w:sectPr>
      </w:pPr>
    </w:p>
    <w:bookmarkStart w:id="4" w:name="page5"/>
    <w:bookmarkEnd w:id="4"/>
    <w:p>
      <w:pPr>
        <w:ind w:left="1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00"/>
        <w:spacing w:after="0"/>
        <w:rPr>
          <w:sz w:val="20"/>
          <w:szCs w:val="20"/>
          <w:color w:val="auto"/>
        </w:rPr>
      </w:pPr>
      <w:r>
        <w:rPr>
          <w:rFonts w:ascii="Times New Roman" w:cs="Times New Roman" w:eastAsia="Times New Roman" w:hAnsi="Times New Roman"/>
          <w:sz w:val="22"/>
          <w:szCs w:val="22"/>
          <w:color w:val="auto"/>
        </w:rPr>
        <w:t>347,585.00</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4445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00"/>
        <w:spacing w:after="0"/>
        <w:rPr>
          <w:sz w:val="20"/>
          <w:szCs w:val="20"/>
          <w:color w:val="auto"/>
        </w:rPr>
      </w:pPr>
      <w:r>
        <w:rPr>
          <w:rFonts w:ascii="Times New Roman" w:cs="Times New Roman" w:eastAsia="Times New Roman" w:hAnsi="Times New Roman"/>
          <w:sz w:val="22"/>
          <w:szCs w:val="22"/>
          <w:color w:val="auto"/>
        </w:rPr>
        <w:t>0.9 %</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0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55279B301</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20" w:h="16838" w:orient="portrait"/>
          <w:cols w:equalWidth="0" w:num="1">
            <w:col w:w="10098"/>
          </w:cols>
          <w:pgMar w:left="380" w:top="121" w:right="1440" w:bottom="579"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347,585.00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347,585.00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347,585.00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20" w:h="16838" w:orient="portrait"/>
          <w:cols w:equalWidth="0" w:num="2">
            <w:col w:w="1040" w:space="60"/>
            <w:col w:w="8998"/>
          </w:cols>
          <w:pgMar w:left="380" w:top="121" w:right="1440" w:bottom="579"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SCHEDULE 13G</w:t>
      </w:r>
    </w:p>
    <w:p>
      <w:pPr>
        <w:sectPr>
          <w:pgSz w:w="11920" w:h="16838" w:orient="portrait"/>
          <w:cols w:equalWidth="0" w:num="1">
            <w:col w:w="10098"/>
          </w:cols>
          <w:pgMar w:left="380" w:top="121" w:right="1440" w:bottom="579" w:gutter="0" w:footer="0" w:header="0"/>
          <w:type w:val="continuous"/>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CUSIP No. </w:t>
      </w:r>
      <w:r>
        <w:rPr>
          <w:rFonts w:ascii="Times New Roman" w:cs="Times New Roman" w:eastAsia="Times New Roman" w:hAnsi="Times New Roman"/>
          <w:sz w:val="18"/>
          <w:szCs w:val="18"/>
          <w:color w:val="auto"/>
        </w:rPr>
        <w:t>55279B301</w:t>
      </w:r>
    </w:p>
    <w:p>
      <w:pPr>
        <w:sectPr>
          <w:pgSz w:w="11920" w:h="16838" w:orient="portrait"/>
          <w:cols w:equalWidth="0" w:num="1">
            <w:col w:w="10098"/>
          </w:cols>
          <w:pgMar w:left="380" w:top="121" w:right="1440" w:bottom="579" w:gutter="0" w:footer="0" w:header="0"/>
          <w:type w:val="continuous"/>
        </w:sectPr>
      </w:pPr>
    </w:p>
    <w:bookmarkStart w:id="5" w:name="page6"/>
    <w:bookmarkEnd w:id="5"/>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07" w:hanging="1107"/>
        <w:spacing w:after="0"/>
        <w:tabs>
          <w:tab w:leader="none" w:pos="1107"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20" w:h="16838" w:orient="portrait"/>
          <w:cols w:equalWidth="0" w:num="1">
            <w:col w:w="11127"/>
          </w:cols>
          <w:pgMar w:left="373" w:top="148" w:right="418" w:bottom="0" w:gutter="0" w:footer="0" w:header="0"/>
        </w:sectPr>
      </w:pPr>
    </w:p>
    <w:p>
      <w:pPr>
        <w:spacing w:after="0" w:line="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1,433,211.00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1,433,211.00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1,433,211.00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20" w:h="16838" w:orient="portrait"/>
          <w:cols w:equalWidth="0" w:num="2">
            <w:col w:w="1047" w:space="60"/>
            <w:col w:w="10020"/>
          </w:cols>
          <w:pgMar w:left="373" w:top="148" w:right="418"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spacing w:after="0"/>
        <w:rPr>
          <w:sz w:val="20"/>
          <w:szCs w:val="20"/>
          <w:color w:val="auto"/>
        </w:rPr>
      </w:pPr>
      <w:r>
        <w:rPr>
          <w:rFonts w:ascii="Times New Roman" w:cs="Times New Roman" w:eastAsia="Times New Roman" w:hAnsi="Times New Roman"/>
          <w:sz w:val="22"/>
          <w:szCs w:val="22"/>
          <w:color w:val="auto"/>
        </w:rPr>
        <w:t>Lite Strategy, Inc.</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9920 Pacific Heights Blvd., Suite 150, San Diego, CA, 92121</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7"/>
        <w:spacing w:after="0" w:line="247" w:lineRule="auto"/>
        <w:rPr>
          <w:sz w:val="20"/>
          <w:szCs w:val="20"/>
          <w:color w:val="auto"/>
        </w:rPr>
      </w:pPr>
      <w:r>
        <w:rPr>
          <w:rFonts w:ascii="Times New Roman" w:cs="Times New Roman" w:eastAsia="Times New Roman" w:hAnsi="Times New Roman"/>
          <w:sz w:val="21"/>
          <w:szCs w:val="21"/>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w:t>
      </w:r>
    </w:p>
    <w:p>
      <w:pPr>
        <w:spacing w:after="0" w:line="2" w:lineRule="exact"/>
        <w:rPr>
          <w:sz w:val="20"/>
          <w:szCs w:val="20"/>
          <w:color w:val="auto"/>
        </w:rPr>
      </w:pPr>
    </w:p>
    <w:p>
      <w:pPr>
        <w:ind w:left="927" w:right="80" w:hanging="927"/>
        <w:spacing w:after="0" w:line="244" w:lineRule="auto"/>
        <w:tabs>
          <w:tab w:leader="none" w:pos="927"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issuer owned by Citadel CEMF Investments Ltd., a Cayman Islands limited company ("CCIL"), and Citadel Securities. Such owned Shares may include other instruments exercisable for or convertible into Shares. Citadel Advisors is the portfolio manager for CCIL. CAH is the sole member of Citadel Advisors. CGP is the general partner of CAH. CALC4 is the non-member manager of Citadel Securities.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p>
      <w:pPr>
        <w:spacing w:after="0" w:line="12"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The address of each of the Reporting Persons is 830 Brickell Plaza, Miami, Florida 33131.</w:t>
      </w:r>
    </w:p>
    <w:p>
      <w:pPr>
        <w:sectPr>
          <w:pgSz w:w="11920" w:h="16838" w:orient="portrait"/>
          <w:cols w:equalWidth="0" w:num="1">
            <w:col w:w="11127"/>
          </w:cols>
          <w:pgMar w:left="373" w:top="148" w:right="418" w:bottom="0" w:gutter="0" w:footer="0" w:header="0"/>
          <w:type w:val="continuous"/>
        </w:sectPr>
      </w:pPr>
    </w:p>
    <w:bookmarkStart w:id="6" w:name="page7"/>
    <w:bookmarkEnd w:id="6"/>
    <w:p>
      <w:pPr>
        <w:ind w:left="927"/>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7" w:right="220" w:hanging="927"/>
        <w:spacing w:after="0" w:line="244" w:lineRule="auto"/>
        <w:tabs>
          <w:tab w:leader="none" w:pos="92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1"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tbl>
      <w:tblPr>
        <w:tblLayout w:type="fixed"/>
        <w:tblInd w:w="7" w:type="dxa"/>
        <w:tblCellMar>
          <w:top w:w="0" w:type="dxa"/>
          <w:left w:w="0" w:type="dxa"/>
          <w:bottom w:w="0" w:type="dxa"/>
          <w:right w:w="0" w:type="dxa"/>
        </w:tblCellMar>
      </w:tblPr>
      <w:tr>
        <w:trPr>
          <w:trHeight w:val="273"/>
        </w:trPr>
        <w:tc>
          <w:tcPr>
            <w:tcW w:w="760" w:type="dxa"/>
            <w:vAlign w:val="bottom"/>
          </w:tcPr>
          <w:p>
            <w:pPr>
              <w:spacing w:after="0"/>
              <w:rPr>
                <w:sz w:val="23"/>
                <w:szCs w:val="23"/>
                <w:color w:val="auto"/>
              </w:rPr>
            </w:pP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Common Stock, par value $0.00000002 per share (the "Shares")</w:t>
            </w:r>
          </w:p>
        </w:tc>
        <w:tc>
          <w:tcPr>
            <w:tcW w:w="0" w:type="dxa"/>
            <w:vAlign w:val="bottom"/>
          </w:tcPr>
          <w:p>
            <w:pPr>
              <w:spacing w:after="0"/>
              <w:rPr>
                <w:sz w:val="1"/>
                <w:szCs w:val="1"/>
                <w:color w:val="auto"/>
              </w:rPr>
            </w:pPr>
          </w:p>
        </w:tc>
      </w:tr>
      <w:tr>
        <w:trPr>
          <w:trHeight w:val="282"/>
        </w:trPr>
        <w:tc>
          <w:tcPr>
            <w:tcW w:w="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CUSIP No.:</w:t>
            </w:r>
          </w:p>
        </w:tc>
        <w:tc>
          <w:tcPr>
            <w:tcW w:w="0" w:type="dxa"/>
            <w:vAlign w:val="bottom"/>
          </w:tcPr>
          <w:p>
            <w:pPr>
              <w:spacing w:after="0"/>
              <w:rPr>
                <w:sz w:val="1"/>
                <w:szCs w:val="1"/>
                <w:color w:val="auto"/>
              </w:rPr>
            </w:pPr>
          </w:p>
        </w:tc>
      </w:tr>
      <w:tr>
        <w:trPr>
          <w:trHeight w:val="243"/>
        </w:trPr>
        <w:tc>
          <w:tcPr>
            <w:tcW w:w="760" w:type="dxa"/>
            <w:vAlign w:val="bottom"/>
            <w:vMerge w:val="continue"/>
          </w:tcPr>
          <w:p>
            <w:pPr>
              <w:spacing w:after="0"/>
              <w:rPr>
                <w:sz w:val="21"/>
                <w:szCs w:val="21"/>
                <w:color w:val="auto"/>
              </w:rPr>
            </w:pPr>
          </w:p>
        </w:tc>
        <w:tc>
          <w:tcPr>
            <w:tcW w:w="98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55279B301</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If this statement is filed pursuant to §§ 240.13d-1(b) or 240.13d-2(b) or (c), check whether the person filing is a:</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8"/>
              </w:rPr>
              <w:t>Investment company registered under section 8 of the Investment Company Act of 1940 (15 U.S.C. 80a-8);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-761365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-563880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-367030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-169545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ind w:left="927" w:hanging="927"/>
        <w:spacing w:after="0"/>
        <w:tabs>
          <w:tab w:leader="none" w:pos="9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7" w:hanging="927"/>
        <w:spacing w:after="0"/>
        <w:tabs>
          <w:tab w:leader="none" w:pos="9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8" w:lineRule="exact"/>
        <w:rPr>
          <w:sz w:val="20"/>
          <w:szCs w:val="20"/>
          <w:color w:val="auto"/>
        </w:rPr>
      </w:pPr>
    </w:p>
    <w:tbl>
      <w:tblPr>
        <w:tblLayout w:type="fixed"/>
        <w:tblInd w:w="7" w:type="dxa"/>
        <w:tblCellMar>
          <w:top w:w="0" w:type="dxa"/>
          <w:left w:w="0" w:type="dxa"/>
          <w:bottom w:w="0" w:type="dxa"/>
          <w:right w:w="0" w:type="dxa"/>
        </w:tblCellMar>
      </w:tblPr>
      <w:tr>
        <w:trPr>
          <w:trHeight w:val="28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(g)</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tc>
        <w:tc>
          <w:tcPr>
            <w:tcW w:w="0" w:type="dxa"/>
            <w:vAlign w:val="bottom"/>
          </w:tcPr>
          <w:p>
            <w:pPr>
              <w:spacing w:after="0"/>
              <w:rPr>
                <w:sz w:val="1"/>
                <w:szCs w:val="1"/>
                <w:color w:val="auto"/>
              </w:rPr>
            </w:pP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(h)</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71"/>
        </w:trPr>
        <w:tc>
          <w:tcPr>
            <w:tcW w:w="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A church plan that is excluded from the definition of an investment company under section 3(c)(14) of the</w:t>
            </w: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3"/>
                <w:szCs w:val="13"/>
                <w:color w:val="auto"/>
              </w:rPr>
            </w:pPr>
          </w:p>
        </w:tc>
        <w:tc>
          <w:tcPr>
            <w:tcW w:w="98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Investment Company Act of 1940 (15 U.S.C. 80a-3);</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-718820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-521335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-324485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27" w:hanging="927"/>
        <w:spacing w:after="0"/>
        <w:tabs>
          <w:tab w:leader="none" w:pos="9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 240.13d-1(b)(1)(ii)(J),</w:t>
      </w:r>
    </w:p>
    <w:p>
      <w:pPr>
        <w:ind w:left="1307"/>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7" w:hanging="927"/>
        <w:spacing w:after="0"/>
        <w:tabs>
          <w:tab w:leader="none" w:pos="92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7"/>
        <w:spacing w:after="0"/>
        <w:tabs>
          <w:tab w:leader="none" w:pos="906"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7" w:right="120" w:hanging="927"/>
        <w:spacing w:after="0" w:line="193" w:lineRule="auto"/>
        <w:tabs>
          <w:tab w:leader="none" w:pos="927"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Each of Citadel Advisors LLC, Citadel Advisors Holdings LP and Citadel GP LLC may be deemed to beneficially own 1,085,626 Shares. 2. Citadel Securities LLC may be deemed to beneficially own 347,585 Shares. 3. Each of Citadel Securities Group LP and Citadel Securities GP LLC may be deemed to beneficially own 347,585 Shares. 4. Mr. Griffin may be deemed to beneficially own 1,433,211 Shares.</w:t>
      </w:r>
    </w:p>
    <w:p>
      <w:pPr>
        <w:spacing w:after="0" w:line="18" w:lineRule="exact"/>
        <w:rPr>
          <w:rFonts w:ascii="Times New Roman" w:cs="Times New Roman" w:eastAsia="Times New Roman" w:hAnsi="Times New Roman"/>
          <w:sz w:val="43"/>
          <w:szCs w:val="43"/>
          <w:color w:val="auto"/>
          <w:vertAlign w:val="subscript"/>
        </w:rPr>
      </w:pPr>
    </w:p>
    <w:p>
      <w:pPr>
        <w:ind w:left="927"/>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1127" w:hanging="204"/>
        <w:spacing w:after="0"/>
        <w:tabs>
          <w:tab w:leader="none" w:pos="1127"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that each of Citadel Advisors LLC, Citadel Advisors Holdings LP and Citadel GP LLC may</w:t>
      </w:r>
    </w:p>
    <w:p>
      <w:pPr>
        <w:spacing w:after="0" w:line="25" w:lineRule="exact"/>
        <w:rPr>
          <w:rFonts w:ascii="Times New Roman" w:cs="Times New Roman" w:eastAsia="Times New Roman" w:hAnsi="Times New Roman"/>
          <w:sz w:val="21"/>
          <w:szCs w:val="21"/>
          <w:color w:val="auto"/>
        </w:rPr>
      </w:pPr>
    </w:p>
    <w:p>
      <w:pPr>
        <w:ind w:left="927" w:right="200" w:hanging="927"/>
        <w:spacing w:after="0" w:line="196" w:lineRule="auto"/>
        <w:tabs>
          <w:tab w:leader="none" w:pos="927"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to beneficially own constitutes 3.0% of the Shares outstanding. 2. The number of Shares that Citadel Securities LLC may be deemed to beneficially own constitutes 0.9% of the Shares outstanding. 3. The number of Shares that each of Citadel Securities Group LP and Citadel Securities GP LLC may be deemed to beneficially own constitutes 0.9% of the Shares outstanding. 4. The number of Shares that Mr. Griffin may be deemed to beneficially own constitutes 3.9%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7" w:hanging="927"/>
        <w:spacing w:after="0"/>
        <w:tabs>
          <w:tab w:leader="none" w:pos="9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147" w:hanging="224"/>
        <w:spacing w:after="0"/>
        <w:tabs>
          <w:tab w:leader="none" w:pos="1147"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7" w:hanging="224"/>
        <w:spacing w:after="0"/>
        <w:tabs>
          <w:tab w:leader="none" w:pos="114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7" w:right="60" w:hanging="4"/>
        <w:spacing w:after="0" w:line="244" w:lineRule="auto"/>
        <w:tabs>
          <w:tab w:leader="none" w:pos="114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LLC, Citadel Advisors Holdings LP and Citadel GP LLC: 1,085,626 2. Citadel Securities LLC: 347,585 3. Each of Citadel Securities Group LP and Citadel Securities GP LLC: 347,585 4. Mr. Griffin: 1,433,211</w:t>
      </w:r>
    </w:p>
    <w:p>
      <w:pPr>
        <w:spacing w:after="0" w:line="25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1147" w:hanging="224"/>
        <w:spacing w:after="0"/>
        <w:tabs>
          <w:tab w:leader="none" w:pos="114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7" w:hanging="224"/>
        <w:spacing w:after="0"/>
        <w:tabs>
          <w:tab w:leader="none" w:pos="114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20" w:h="16838" w:orient="portrait"/>
          <w:cols w:equalWidth="0" w:num="1">
            <w:col w:w="11127"/>
          </w:cols>
          <w:pgMar w:left="373" w:top="121" w:right="418" w:bottom="172"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4" w:right="120" w:hanging="4"/>
        <w:spacing w:after="0" w:line="244" w:lineRule="auto"/>
        <w:tabs>
          <w:tab w:leader="none" w:pos="2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LLC, Citadel Advisors Holdings LP and Citadel GP LLC: 1,085,626 2. Citadel Securities LLC: 347,585 3. Each of Citadel Securities Group LP and Citadel Securities GP LLC: 347,585 4. Mr. Griffin: 1,433,211</w:t>
      </w:r>
    </w:p>
    <w:p>
      <w:pPr>
        <w:spacing w:after="0" w:line="2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20" w:h="16838" w:orient="portrait"/>
          <w:cols w:equalWidth="0" w:num="2">
            <w:col w:w="720" w:space="196"/>
            <w:col w:w="10264"/>
          </w:cols>
          <w:pgMar w:left="380" w:top="106" w:right="358" w:bottom="0" w:gutter="0" w:footer="0" w:header="0"/>
        </w:sectPr>
      </w:pPr>
    </w:p>
    <w:p>
      <w:pPr>
        <w:ind w:left="920" w:right="2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ectPr>
          <w:pgSz w:w="11920" w:h="16838" w:orient="portrait"/>
          <w:cols w:equalWidth="0" w:num="1">
            <w:col w:w="11180"/>
          </w:cols>
          <w:pgMar w:left="380" w:top="106" w:right="358" w:bottom="0" w:gutter="0" w:footer="0" w:header="0"/>
          <w:type w:val="continuous"/>
        </w:sectPr>
      </w:pPr>
    </w:p>
    <w:bookmarkStart w:id="8" w:name="page9"/>
    <w:bookmarkEnd w:id="8"/>
    <w:p>
      <w:pPr>
        <w:ind w:left="372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3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sectPr>
      <w:pgSz w:w="11920" w:h="16838" w:orient="portrait"/>
      <w:cols w:equalWidth="0" w:num="1">
        <w:col w:w="11000"/>
      </w:cols>
      <w:pgMar w:left="340" w:top="121" w:right="57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2"/>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3"/>
    </w:lvl>
  </w:abstractNum>
  <w:abstractNum w:abstractNumId="9">
    <w:nsid w:val="DED7263"/>
    <w:multiLevelType w:val="hybridMultilevel"/>
    <w:lvl w:ilvl="0">
      <w:lvlJc w:val="left"/>
      <w:lvlText w:val="(%1)"/>
      <w:numFmt w:val="lowerLetter"/>
      <w:start w:val="5"/>
    </w:lvl>
  </w:abstractNum>
  <w:abstractNum w:abstractNumId="10">
    <w:nsid w:val="7FDCC233"/>
    <w:multiLevelType w:val="hybridMultilevel"/>
    <w:lvl w:ilvl="0">
      <w:lvlJc w:val="left"/>
      <w:lvlText w:val="(%1)"/>
      <w:numFmt w:val="lowerLetter"/>
      <w:start w:val="10"/>
    </w:lvl>
  </w:abstractNum>
  <w:abstractNum w:abstractNumId="11">
    <w:nsid w:val="1BEFD79F"/>
    <w:multiLevelType w:val="hybridMultilevel"/>
    <w:lvl w:ilvl="0">
      <w:lvlJc w:val="left"/>
      <w:lvlText w:val="(%1)"/>
      <w:numFmt w:val="lowerLetter"/>
      <w:start w:val="11"/>
    </w:lvl>
  </w:abstractNum>
  <w:abstractNum w:abstractNumId="12">
    <w:nsid w:val="41A7C4C9"/>
    <w:multiLevelType w:val="hybridMultilevel"/>
    <w:lvl w:ilvl="0">
      <w:lvlJc w:val="left"/>
      <w:lvlText w:val="(%1)"/>
      <w:numFmt w:val="lowerLetter"/>
      <w:start w:val="1"/>
    </w:lvl>
    <w:lvl w:ilvl="1">
      <w:lvlJc w:val="left"/>
      <w:lvlText w:val="%2."/>
      <w:numFmt w:val="decimal"/>
      <w:start w:val="1"/>
    </w:lvl>
  </w:abstractNum>
  <w:abstractNum w:abstractNumId="13">
    <w:nsid w:val="6B68079A"/>
    <w:multiLevelType w:val="hybridMultilevel"/>
    <w:lvl w:ilvl="0">
      <w:lvlJc w:val="left"/>
      <w:lvlText w:val="%1"/>
      <w:numFmt w:val="lowerLetter"/>
      <w:start w:val="1"/>
    </w:lvl>
    <w:lvl w:ilvl="1">
      <w:lvlJc w:val="left"/>
      <w:lvlText w:val="%2."/>
      <w:numFmt w:val="decimal"/>
      <w:start w:val="3"/>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3"/>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2026-02-17T17:52:27Z</dcterms:created>
  <dcterms:modified xsi:type="dcterms:W3CDTF">2026-02-17T17:52:27Z</dcterms:modified>
</cp:coreProperties>
</file>