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855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5521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Glover Nicholas</w:t>
              </w:r>
            </w:hyperlink>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7"/>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Lite Strategy,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3"/>
                <w:szCs w:val="13"/>
                <w:color w:val="auto"/>
                <w:w w:val="98"/>
              </w:rPr>
              <w:t>Foreign Trading Symbol</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3"/>
                <w:szCs w:val="3"/>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C/O LITE STRATEGY, INC</w:t>
            </w:r>
          </w:p>
        </w:tc>
        <w:tc>
          <w:tcPr>
            <w:tcW w:w="1060" w:type="dxa"/>
            <w:vAlign w:val="bottom"/>
          </w:tcPr>
          <w:p>
            <w:pPr>
              <w:spacing w:after="0"/>
              <w:rPr>
                <w:sz w:val="20"/>
                <w:szCs w:val="20"/>
                <w:color w:val="auto"/>
              </w:rPr>
            </w:pP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07/22/2025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9920 PACIFIC HEIGHTS BLVD., SUITE 150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2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8"/>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5"/>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20" w:type="dxa"/>
            <w:vAlign w:val="bottom"/>
            <w:gridSpan w:val="5"/>
          </w:tcPr>
          <w:p>
            <w:pPr>
              <w:jc w:val="center"/>
              <w:ind w:left="673"/>
              <w:spacing w:after="0"/>
              <w:rPr>
                <w:sz w:val="20"/>
                <w:szCs w:val="20"/>
                <w:color w:val="auto"/>
              </w:rPr>
            </w:pPr>
            <w:r>
              <w:rPr>
                <w:rFonts w:ascii="Times New Roman" w:cs="Times New Roman" w:eastAsia="Times New Roman" w:hAnsi="Times New Roman"/>
                <w:sz w:val="17"/>
                <w:szCs w:val="17"/>
                <w:color w:val="0000FF"/>
                <w:w w:val="98"/>
              </w:rPr>
              <w:t>07/22/2025</w:t>
            </w: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6.55</w:t>
            </w:r>
          </w:p>
        </w:tc>
        <w:tc>
          <w:tcPr>
            <w:tcW w:w="40" w:type="dxa"/>
            <w:vAlign w:val="bottom"/>
          </w:tcPr>
          <w:p>
            <w:pPr>
              <w:spacing w:after="0"/>
              <w:rPr>
                <w:sz w:val="22"/>
                <w:szCs w:val="22"/>
                <w:color w:val="auto"/>
              </w:rPr>
            </w:pPr>
          </w:p>
        </w:tc>
        <w:tc>
          <w:tcPr>
            <w:tcW w:w="12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1,000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20" w:type="dxa"/>
            <w:vAlign w:val="bottom"/>
            <w:gridSpan w:val="5"/>
          </w:tcPr>
          <w:p>
            <w:pPr>
              <w:jc w:val="center"/>
              <w:ind w:left="673"/>
              <w:spacing w:after="0"/>
              <w:rPr>
                <w:sz w:val="20"/>
                <w:szCs w:val="20"/>
                <w:color w:val="auto"/>
              </w:rPr>
            </w:pPr>
            <w:r>
              <w:rPr>
                <w:rFonts w:ascii="Times New Roman" w:cs="Times New Roman" w:eastAsia="Times New Roman" w:hAnsi="Times New Roman"/>
                <w:sz w:val="17"/>
                <w:szCs w:val="17"/>
                <w:color w:val="0000FF"/>
                <w:w w:val="98"/>
              </w:rPr>
              <w:t>07/23/2025</w:t>
            </w: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ind w:right="3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w:t>
            </w:r>
          </w:p>
        </w:tc>
        <w:tc>
          <w:tcPr>
            <w:tcW w:w="40" w:type="dxa"/>
            <w:vAlign w:val="bottom"/>
          </w:tcPr>
          <w:p>
            <w:pPr>
              <w:spacing w:after="0"/>
              <w:rPr>
                <w:sz w:val="22"/>
                <w:szCs w:val="22"/>
                <w:color w:val="auto"/>
              </w:rPr>
            </w:pPr>
          </w:p>
        </w:tc>
        <w:tc>
          <w:tcPr>
            <w:tcW w:w="12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2,000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0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10/22/2026</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10/22/2036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680" w:type="dxa"/>
            <w:vAlign w:val="bottom"/>
            <w:gridSpan w:val="2"/>
          </w:tcPr>
          <w:p>
            <w:pPr>
              <w:ind w:left="180"/>
              <w:spacing w:after="0" w:line="203" w:lineRule="exact"/>
              <w:rPr>
                <w:sz w:val="20"/>
                <w:szCs w:val="20"/>
                <w:color w:val="auto"/>
              </w:rPr>
            </w:pPr>
            <w:r>
              <w:rPr>
                <w:rFonts w:ascii="Arial" w:cs="Arial" w:eastAsia="Arial" w:hAnsi="Arial"/>
                <w:sz w:val="20"/>
                <w:szCs w:val="20"/>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(2)</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Customary annual grant to non-employee directors of options to purchase shares of common stock. Such options shall vest as follows: 25.0% shall be vested on the date of grant, and the remaining shares subject to the option shall vest in nine equal monthly installments on the last day of the calendar month beginning after the grant date such that the award becomes fully vested on June 30.</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as compensation for service on the Board.</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Nicholas Glover</w:t>
            </w:r>
          </w:p>
        </w:tc>
        <w:tc>
          <w:tcPr>
            <w:tcW w:w="9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10/26/2026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8888" TargetMode="External"/><Relationship Id="rId14" Type="http://schemas.openxmlformats.org/officeDocument/2006/relationships/hyperlink" Target="http://www.sec.gov/cgi-bin/browse-edgar?action=getcompany&amp;CIK=00012621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2026-10-26T16:45:08Z</dcterms:created>
  <dcterms:modified xsi:type="dcterms:W3CDTF">2026-10-26T16:45:08Z</dcterms:modified>
</cp:coreProperties>
</file>