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141605</wp:posOffset>
            </wp:positionV>
            <wp:extent cx="1217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165100</wp:posOffset>
            </wp:positionV>
            <wp:extent cx="1217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33" w:lineRule="exact"/>
        <w:rPr>
          <w:rFonts w:ascii="MS PGothic" w:cs="MS PGothic" w:eastAsia="MS PGothic" w:hAnsi="MS PGothic"/>
          <w:sz w:val="20"/>
          <w:szCs w:val="20"/>
          <w:color w:val="auto"/>
        </w:rPr>
      </w:pPr>
    </w:p>
    <w:p>
      <w:pPr>
        <w:ind w:left="412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fiscal year ended June 30, 2025</w:t>
      </w:r>
    </w:p>
    <w:p>
      <w:pPr>
        <w:spacing w:after="0" w:line="225" w:lineRule="exact"/>
        <w:rPr>
          <w:rFonts w:ascii="MS PGothic" w:cs="MS PGothic" w:eastAsia="MS PGothic" w:hAnsi="MS PGothic"/>
          <w:sz w:val="20"/>
          <w:szCs w:val="20"/>
          <w:color w:val="auto"/>
        </w:rPr>
      </w:pPr>
    </w:p>
    <w:p>
      <w:pPr>
        <w:ind w:left="548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OR</w:t>
      </w:r>
    </w:p>
    <w:p>
      <w:pPr>
        <w:spacing w:after="0" w:line="248"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34" w:lineRule="exact"/>
        <w:rPr>
          <w:sz w:val="24"/>
          <w:szCs w:val="24"/>
          <w:color w:val="auto"/>
        </w:rPr>
      </w:pPr>
    </w:p>
    <w:p>
      <w:pPr>
        <w:ind w:left="3400"/>
        <w:spacing w:after="0"/>
        <w:tabs>
          <w:tab w:leader="none" w:pos="6700" w:val="left"/>
          <w:tab w:leader="none" w:pos="7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156845</wp:posOffset>
            </wp:positionV>
            <wp:extent cx="1217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Lite Strategy,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150495</wp:posOffset>
            </wp:positionV>
            <wp:extent cx="1217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1900" w:type="dxa"/>
        <w:tblCellMar>
          <w:top w:w="0" w:type="dxa"/>
          <w:left w:w="0" w:type="dxa"/>
          <w:bottom w:w="0" w:type="dxa"/>
          <w:right w:w="0" w:type="dxa"/>
        </w:tblCellMar>
      </w:tblPr>
      <w:tr>
        <w:trPr>
          <w:trHeight w:val="194"/>
        </w:trPr>
        <w:tc>
          <w:tcPr>
            <w:tcW w:w="3960" w:type="dxa"/>
            <w:vAlign w:val="bottom"/>
          </w:tcPr>
          <w:p>
            <w:pPr>
              <w:jc w:val="center"/>
              <w:ind w:right="200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jc w:val="center"/>
              <w:ind w:left="2045"/>
              <w:spacing w:after="0"/>
              <w:rPr>
                <w:sz w:val="20"/>
                <w:szCs w:val="20"/>
                <w:color w:val="auto"/>
              </w:rPr>
            </w:pPr>
            <w:r>
              <w:rPr>
                <w:rFonts w:ascii="Times New Roman" w:cs="Times New Roman" w:eastAsia="Times New Roman" w:hAnsi="Times New Roman"/>
                <w:sz w:val="16"/>
                <w:szCs w:val="16"/>
                <w:b w:val="1"/>
                <w:bCs w:val="1"/>
                <w:color w:val="auto"/>
              </w:rPr>
              <w:t>51-0407811</w:t>
            </w:r>
          </w:p>
        </w:tc>
      </w:tr>
      <w:tr>
        <w:trPr>
          <w:trHeight w:val="149"/>
        </w:trPr>
        <w:tc>
          <w:tcPr>
            <w:tcW w:w="3960" w:type="dxa"/>
            <w:vAlign w:val="bottom"/>
          </w:tcPr>
          <w:p>
            <w:pPr>
              <w:jc w:val="center"/>
              <w:ind w:right="200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20" w:type="dxa"/>
            <w:vAlign w:val="bottom"/>
          </w:tcPr>
          <w:p>
            <w:pPr>
              <w:jc w:val="center"/>
              <w:ind w:left="202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00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20" w:type="dxa"/>
            <w:vAlign w:val="bottom"/>
          </w:tcPr>
          <w:p>
            <w:pPr>
              <w:jc w:val="center"/>
              <w:ind w:left="202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9920 Pacific Heights Blvd., Suite 150, San Diego, CA 92121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369-7100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133350</wp:posOffset>
            </wp:positionV>
            <wp:extent cx="1217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2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160" w:type="dxa"/>
            <w:vAlign w:val="bottom"/>
            <w:gridSpan w:val="3"/>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3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2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680" w:type="dxa"/>
            <w:vAlign w:val="bottom"/>
          </w:tcPr>
          <w:p>
            <w:pPr>
              <w:spacing w:after="0"/>
              <w:rPr>
                <w:sz w:val="15"/>
                <w:szCs w:val="15"/>
                <w:color w:val="auto"/>
              </w:rPr>
            </w:pPr>
          </w:p>
        </w:tc>
        <w:tc>
          <w:tcPr>
            <w:tcW w:w="2480" w:type="dxa"/>
            <w:vAlign w:val="bottom"/>
            <w:gridSpan w:val="2"/>
          </w:tcPr>
          <w:p>
            <w:pPr>
              <w:jc w:val="center"/>
              <w:ind w:right="101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6"/>
        </w:trPr>
        <w:tc>
          <w:tcPr>
            <w:tcW w:w="3340" w:type="dxa"/>
            <w:vAlign w:val="bottom"/>
            <w:tcBorders>
              <w:top w:val="single" w:sz="8" w:color="auto"/>
            </w:tcBorders>
          </w:tcPr>
          <w:p>
            <w:pPr>
              <w:jc w:val="center"/>
              <w:ind w:left="397"/>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8"/>
              </w:rPr>
              <w:t>LITS</w:t>
            </w: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422"/>
        </w:trPr>
        <w:tc>
          <w:tcPr>
            <w:tcW w:w="3340" w:type="dxa"/>
            <w:vAlign w:val="bottom"/>
          </w:tcPr>
          <w:p>
            <w:pPr>
              <w:spacing w:after="0"/>
              <w:rPr>
                <w:sz w:val="24"/>
                <w:szCs w:val="24"/>
                <w:color w:val="auto"/>
              </w:rPr>
            </w:pPr>
          </w:p>
        </w:tc>
        <w:tc>
          <w:tcPr>
            <w:tcW w:w="474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20" w:type="dxa"/>
            <w:vAlign w:val="bottom"/>
            <w:gridSpan w:val="4"/>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20" w:type="dxa"/>
            <w:vAlign w:val="bottom"/>
            <w:gridSpan w:val="4"/>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60" w:type="dxa"/>
            <w:vAlign w:val="bottom"/>
            <w:gridSpan w:val="4"/>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180" w:type="dxa"/>
            <w:vAlign w:val="bottom"/>
            <w:gridSpan w:val="4"/>
          </w:tcPr>
          <w:p>
            <w:pPr>
              <w:spacing w:after="0"/>
              <w:rPr>
                <w:sz w:val="17"/>
                <w:szCs w:val="17"/>
                <w:color w:val="auto"/>
              </w:rPr>
            </w:pPr>
          </w:p>
        </w:tc>
        <w:tc>
          <w:tcPr>
            <w:tcW w:w="7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7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4"/>
        </w:trPr>
        <w:tc>
          <w:tcPr>
            <w:tcW w:w="8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Indicate by a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Indicate by a check mark if the registrant is not required to file reports pursuant to Section 13 or Section 15(d) of the Act.</w:t>
            </w:r>
          </w:p>
        </w:tc>
        <w:tc>
          <w:tcPr>
            <w:tcW w:w="70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7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951"/>
        </w:trPr>
        <w:tc>
          <w:tcPr>
            <w:tcW w:w="3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Accelerated filer</w:t>
            </w:r>
          </w:p>
        </w:tc>
        <w:tc>
          <w:tcPr>
            <w:tcW w:w="220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20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220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8" w:lineRule="exact"/>
        <w:rPr>
          <w:sz w:val="20"/>
          <w:szCs w:val="20"/>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ind w:right="80"/>
        <w:spacing w:after="0" w:line="24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240.10D-1(b). </w:t>
      </w:r>
      <w:r>
        <w:rPr>
          <w:rFonts w:ascii="MS PGothic" w:cs="MS PGothic" w:eastAsia="MS PGothic" w:hAnsi="MS PGothic"/>
          <w:sz w:val="18"/>
          <w:szCs w:val="18"/>
          <w:color w:val="auto"/>
        </w:rPr>
        <w:t>☐</w:t>
      </w:r>
    </w:p>
    <w:p>
      <w:pPr>
        <w:spacing w:after="0" w:line="77" w:lineRule="exact"/>
        <w:rPr>
          <w:sz w:val="20"/>
          <w:szCs w:val="20"/>
          <w:color w:val="auto"/>
        </w:rPr>
      </w:pPr>
    </w:p>
    <w:p>
      <w:pPr>
        <w:spacing w:after="0" w:line="207" w:lineRule="exact"/>
        <w:tabs>
          <w:tab w:leader="none" w:pos="8340" w:val="left"/>
          <w:tab w:leader="none" w:pos="90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based on the closing price per share of Registrant's Common Stock on the Nasdaq Capital Market was approximately $12.0 million as of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23, 2025, there were 35,655,155 shares of the registrant’s common stock, par value $0.00000002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40" w:type="dxa"/>
            <w:vAlign w:val="bottom"/>
            <w:gridSpan w:val="8"/>
          </w:tcPr>
          <w:p>
            <w:pPr>
              <w:jc w:val="center"/>
              <w:ind w:right="4200"/>
              <w:spacing w:after="0"/>
              <w:rPr>
                <w:sz w:val="20"/>
                <w:szCs w:val="20"/>
                <w:color w:val="auto"/>
              </w:rPr>
            </w:pPr>
            <w:r>
              <w:rPr>
                <w:rFonts w:ascii="Times New Roman" w:cs="Times New Roman" w:eastAsia="Times New Roman" w:hAnsi="Times New Roman"/>
                <w:sz w:val="18"/>
                <w:szCs w:val="18"/>
                <w:color w:val="auto"/>
                <w:w w:val="99"/>
              </w:rPr>
              <w:t>Lite Strategy, Inc.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20" w:type="dxa"/>
            <w:vAlign w:val="bottom"/>
            <w:gridSpan w:val="9"/>
          </w:tcPr>
          <w:p>
            <w:pPr>
              <w:jc w:val="center"/>
              <w:ind w:right="31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PART I</w:t>
            </w:r>
          </w:p>
        </w:tc>
        <w:tc>
          <w:tcPr>
            <w:tcW w:w="620" w:type="dxa"/>
            <w:vAlign w:val="bottom"/>
            <w:gridSpan w:val="4"/>
            <w:vMerge w:val="restart"/>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560" w:type="dxa"/>
            <w:vAlign w:val="bottom"/>
            <w:tcBorders>
              <w:bottom w:val="single" w:sz="8" w:color="0000FF"/>
            </w:tcBorders>
            <w:vMerge w:val="continue"/>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w:t>
            </w:r>
          </w:p>
        </w:tc>
        <w:tc>
          <w:tcPr>
            <w:tcW w:w="94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Business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1B:</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Unresolved Staff Comments</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1C:</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Cybersecurity</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Properties</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Legal Proceedings</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Mine Safety Disclosures</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9"/>
              </w:rPr>
              <w:t>PART II</w:t>
            </w:r>
          </w:p>
        </w:tc>
        <w:tc>
          <w:tcPr>
            <w:tcW w:w="560" w:type="dxa"/>
            <w:vAlign w:val="bottom"/>
            <w:gridSpan w:val="3"/>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5:</w:t>
            </w:r>
          </w:p>
        </w:tc>
        <w:tc>
          <w:tcPr>
            <w:tcW w:w="94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Market for the Registrant’s Common Equity, Related Stockholder Matters and Issuer Purchases of Equity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[Reserved]</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7:</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7a:</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8:</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Consolidated </w:t>
            </w:r>
            <w:r>
              <w:rPr>
                <w:rFonts w:ascii="Times New Roman" w:cs="Times New Roman" w:eastAsia="Times New Roman" w:hAnsi="Times New Roman"/>
                <w:sz w:val="16"/>
                <w:szCs w:val="16"/>
                <w:color w:val="0000FF"/>
              </w:rPr>
              <w:t>Financial Statements and Supplementary Data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9:</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9A:</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Controls and Procedures</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9B:</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9C:</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9"/>
              </w:rPr>
              <w:t>PART III</w:t>
            </w:r>
          </w:p>
        </w:tc>
        <w:tc>
          <w:tcPr>
            <w:tcW w:w="5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10:</w:t>
            </w:r>
          </w:p>
        </w:tc>
        <w:tc>
          <w:tcPr>
            <w:tcW w:w="94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11:</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Executive Compensation</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12:</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13:</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14:</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PART IV</w:t>
            </w: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rPr>
              <w:t>Item 15:</w:t>
            </w:r>
          </w:p>
        </w:tc>
        <w:tc>
          <w:tcPr>
            <w:tcW w:w="520" w:type="dxa"/>
            <w:vAlign w:val="bottom"/>
            <w:gridSpan w:val="2"/>
          </w:tcPr>
          <w:p>
            <w:pPr>
              <w:spacing w:after="0"/>
              <w:rPr>
                <w:sz w:val="19"/>
                <w:szCs w:val="19"/>
                <w:color w:val="auto"/>
              </w:rPr>
            </w:pPr>
          </w:p>
        </w:tc>
        <w:tc>
          <w:tcPr>
            <w:tcW w:w="94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Exhibits, Financial Statement Schedules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gridSpan w:val="5"/>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682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5"/>
          </w:tcPr>
          <w:p>
            <w:pPr>
              <w:spacing w:after="0" w:line="183" w:lineRule="exact"/>
              <w:rPr>
                <w:sz w:val="20"/>
                <w:szCs w:val="20"/>
                <w:color w:val="auto"/>
              </w:rPr>
            </w:pPr>
            <w:r>
              <w:rPr>
                <w:rFonts w:ascii="Times New Roman" w:cs="Times New Roman" w:eastAsia="Times New Roman" w:hAnsi="Times New Roman"/>
                <w:sz w:val="16"/>
                <w:szCs w:val="16"/>
                <w:color w:val="auto"/>
              </w:rPr>
              <w:t>Item 16:</w:t>
            </w:r>
          </w:p>
        </w:tc>
        <w:tc>
          <w:tcPr>
            <w:tcW w:w="9420" w:type="dxa"/>
            <w:vAlign w:val="bottom"/>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Form 10-K Summary</w:t>
            </w:r>
          </w:p>
        </w:tc>
        <w:tc>
          <w:tcPr>
            <w:tcW w:w="5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5"/>
        </w:trPr>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This Annual Report on Form 10-K (Annual Report) includes forward-looking statements, which involve a number of risks and uncertainties. These forward-looking statements can generally be identified as such because the context of the statement will include words such as “may,” “will,” “intend,” “plan,” “believe,” “anticipate,” “expect,” “estimate,” “predict,” “potential,” “continue,” “likely,” or “opportunity,” the negative of these words or other similar words. Similarly, statements that describe our future plans, strategies, intentions, expectations, objectives, goals or prospects and other statements that are not historical facts are also forward-looking statements. Discussions containing these forward-looking statements may be found, among other places, in “Business” and “Management’s Discussion and Analysis of Financial Condition and Results of Operations” in this Annual Report. For such statements, we claim the protection of the Private Securities Litigation Reform Act of 1995. Readers of this Annual Report are cautioned not to place undue reliance on these forward-looking statements, which speak only as of the time this Annual Report was filed with the Securities and Exchange Commission, or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those discussed in “Risk Factors” and in “Management’s Discussion and Analysis of Financial Condition and Results of Operations” of this Annual Report. Other sections of this report and our other filings with the SEC may include additional factors which could adversely impact our business and financial performance. Moreover, we operate in a very competitive and rapidly changing environment. There is substantial uncertainty regarding the impact of activist investors, current or expected inflation rates and fluctuating interest rates as a result and other responses from the Federal Reserve thereto, a potential economic downturn, industry, global economic conditions, government policy including the evolving regulatory environment and the implementation of our business model and strategic plans for our business, including our ability to manage the risks inherent in operating our cryptocurrency business and in safekeeping cryptocurrency assets.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undertake no obligation to update publicly or revise our forward-looking statements to reflect events or circumstances that arise after the filing of this Annual Report or documents incorporated by reference herein that include forward-looking statements.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Annual Report to “Lite Strategy,” “we,” “us” and “our” refer to Lite Strategy, Inc.</w:t>
      </w:r>
    </w:p>
    <w:p>
      <w:pPr>
        <w:spacing w:after="0" w:line="11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Lite Strategy, Inc. and our corporate logo are registered service marks of Lite Strategy. Any other brand names or trademarks appearing in this Annual Report are the property of their respective 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On September 10, 2025, MEI Pharma, Inc. changed its name to Lite Strategy, Inc. and its ticker symbol to LITS. We are a </w:t>
      </w:r>
      <w:r>
        <w:rPr>
          <w:rFonts w:ascii="Times New Roman" w:cs="Times New Roman" w:eastAsia="Times New Roman" w:hAnsi="Times New Roman"/>
          <w:sz w:val="18"/>
          <w:szCs w:val="18"/>
          <w:color w:val="000000"/>
        </w:rPr>
        <w:t>pharmaceutical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that has been developing novel and differentiated cancer therapies. We </w:t>
      </w:r>
      <w:r>
        <w:rPr>
          <w:rFonts w:ascii="Times New Roman" w:cs="Times New Roman" w:eastAsia="Times New Roman" w:hAnsi="Times New Roman"/>
          <w:sz w:val="18"/>
          <w:szCs w:val="18"/>
          <w:color w:val="231F20"/>
        </w:rPr>
        <w:t>built our pipeline by acquiring promising cancer agents and creating value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programs 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oncology drug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development has been to evaluate our drug candidates in combinations with standard-of-care therapies to overcome known resistance mechanisms and address clear medical needs to provide improved patient benefit. Our drug candidate pipeline includes voruciclib, an oral cyclin-dependent kinase 9 (CDK9) inhibitor and zandelisib, </w:t>
      </w:r>
      <w:r>
        <w:rPr>
          <w:rFonts w:ascii="Times New Roman" w:cs="Times New Roman" w:eastAsia="Times New Roman" w:hAnsi="Times New Roman"/>
          <w:sz w:val="18"/>
          <w:szCs w:val="18"/>
          <w:color w:val="231F20"/>
        </w:rPr>
        <w:t>an oral, once-daily, selective PI3Kδ inhibitor, which is a pre-clinical candidate</w:t>
      </w:r>
      <w:r>
        <w:rPr>
          <w:rFonts w:ascii="Times New Roman" w:cs="Times New Roman" w:eastAsia="Times New Roman" w:hAnsi="Times New Roman"/>
          <w:sz w:val="18"/>
          <w:szCs w:val="18"/>
          <w:color w:val="000000"/>
        </w:rPr>
        <w:t>. In August 2025, as described below, we implemented a Litecoin Treasury Strategy with the net proceeds from the PIPE (as defined below).</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beginning August 1, 2024, that continued in stages as our operational and strategic direction evolved. In connection with this evaluation, we discontinued the clinical development of voruciclib, while certain nonclinical activities related to our drug candidate assets continued to be conducted by us. As part of the review of strategic alternatives, we considered options such as out-licensing opportunities for or the sale of our existing programs and merger and acquisition opportunities, as well as other potential opportunities. Consistent with our intention to preserve cash, David M. Urso, our President and Chief Executive Officer and Richard Ghalie, M.D., our Chief Medical Officer, stepped down effective August 1, 2024. Mr. Urso also left the Board at that date. We entered into a consulting agreement with Dr. Ghalie under which he remains available to assist us in strategic efforts or ongoing operations. In addition, we entered into a consulting agreement with Mr. Urso, which was terminated in February 2025. Charles V. Baltic III, the Chairperson of the Board, also stepped down from the Board contemporaneously with the announcement on July 22, 2024. Our Board appointed Justin J. File, our current Chief Financial Officer, to assume the position of Acting Chief Executive Officer and appointed Frederick W. Driscoll as Chairperson of the Board. The evaluation of strategic alternatives concluded with the August 2025 implementation of our Litecoin Treasury Strategy (as discussed below) and a commitment to long-term innovation in capital structure and financial technology, along with the initiation of an expanding strategy that could include the commencement of Litecoin mining activities, as well as our continued assessment of pre-clinical activities with our drug candidate pipeline, as to which we anticipate conducting further investigational research and development in the next several months.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Private Investment in Private Equity (PIPE) and Related Agreements</w:t>
      </w:r>
    </w:p>
    <w:p>
      <w:pPr>
        <w:spacing w:after="0" w:line="11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more fully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xml:space="preserve">, in July 2025, we closed on a $100.0 million PIPE and issued an aggregate of (i) 23,216,898 shares (the Shares) of our common stock, at an offering price of $3.42 per share and (ii) pre-funded warrants (the Pre-Funded Warrants (together with the common stock, the Securities)), to purchase up to an aggregate of 6,022,869 shares of our common stock (the Pre-Funded Warrant Shares) at an offering price of $3.4199 per Pre-Funded Warrant (collectively, the Offering or the PIPE). On July 24, 2025, Pre-Funded Warrants for the purchase of 2,084,509 shares of common stock were exercised for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proceeds. As of September 23, 2025, we issued 2,807,967 shares of common stock upon cashless exercises of 2,808,070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-719455</wp:posOffset>
            </wp:positionV>
            <wp:extent cx="12757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Also, in July 2025 and as more fully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we entered into various agreements with certain advisors to the PIPE, asset managers and custodians who will deploy our Litecoin Treasury Strategy (discussed below), including but not limited to: (i) a placement agency agreement, (ii) an asset management agreement, (iii) an advisory agreement, (iv) a strategic advisor agreement and (v) a new at-the- market sales agreement. As partial consideration for services provided associated with the PIPE, we issued warrants for the purchase of up to 3,070,177 shares of our common stock with a weighted-average exercise price of approximately $4.10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-581660</wp:posOffset>
            </wp:positionV>
            <wp:extent cx="12757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5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September 24, 2025, as payment of the annual Asset-based Fee under the Asset Management Agreement (as defined below), we issued to GSR Strategies LLC (GSR), 546,348 Pre-Funded Warrants with an exercise price of $0.0001 per share. Subject to the limitations on exercise set forth in the warrant agreement, the Pre-Funded Warrants may be exercised at any time until they are exercised in full.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Litecoin Treasury Strategy</w:t>
      </w:r>
    </w:p>
    <w:p>
      <w:pPr>
        <w:spacing w:after="0" w:line="119" w:lineRule="exact"/>
        <w:rPr>
          <w:sz w:val="20"/>
          <w:szCs w:val="20"/>
          <w:color w:val="auto"/>
        </w:rPr>
      </w:pPr>
    </w:p>
    <w:p>
      <w:pPr>
        <w:ind w:right="1000" w:firstLine="509"/>
        <w:spacing w:after="0" w:line="282" w:lineRule="auto"/>
        <w:rPr>
          <w:sz w:val="20"/>
          <w:szCs w:val="20"/>
          <w:color w:val="auto"/>
        </w:rPr>
      </w:pPr>
      <w:r>
        <w:rPr>
          <w:rFonts w:ascii="Times New Roman" w:cs="Times New Roman" w:eastAsia="Times New Roman" w:hAnsi="Times New Roman"/>
          <w:sz w:val="18"/>
          <w:szCs w:val="18"/>
          <w:color w:val="auto"/>
        </w:rPr>
        <w:t>On August 5, 2025, we announced the commencement of our primary reserve asset and implementation strategy built on a digital asset infrastructure and long-term capital innovation (a Litecoin Treasury Strategy) through our acquisition of Litecoin (LTC)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tokens, reflecting the full deployment of the net proceeds of the PIPE. Litecoin is an open source, global payment network that is fully decentralized without any central authorities. Mathematics secures the network and empowers individuals to control their own finances. Litecoin features faster transaction confirmation times and improved storage efficiency than the leading math-based currency. We believe this strategy will allow us to diversify reserves, enhance capital efficiency and align with emerging financial technologies.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100" w:firstLine="554"/>
        <w:spacing w:after="0" w:line="258" w:lineRule="auto"/>
        <w:rPr>
          <w:sz w:val="20"/>
          <w:szCs w:val="20"/>
          <w:color w:val="auto"/>
        </w:rPr>
      </w:pPr>
      <w:r>
        <w:rPr>
          <w:rFonts w:ascii="Times New Roman" w:cs="Times New Roman" w:eastAsia="Times New Roman" w:hAnsi="Times New Roman"/>
          <w:sz w:val="18"/>
          <w:szCs w:val="18"/>
          <w:color w:val="auto"/>
        </w:rPr>
        <w:t>On October 31, 2023, we announced our entry into a cooperation agreement with Anson Funds Management LP and Cable Car Capital LLC (Cooperation Agreement), which, among other non-financial related items, provided for a capital return to stockholders in the form of a dividend in the amount of $1.75 per share of common stock, that was declared on November 6, 2023, to stockholders of record at the close of business on November 17, 2023 (Capital Return). The total dividend of $11.7 million was paid on December 6, 2023, and was recorded as a reduction of additional paid-in capital in the consolidated statements of stockholders' equity, as we have an accumulated deficit, rather than retained earnings.</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Effective July 22, 2025, in conjunction with the closing of the Offering, the parties to the Cooperation Agreement mutually agreed to terminate such Cooperation Agreement.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Merger Termination</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At a special meeting of our stockholders held on July 23, 2023, stockholders voted on the agreement and plan of merger (Merger Agreement) entered into in February 2023, by us, Infinity Pharmaceuticals, Inc. (Infinity) and Meadow Merger Sub, Inc., our wholly owned subsidiary (Merger Sub). At such special meeting, the Merger Agreement did not obtain the necessary approval from our stockholders and, accordingly, on July 23, 2023, we sent Infinity a notice terminating the Merger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Candidate Development Programs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Our drug candidate pipeline includes voruciclib, an oral CDK9 inhibitor, and zandelisib, </w:t>
      </w:r>
      <w:r>
        <w:rPr>
          <w:rFonts w:ascii="Times New Roman" w:cs="Times New Roman" w:eastAsia="Times New Roman" w:hAnsi="Times New Roman"/>
          <w:sz w:val="18"/>
          <w:szCs w:val="18"/>
          <w:color w:val="231F20"/>
        </w:rPr>
        <w:t>an oral, once-daily, selective PI3Kδ inhibitor</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Potent Orally Administered CDK9 Inhibitor in Phase 1 Studies</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Voruciclib, a selective orally administered CDK9 inhibitor completed a Phase 1 trial in September 2024 evaluating dose and schedule in patients with acute myeloid leukemia (AML) in combination with the B-cell lymphoma 2 (BCL-2) inhibitor venetoclax (marketed as Venclexta®). Previously, voruciclib was also being evaluated in pre-clinical studies to explore potential activity in various solid tumor cancers including in combination with therapies that target the RAS signaling pathway, such as KRAS inhibitors. All clinical trial efforts for voruciclib were ceased as of July 22, 2024, and we are currently assessing the pre-clinical development program in potentially non-oncology disease indications.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Scientific Overview: Cell Cycle Signaling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CDK9 has important functions in cell cycle regulation, including the modulation of two therapeutic targets in cancer:</w:t>
      </w:r>
    </w:p>
    <w:p>
      <w:pPr>
        <w:spacing w:after="0" w:line="117" w:lineRule="exact"/>
        <w:rPr>
          <w:sz w:val="20"/>
          <w:szCs w:val="20"/>
          <w:color w:val="auto"/>
        </w:rPr>
      </w:pPr>
    </w:p>
    <w:p>
      <w:pPr>
        <w:ind w:left="1020" w:right="180" w:hanging="503"/>
        <w:spacing w:after="0" w:line="266"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p>
    <w:p>
      <w:pPr>
        <w:spacing w:after="0" w:line="67" w:lineRule="exact"/>
        <w:rPr>
          <w:rFonts w:ascii="Times New Roman" w:cs="Times New Roman" w:eastAsia="Times New Roman" w:hAnsi="Times New Roman"/>
          <w:sz w:val="18"/>
          <w:szCs w:val="18"/>
          <w:color w:val="231F20"/>
        </w:rPr>
      </w:pPr>
    </w:p>
    <w:p>
      <w:pPr>
        <w:ind w:left="1020" w:right="100" w:hanging="503"/>
        <w:spacing w:after="0" w:line="261"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Directly inhibiting MCL1 and MYC has historically been difficult, but CDK9 is a promising approach to indirectly target these oncogenes.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MCL1</w:t>
      </w:r>
    </w:p>
    <w:p>
      <w:pPr>
        <w:spacing w:after="0" w:line="11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CDK9 is a known transcriptional regulator of MCL1. Over expression of MCL1 is frequently observed in many tumor types and is closely associated with tumorigenesis, poor prognosis and drug resistance. In AML, MCL1 is upregulated in about half of patients with relapsed and refractory (R/R) disease </w:t>
      </w:r>
      <w:r>
        <w:rPr>
          <w:rFonts w:ascii="Times New Roman" w:cs="Times New Roman" w:eastAsia="Times New Roman" w:hAnsi="Times New Roman"/>
          <w:sz w:val="18"/>
          <w:szCs w:val="18"/>
          <w:color w:val="000000"/>
        </w:rPr>
        <w:t>and is associated with poor prognosis in these patients. Also important, high levels of MCL1 expression are associated with resistance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venetoclax.</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cells.</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231F20"/>
        </w:rPr>
        <w:t>In a peer reviewed manuscript published in 2020, it was reported that the inhibition of CDK9 by voruciclib synergistically enhances cell death induced by the BCL-2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downregulates MYC, which also contributes to the synergies with venetoclax.</w:t>
      </w:r>
    </w:p>
    <w:p>
      <w:pPr>
        <w:spacing w:after="0" w:line="7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231F20"/>
        </w:rPr>
        <w:t>Subsequently and consistent with the reported pre-clinical studies, data from a prior Phase 1 study evaluating voruciclib as a single agent and in combination with venetoclax in patients with relapsed or refractory (R/R) AML have also demonstrated the anticipated decreases in Mcl-1 protein.</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The research suggests that voruciclib is potentially an attractive therapeutic agent for treating cancers in combination with venetoclax or other BCL-2 inhibitors, to address potential resistance associated with MCL1 and is supportive of our clinical evaluation of voruciclib in AML.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MYC</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demonstrated that voruciclib:</w:t>
      </w:r>
    </w:p>
    <w:p>
      <w:pPr>
        <w:spacing w:after="0" w:line="6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in a rapid decrease in the phosphorylation of proteins that promote MYC transcription;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Rapidly decreases phosphorylation of MYC protein on Ser62, a site implicated in stabilizing MYC in KRAS mutant cancers;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Possesses single agent activity against multiple KRAS mutant cancer cell lines both in vitro and in vivo;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Synergistically inhibits KRAS G12C mutant cancer cell lines in combination with KRAS G12C inhibitors, both in vitro and in vivo.</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231F20"/>
        </w:rPr>
        <w:t>The research presented suggests that voruciclib could be an attractive therapeutic agent for both hematological cancers, as well as solid tumors, dependent on the activity of MYC.</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Terminated Clinical Programs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 Phase 1 clinical trial, we evaluated the dose and schedule of voruciclib in combination with venetoclax, a BCL-2 inhibitor, in patients with R/R AML. The trial started with the evaluation of dose and schedule of voruciclib as a monotherapy in patients with relapsed and refractory B-cell malignancies and AML after failure of prior standard therapies to determine the safety, preliminary efficacy and maximum tolerated dose. The primary objectives of the study were to determine the safety and biologic effective dose of voruciclib monotherapy or voruciclib in combination with venetoclax. Secondary objectives of the study included assessing the preliminary efficacy, pharmacokinetics, pharmacodynamics and biomarkers of voruciclib monotherapy or voruciclib in combination with venetoclax.</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we reported in a poster presented at the American Society of Hematology (ASH) Annual Meeting in December 2023, the voruciclib monotherapy dose escalation/expansion stage of the study enrolled a total of 40 patients and is complete. The majority of patients (n=21) had AML and the remaining patients (n=19) had B-cell malignancies. Of the 40 patients enrolled, the first 16 were dosed daily continuously at 50 and 100 mg and the following 24 patients were dosed on an intermittent schedule (14 consecutive days on therapy in a 28-day cycle) at 100, 150 and 200 mg. All patients were heavily pre-treated with a median of three prior therapies (range 1-9) and five patients had prior hematopoietic stem cell transplant. Voruciclib at doses up to 200 mg administered on 14 consecutive days in a 28-day cycle (Cohort 2) was well tolerated with no dose limiting toxicities (DLT) reported. The most common adverse events (≥20% of patients) were diarrhea, nausea, anemia and fatigue. The large majority of adverse events were Grade 1-2; of note, the only Grade 3-4 adverse events in Cohort 2 were diarrhea (n=1) and anemia (n=5). Pharmacokinetics were dose proportional and a mean half-life of approximately 24 hours supports once daily dosing.</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the intermittent dosing schedule selected for further development, no DLTs were observed, there were no Grade 3 or higher drug related toxicities and dose escalation was stopped at 200 mg before reaching the maximum tolerated dose because plasma concentrations reached levels considered sufficient for target inhibition. In the 21 patients enrolled with AML, one patient at 100 mg achieved a morphologic leukemia-free state and nine patients had disease stabilization, which lasted at least three months in two patients. In the 19 patients enrolled with B-cell malignancies, four patients had stable disease with a decrease in tumor size. Initial results from correlative studies assessing myeloid leukemia cell differentiation protein (Mcl-1) and RNA Pol II phosphorylation 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Ser2 (RNA Pol II p-S2) demonstrated reduction in expression consistent with the anticipated on-target pharmacodynamic effect of voruciclib on Mcl-1 and RNA Pol II p-S2.</w:t>
      </w:r>
    </w:p>
    <w:p>
      <w:pPr>
        <w:spacing w:after="0" w:line="54" w:lineRule="exact"/>
        <w:rPr>
          <w:sz w:val="20"/>
          <w:szCs w:val="20"/>
          <w:color w:val="auto"/>
        </w:rPr>
      </w:pPr>
    </w:p>
    <w:p>
      <w:pPr>
        <w:jc w:val="both"/>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next stage of the study evaluated seven voruciclib dose levels from 50 mg every other day to 300 mg daily for 14 consecutive days in a 28-day cycle in combination with standard dose venetoclax in patients with R/R AML. A total of 41 patients with R/R AML, median age 67 years (range 34-89), enrolled in this dose escalation stage of the study evaluating voruciclib in combination with venetoclax. These patients were generally heavily pretreated; the median number of prior therapies was 2 (range 1-7) and 18 (44%) patients had ≥3 prior lines. Almost all patients (39/41) were treated with venetoclax in an earlier line of therapy. Additionally, 30 (73%) patients were noted as being in an adverse 2017 ELN Risk Category due to adverse cytogenetics and molecular mutations.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Of the 32 patients administered voruciclib at doses ≥ 100 mg in combination with venetoclax 10 (31%) achieved disease control. Three patients achieved a response, including two patients that achieved a complete response with incomplete hematologic recovery (CRi) and one patient that achieved a morphologic leukemia-free state (MLFS), in each case having received venetoclax in an earlier line of treatment. Responses lasted 6 months in one patient, 9 months and ongoing in the second patient and the third patient was referred to stem cell transplant. Further, an additional 7 patients had stable disease which lasted more than 90 days and 13 had stable disease &lt; 3 months.</w:t>
      </w:r>
    </w:p>
    <w:p>
      <w:pPr>
        <w:spacing w:after="0" w:line="75" w:lineRule="exact"/>
        <w:rPr>
          <w:sz w:val="20"/>
          <w:szCs w:val="20"/>
          <w:color w:val="auto"/>
        </w:rPr>
      </w:pPr>
    </w:p>
    <w:p>
      <w:pPr>
        <w:ind w:right="360" w:firstLine="554"/>
        <w:spacing w:after="0" w:line="258" w:lineRule="auto"/>
        <w:rPr>
          <w:sz w:val="20"/>
          <w:szCs w:val="20"/>
          <w:color w:val="auto"/>
        </w:rPr>
      </w:pPr>
      <w:r>
        <w:rPr>
          <w:rFonts w:ascii="Times New Roman" w:cs="Times New Roman" w:eastAsia="Times New Roman" w:hAnsi="Times New Roman"/>
          <w:sz w:val="18"/>
          <w:szCs w:val="18"/>
          <w:color w:val="auto"/>
        </w:rPr>
        <w:t>In the 28 patients administered voruciclib in combination with venetoclax and with blood samples available for analysis, initial results from correlative biomarker assay studies demonstrated anticipated decreases of Mcl-1, including a greater decrease in Mcl-1 in responding patients. This supports our hypothesis that voruciclib, as an inhibitor or CDK9, regulates Mcl-1 and therefore may address the upregulation of MCL1 associated with venetoclax. Additional evidence of anti-leukemic activity was also demonstrated including decreases in bone marrow blast counts post voruciclib/venetoclax administration versus pre drug administration in ~50% (11/21) of evaluable patients.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Voruciclib at doses up to 300 mg administered on 14 consecutive days in a 28-day cycle in combination with standard dose venetoclax was well tolerated with no dose limiting toxicities observed. The maximum tolerated dose of voruciclib administered on this schedule with venetoclax has not been established. There were no discontinuations due to drug-related adverse events and no evidence of overlapping toxicity has been observed to date. The most common (≥5% of patients) grade 3 adverse events were myelosuppression associated with AML. Only 1 patient was observed as having a non-hematologic grade 3 drug-related adverse event (di</w:t>
      </w:r>
      <w:r>
        <w:rPr>
          <w:rFonts w:ascii="Times New Roman" w:cs="Times New Roman" w:eastAsia="Times New Roman" w:hAnsi="Times New Roman"/>
          <w:sz w:val="18"/>
          <w:szCs w:val="18"/>
          <w:color w:val="231F20"/>
        </w:rPr>
        <w:t>arrhea).</w:t>
      </w:r>
    </w:p>
    <w:p>
      <w:pPr>
        <w:spacing w:after="0" w:line="75" w:lineRule="exact"/>
        <w:rPr>
          <w:sz w:val="20"/>
          <w:szCs w:val="20"/>
          <w:color w:val="auto"/>
        </w:rPr>
      </w:pPr>
    </w:p>
    <w:p>
      <w:pPr>
        <w:jc w:val="both"/>
        <w:ind w:right="460" w:firstLine="554"/>
        <w:spacing w:after="0" w:line="266" w:lineRule="auto"/>
        <w:rPr>
          <w:sz w:val="20"/>
          <w:szCs w:val="20"/>
          <w:color w:val="auto"/>
        </w:rPr>
      </w:pPr>
      <w:r>
        <w:rPr>
          <w:rFonts w:ascii="Times New Roman" w:cs="Times New Roman" w:eastAsia="Times New Roman" w:hAnsi="Times New Roman"/>
          <w:sz w:val="18"/>
          <w:szCs w:val="18"/>
          <w:color w:val="231F20"/>
        </w:rPr>
        <w:t xml:space="preserve">Before ending the study, three patients were administered 150 mg voruciclib over 21 </w:t>
      </w:r>
      <w:r>
        <w:rPr>
          <w:rFonts w:ascii="Times New Roman" w:cs="Times New Roman" w:eastAsia="Times New Roman" w:hAnsi="Times New Roman"/>
          <w:sz w:val="18"/>
          <w:szCs w:val="18"/>
          <w:color w:val="000000"/>
        </w:rPr>
        <w:t>consecutive days in a 28-day cycle</w:t>
      </w:r>
      <w:r>
        <w:rPr>
          <w:rFonts w:ascii="Times New Roman" w:cs="Times New Roman" w:eastAsia="Times New Roman" w:hAnsi="Times New Roman"/>
          <w:sz w:val="18"/>
          <w:szCs w:val="18"/>
          <w:color w:val="231F20"/>
        </w:rPr>
        <w:t xml:space="preserve"> in combination with venetoclax to increase dose intensity and potentially optimize patient response based upon the rebound of peripheral blast counts in 44% (8/18) of the patients between Day 14 and Day 28 when voruciclib was stopped while continuing venetoclax.</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 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Zandelisib: PI3Kδ Inhibitor Overview</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Zandelisib is an oral, once-daily, selective PI3Kδ inhibitor that we were jointly developing with Kyowa Kirin Co., Ltd (KKC) under a global license, development and commercialization agreement entered into in April 2020 that was later terminated in 2023 (as further discussed below). Currently, there are no clinical trial efforts for zandelisib and we are assessing the pre-clinical development program.</w:t>
      </w:r>
    </w:p>
    <w:p>
      <w:pPr>
        <w:spacing w:after="0" w:line="6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231F20"/>
        </w:rPr>
        <w:t>In March 2022, we and KKC reported the outcome of an end of Phase 2 meeting with the FDA wherein the agency discouraged a filing based on data from a single-arm Phase 2 TIDAL trial. At this meeting, the FDA stated that data generated from single arm studies such as the Phase 2 TIDAL trial are insufficient to adequately assess the risk/benefit of PI3Kδ inhibitors evaluating indolent non-Hodgkin lymphoma. Additionally, the FDA emphasized that we continue efforts with the randomized Phase 3 COASTAL trial evaluating patients with relapsed or refractory follicular or marginal zone lymphomas. Subsequently, at an April 2022 meeting of the FDA Oncology Drugs Advisory Committee, the committee voted that future approvals of PI3Kδ inhibitors for hematologic malignancies should be supported by randomized data.</w:t>
      </w:r>
    </w:p>
    <w:p>
      <w:pPr>
        <w:spacing w:after="0" w:line="7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231F20"/>
        </w:rPr>
        <w:t>In November 2022, we and KKC met with the FDA in a follow-up meeting to the March 2022 end of Phase 2 meeting. At this meeting, the FDA provided further guidance regarding the design and statistical analysis for the Phase 3 COASTAL trial. Following the November meeting, the companies jointly concluded that a clinical trial consistent with the recent FDA guidance, including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modification of the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is not related to the zandelisib clinical data generated to date. After making the joint decision to terminate development outside of Japan, we and KKC began closing all zandelisib clinical studies outside of Japan, including the Phase 3 COASTAL trial, the Phase 2 TIDAL trial and the Phase 2 CORAL trial. Subsequently, in May 2023, KKC decided to discontinue development of zandelisib in Japan. The discontinuation of zandelisib in Japan was a business decision by KKC based on the most recent regulatory guidance from the Pharmaceuticals and Medical Devices Agency in Japan and was not related to the zandelisib clinical data that had been generated.</w:t>
      </w:r>
    </w:p>
    <w:p>
      <w:pPr>
        <w:spacing w:after="0" w:line="8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On July 14, 2023, we entered into a Termination Agreement (the Termination Agreement) with KKC to terminate all agreements between the parties and cease further zandelisib clinical development globally. Activities associated with the compassionate use supply and wind down of the KKC Commercialization Agreement were completed in fiscal year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KKC License, Development and Commercialization Agreement</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 bearing, license under certain patents and know-how controlled by us to develop and commercialize zandelisib and any pharmaceutical product containing zandelisib for all human indications in countries outside of the U.S. (the Ex-U.S. and the Ex-U.S. License). Also under the KKC Commercialization Agreement, we were granted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and were paid an initial non-refundable payment of $100.0 million. Additionally, in Japan, the KKC Commercialization Agreement included potential regulatory and commercialization milestone payments plus royalties on net sales of zandelisib in Japan, which are tiered beginning in the teens. Prior to the execution of the Termination Agreement on July 14, 2023, KKC was responsible for the development and commercialization of zandelisib in the Ex-U.S. and, subject to certain exceptions,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89"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231F20"/>
        </w:rPr>
        <w:t>As noted above, on July 14, 2023, we entered into a Termination Agreement with KKC to mutually terminate the KKC Commercialization Agreement and all other related agreements between the parties. Pursuant to the Termi</w:t>
      </w:r>
      <w:r>
        <w:rPr>
          <w:rFonts w:ascii="Times New Roman" w:cs="Times New Roman" w:eastAsia="Times New Roman" w:hAnsi="Times New Roman"/>
          <w:sz w:val="18"/>
          <w:szCs w:val="18"/>
          <w:color w:val="000000"/>
        </w:rPr>
        <w:t>nation Agreement:</w:t>
      </w:r>
    </w:p>
    <w:p>
      <w:pPr>
        <w:spacing w:after="0" w:line="54" w:lineRule="exact"/>
        <w:rPr>
          <w:sz w:val="20"/>
          <w:szCs w:val="20"/>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regained full, global rights to develop, manufacture and commercialize zandelisib, subject to KKC's limited rights to use zandelisib for compassionate use (as more specifically defined in the Termination Agreement) in certain expanded access programs for the existing patients who have been enrolled in Japanese clinical trial sponsored by KKC until November 30, 2027, and for which KKC is fully liable;</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released the other party from any and all claims, demands, etc. arising from the </w:t>
      </w:r>
      <w:r>
        <w:rPr>
          <w:rFonts w:ascii="Times New Roman" w:cs="Times New Roman" w:eastAsia="Times New Roman" w:hAnsi="Times New Roman"/>
          <w:sz w:val="18"/>
          <w:szCs w:val="18"/>
          <w:color w:val="231F20"/>
        </w:rPr>
        <w:t>KKC Commercialization Agreement</w:t>
      </w:r>
      <w:r>
        <w:rPr>
          <w:rFonts w:ascii="Times New Roman" w:cs="Times New Roman" w:eastAsia="Times New Roman" w:hAnsi="Times New Roman"/>
          <w:sz w:val="18"/>
          <w:szCs w:val="18"/>
          <w:color w:val="auto"/>
        </w:rPr>
        <w:t>, excluding certain surviving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deliver a discrete quantity of materials to facilitate KKC's compassionate use activities.</w:t>
      </w:r>
    </w:p>
    <w:p>
      <w:pPr>
        <w:spacing w:after="0" w:line="11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As of June 30, 2023, we had $64.9 million of aggregate deferred revenue associated with the KKC Commercialization Agreement, of which $64.5 million was allocated to the U.S. License and $0.3 million was allocated to the Development Services performance obligations which were recognized based on the proportional performance of these development activities through wind-down of the associated trials. As further discussed in </w:t>
      </w:r>
      <w:r>
        <w:rPr>
          <w:rFonts w:ascii="Times New Roman" w:cs="Times New Roman" w:eastAsia="Times New Roman" w:hAnsi="Times New Roman"/>
          <w:sz w:val="18"/>
          <w:szCs w:val="18"/>
          <w:i w:val="1"/>
          <w:iCs w:val="1"/>
          <w:u w:val="single" w:color="auto"/>
          <w:color w:val="0000FF"/>
        </w:rPr>
        <w:t>Note 7. License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color w:val="231F20"/>
        </w:rPr>
        <w:t>, in connection with the execution of the Termination Agreement during the three months ended September 30, 2023, we recognized the $64.5</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231F20"/>
        </w:rPr>
        <w:t>million of noncash long-term deferred revenue associated with the U.S. License as well as the remaining $0.3 million noncash deferred revenue associated with the completion of the underlying proportional performance activities. As of September 30, 2023, all deferred revenue associated with the KKC Commercialization Agreement had been recognized.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marketplace for our drug candidates is highly competitive. A number of other companies have products or drug candidates in various stages of pre-clinical or clinical development that are intended for the same therapeutic indications for which our drug candidates are being developed. Some of these potential competing drug candidates are further advanced in development than our drug candidates and may be commercialized sooner. Even if we are successful in developing products that receive regulatory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231F20"/>
        </w:rPr>
        <w:t>approval, such products may not compete successfully with products produced by our competitors or with products that may subsequently receive regulatory approval.</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Our competitors include pharmaceutical companies and biotechnology companies, as well as universities and public and private research institutions. In addition, companies active in different but related fields represent substantial competition for us. Many of our competitors developing oncology drugs have significantly greater capital resources, larger research and development staffs and facilities and greater experience in drug development, regulation, manufacturing, marketing and commercialization than we do. They compete with us in recruiting sites and eligible patients to participate in clinical studies and in attracting development and/or commercialization partners. They also license technologies that are competitive with our technologies. As a result, our competitors may be able to more easily develop technologies and products that would render our technologies or our drug candidates obsolete or non-competitive.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own, by assignment or exclusive license, worldwide rights to each of our current drug candidates.</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We have acquired exclusive worldwide rights to develop, manufacture and commercialize voruciclib from Presage Biosciences, Inc. (Presage). The U.S. Patent and Trademark Office (USPTO) has allowed or issued 21 U.S. patents covering the composition of matter, pharmaceutical compositions and methods of use to treat cancer which are projected to expire between 2026 and 2039, not including any patent term extension. There are approximately 90 allowed or issued foreign patents, 8 pending U.S. provisional patent applications and approximately 50 pending foreign patent applications for voruciclib, related compounds and related methods of use.</w:t>
      </w:r>
    </w:p>
    <w:p>
      <w:pPr>
        <w:spacing w:after="0" w:line="183" w:lineRule="exact"/>
        <w:rPr>
          <w:sz w:val="20"/>
          <w:szCs w:val="20"/>
          <w:color w:val="auto"/>
        </w:rPr>
      </w:pPr>
    </w:p>
    <w:p>
      <w:pPr>
        <w:ind w:right="260" w:firstLine="509"/>
        <w:spacing w:after="0" w:line="277" w:lineRule="auto"/>
        <w:rPr>
          <w:sz w:val="20"/>
          <w:szCs w:val="20"/>
          <w:color w:val="auto"/>
        </w:rPr>
      </w:pPr>
      <w:r>
        <w:rPr>
          <w:rFonts w:ascii="Times New Roman" w:cs="Times New Roman" w:eastAsia="Times New Roman" w:hAnsi="Times New Roman"/>
          <w:sz w:val="17"/>
          <w:szCs w:val="17"/>
          <w:color w:val="231F20"/>
        </w:rPr>
        <w:t>We have acquired, by assignment, worldwide rights to zandelisib and other related compounds from Pathway Therapeutics, Inc. The USPTO has issued nine patents covering zandelisib as composition of matter, pharmaceutical compositions, methods of use to treat cancer and combinations with additional therapies. The issued U.S. patents with composition of matter claims covering zandelisib are projected to expire between 2030 and 2032, not including any patent term adjustment and patent term extension. There are approximately 48 foreign patents granted. There is 1 pending U.S. patent application and are approximately 13 pending foreign patent applications directed to zandelisib and related compounds or methods of use thereof.</w:t>
      </w:r>
    </w:p>
    <w:p>
      <w:pPr>
        <w:spacing w:after="0" w:line="1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Our success depends in large part on our ability to protect our proprietary technologies, compounds and information and to operate without infringing the proprietary rights of third parties. We rely on a combination of patent, trade secret, copyright and trademark laws, as well as confidentiality, licensing and other agreements, to establish and protect our proprietary rights. We seek patent protection for our key inventions, including drug candidates we identify, routes for chemical synthesis and pharmaceutical formulations. There is no assurance that any of our pending patent applications will issue, or that any of our patents will be enforceable or will cover a drug or other commercially significant product or method. In addition, we regularly review our patent portfolio to identify patents and patent applications that we deem to have relatively low value to our ongoing business operations for potential abandonment. There is also no assurance that we will correctly identify which of our patents and patent applications should be maintained and which should be abandoned. The term of most of our other current patents commenced and most of our future patents, if any, will commence, on the date of issuance and terminate 20 years from the earliest effective filing date of the non-provisional patent application. Because any marketing and regulatory approval for a drug often occurs several years after the related patent application is filed, the resulting market exclusivity afforded by any patent on our drug candidates and technologies will likely be substantially less than 20 years.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As most patent applications in the U.S. are maintained as confidential until published by the USPTO at 18 months from filing for all cases filed after November 29, 2000, or at issue, for cases filed prior to November 29, 2000, we cannot be certain that we or Presage were the first to make the inventions covered by the patents and applications referred to above. Additionally, publication of discoveries in the scientific or patent literature often lags behind the actual discoveries. Moreover, pursuant to the terms of the Uruguay Round Agreements Act, patents filed on or after June 8, 1995 have a term of twenty years from the date of such filing except for provisional applications, irrespective of the period of time it may take for such patent to ultimately issue. This may shorten the period of patent protection afforded to therapeutic uses of zandelisib or voruciclib as patent applications in the biopharmaceutical sector often take considerable time to issue. However, in some countries the patent term may be extended.</w:t>
      </w:r>
    </w:p>
    <w:p>
      <w:pPr>
        <w:spacing w:after="0" w:line="18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231F20"/>
        </w:rPr>
        <w:t>In order to protect the confidentiality of our technology, including trade secrets and know-how and other proprietary technical and business information, we require all of our consultants, advisors and collaborators to enter into agreements that prohibit the use or disclosure of information that is deemed confidential. These agreements also oblige our consultants, advisors and collaborators to assign to us, or negotiate a license to developments, discoveries and inventions made by such persons in connection with their work relating to our products. We cannot be sure that confidentiality will be maintained by those from whom we have acquired technology or disclosure prevented by these agreements. We also cannot be sure that our proprietary information or intellectual property will be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protected by these agreements or that others will not independently develop substantially equivalent proprietary information or intellectual property.</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The pharmaceutical industry is highly competitive and patents may have been applied for by and issued to, other parties relating to products competitive with voruciclib or zandelisib. Use of these compounds and any other drug candidates may give rise to claims that they infringe the patents or proprietary rights of other parties, existing now and in the future. An adverse claim could subject us to significant liabilities to such other parties and/or require disputed rights to be licensed from such other parties. We cannot be sure that any license required under any such patents or proprietary rights would be made available on terms acceptable to us, if at all. If we do not obtain such licenses, we may encounter delays in product market introductions, or may find that the development, manufacture or sale of products requiring such licenses may be precluded.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231F20"/>
        </w:rPr>
        <w:t>The objective of our research and development (R&amp;D) program is the generation of data sufficient to meet medical needs and develop a clinical and commercial profile with attractive attributes and/or to allow us to enter into a development and/or commercial relationship with another party. The data are generated by our pre-clinical studies and clinical trial programs.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key aspects of our R&amp;D program have been to provide more complete characterization of the following:</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relevant molecular targets of action of our drug candidates;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relative therapeutic benefits and indications for use of our drug candidates as a monotherapy or as part of combinational therapy with other agents;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most appropriate therapeutic indications and dosage forms for voruciclib or zandelisib, based upon pre-clinical findings.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Regulatory Requirements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U.S. Food and Drug Administration (FDA) and comparable regulatory agencies in other countries, regulate and impose substantial requirements upon the research, development, nonclinical and clinical testing, labeling, manufacture, quality control, storage, approval, advertising, promotion, marketing, distribution, import and export of pharmaceutical products, as well as significant reporting and record-keeping obligations. State governments may also impose obligations in these and other areas. These requirements are extensive and are frequently changing.</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In the U.S., pharmaceutical products are regulated by the FDA under the Federal Food, Drug and Cosmetic Act (FDCA) and other laws. The process required by the FDA before drugs may be marketed in the U.S. generally involves the following:</w:t>
      </w:r>
    </w:p>
    <w:p>
      <w:pPr>
        <w:spacing w:after="0" w:line="54" w:lineRule="exact"/>
        <w:rPr>
          <w:sz w:val="20"/>
          <w:szCs w:val="20"/>
          <w:color w:val="auto"/>
        </w:rPr>
      </w:pPr>
    </w:p>
    <w:p>
      <w:pPr>
        <w:jc w:val="both"/>
        <w:ind w:left="1020" w:right="100" w:hanging="503"/>
        <w:spacing w:after="0" w:line="266"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nonclinical laboratory evaluations, including formulation and stability testing and animal tests performed under the FDA’s Good Laboratory Practices (GLP) regulations to assess pharmacological activity and toxicity potential. This last year, the FDA announced a plan to phase out animal testing for certain kinds of drugs, potentially replacing animal testing with new approach methodologies;</w:t>
      </w:r>
    </w:p>
    <w:p>
      <w:pPr>
        <w:spacing w:after="0" w:line="67"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and approval of an investigational new drug (IND) application, including results of nonclinical tests, manufacturing information and protocols for clinical tests, which must become effective before clinical trials may begin in the U.S.;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approval of institutional review boards (IRBs) to administer the products to human subjects in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adequate and well-controlled human clinical trials to establish the safety and efficacy of the product for the product’s intended use;</w:t>
      </w:r>
    </w:p>
    <w:p>
      <w:pPr>
        <w:spacing w:after="0" w:line="117"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 of manufacturing processes which conform to the FDA’s current Good Manufacturing Practices (cGMP), as confirmed by FDA inspection or remote regulatory assessments;</w:t>
      </w:r>
    </w:p>
    <w:p>
      <w:pPr>
        <w:spacing w:after="0" w:line="53"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of results for nonclinical, toxicology and clinical studies and chemistry, manufacture and control information on the product to the FDA in a non-disclosure agreement (NDA);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review and approval of an NDA, prior to any commercial sale or shipment of a product.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The testing and approval process requires substantial time, effort and financial resources and we cannot be certain that we will be able to ultimately submit marketing applications for any of our product candidates, that our development efforts will prove to be successful, that our studies will have positive outcomes, or that any approval will be granted on a timely basis, if at all.</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The results of the nonclinical studies, together with initial specified manufacturing information, the proposed clinical trial protocol and information about the participating investigators are submitted to the FDA as part of an investigational new drug (IND) application, which must become effective before we may begin human clinical trials in the U.S. Clinical trials must be conducted in accordance with federal regulations and Good Clinical Practice (GCP) requirements and with investigational products that follow cGMP. GCPs include, among other requirements, the requirements related to monitoring, drug accountability, data integrity and that all research subjects provide their informed consent in writing for their participation in any clinical trial. FDA has issued a number of guidances regarding the conduct of clinical studies including with respect to good clinical practices and the conduct of different clinical studies.Following issuance of a final guidance, the FDA will further be requiring diversity action plans for certain clinical studies.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Additionally, an independent IRB must review and approve each study protocol and oversee conduct of the trial. An IND becomes effective 30-days after receipt by the FDA, unless the FDA, within the 30-day period, raises concerns or questions about the conduct of the trials as outlined in the IND and imposes a clinical hold. If the FDA imposes a clinical hold at any time before or during clinical trials, the IND sponsor must resolve the FDA’s concerns before clinical trials can begin or continue. Nonclinical tests and studies can take several years to complete and there is no guarantee that an IND that is submitted based on such tests and studies will become effective within any specific time period, if at all.</w:t>
      </w:r>
    </w:p>
    <w:p>
      <w:pPr>
        <w:spacing w:after="0" w:line="183"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231F20"/>
        </w:rPr>
        <w:t>Sponsors must make certain reports and submissions to the FDA and global health authorities, as appropriate and to clinical investigators who, in turn, make certain reports and submissions to the IRB or ethics committee, including annual reports and reports of investigator financial interests, serious adverse events and other significant safety information, study amendments and new study protocols. Information about certain clinical trials, including a description of the study and study results, must also be submitted within specific time frames to the National Institutes of Health (the NIH), for public dissemination on the clinicaltrials.gov website. Sponsors of investigational products for serious diseases must also have a publicly available policy on requests for expanded access.</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Investigational drugs and active ingredients imported into the U.S. are also subject to regulation by the FDA. Further, the export of investigational products outside of the U.S. is subject to regulatory requirements of the receiving country as well as U.S. export requirements under the FDCA.</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Human clinical trials are typically conducted in three sequential phases that may overlap.</w:t>
      </w:r>
    </w:p>
    <w:p>
      <w:pPr>
        <w:spacing w:after="0" w:line="115" w:lineRule="exact"/>
        <w:rPr>
          <w:sz w:val="20"/>
          <w:szCs w:val="20"/>
          <w:color w:val="auto"/>
        </w:rPr>
      </w:pPr>
    </w:p>
    <w:p>
      <w:pPr>
        <w:ind w:left="1020" w:right="460" w:hanging="503"/>
        <w:spacing w:after="0" w:line="284"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Phase 1</w:t>
      </w:r>
      <w:r>
        <w:rPr>
          <w:rFonts w:ascii="Times New Roman" w:cs="Times New Roman" w:eastAsia="Times New Roman" w:hAnsi="Times New Roman"/>
          <w:sz w:val="18"/>
          <w:szCs w:val="18"/>
          <w:color w:val="231F20"/>
        </w:rPr>
        <w:t>: The drug is initially introduced into healthy human subjects or patients and tested for safety and dosage tolerance. Absorption,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metabolism, distribution and excretion testing is generally performed at this stage.</w:t>
      </w:r>
    </w:p>
    <w:p>
      <w:pPr>
        <w:spacing w:after="0" w:line="50" w:lineRule="exact"/>
        <w:rPr>
          <w:rFonts w:ascii="Times New Roman" w:cs="Times New Roman" w:eastAsia="Times New Roman" w:hAnsi="Times New Roman"/>
          <w:sz w:val="18"/>
          <w:szCs w:val="18"/>
          <w:color w:val="231F20"/>
        </w:rPr>
      </w:pPr>
    </w:p>
    <w:p>
      <w:pPr>
        <w:ind w:left="1020" w:right="20" w:hanging="503"/>
        <w:spacing w:after="0" w:line="261"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Phase 2</w:t>
      </w:r>
      <w:r>
        <w:rPr>
          <w:rFonts w:ascii="Times New Roman" w:cs="Times New Roman" w:eastAsia="Times New Roman" w:hAnsi="Times New Roman"/>
          <w:sz w:val="18"/>
          <w:szCs w:val="18"/>
          <w:color w:val="231F20"/>
        </w:rPr>
        <w:t>: The drug is studied in controlled, exploratory therapeutic trials in a limited number of subjects with the disease or medical condition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for which the new drug is intended to be used in order to identify possible adverse effects and safety risks, to determine the preliminary or potential efficacy of the product for specific targeted diseases or medical conditions and to determine dosage tolerance and the optimal effective dose.</w:t>
      </w:r>
    </w:p>
    <w:p>
      <w:pPr>
        <w:spacing w:after="0" w:line="71" w:lineRule="exact"/>
        <w:rPr>
          <w:rFonts w:ascii="Times New Roman" w:cs="Times New Roman" w:eastAsia="Times New Roman" w:hAnsi="Times New Roman"/>
          <w:sz w:val="18"/>
          <w:szCs w:val="18"/>
          <w:color w:val="231F20"/>
        </w:rPr>
      </w:pPr>
    </w:p>
    <w:p>
      <w:pPr>
        <w:ind w:left="1020" w:right="20" w:hanging="503"/>
        <w:spacing w:after="0" w:line="258"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Phase 3</w:t>
      </w:r>
      <w:r>
        <w:rPr>
          <w:rFonts w:ascii="Times New Roman" w:cs="Times New Roman" w:eastAsia="Times New Roman" w:hAnsi="Times New Roman"/>
          <w:sz w:val="18"/>
          <w:szCs w:val="18"/>
          <w:color w:val="231F20"/>
        </w:rPr>
        <w:t>: When Phase 2 studies demonstrate that a specific dosage range of the drug may be efficacious and the drug has an acceptable safety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profile for further investigation, controlled, large-scale therapeutic Phase 3 trials are undertaken at multiple study sites to demonstrate clinical efficacy and to further test for safety in an expanded patient population. Typically, two Phase 3 trials are required by the FDA for product approval. Under some limited circumstances, however, the FDA may approve an NDA based upon a single Phase 3 clinical study plus confirmatory evidence or a single large multi-center trial without confirmatory evidence.</w:t>
      </w:r>
    </w:p>
    <w:p>
      <w:pPr>
        <w:spacing w:after="0" w:line="185"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231F20"/>
        </w:rPr>
        <w:t>Concurrent with clinical trials, companies usually complete additional nonclinical and toxicology studies and must also develop additional information about the chemistry, manufacturing and controls (CMC) of the product candidate.</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Some clinical trials are overseen by an independent group of qualified experts organized by the clinical trial sponsor, known as a data monitoring committee. This group reviews data and advises the study sponsor regarding the continuing safety of the trial. This group may also review interim data to assess the continuing validity and scientific merit of the clinical trial. The data monitoring committee may advise the sponsor to halt the clinical trial, modify the clinical trial, or continue the clinical trial depending on safety results and the trial’s likelihood of success.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We cannot be certain that we will successfully complete clinical testing of our products within any specific time period, if at all. Furthermore, the FDA, the IRB or we may suspend or terminate clinical trials at any time on various grounds, including a finding that the subjects or patients are being exposed to an unacceptable safety risk or noncompliance with applicable regulatory requirements.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Results of nonclinical and toxicology studies and clinical trials, as well as detailed information about the manufacturing process, quality control methods and product composition, among other things, are submitted to the FDA as part of an NDA seeking approval to market and commercially distribute the product on the basis of a determination that the product is safe and effective for its intended use. Once the FDA receives an application, it has 60 days to review the NDA to determine if it is substantially complete to permit a substantive review, before it accepts the application for filing. The FDA may request additional information rather than accept an application for filing. In this event, the application must be resubmitted with the additional information. Once the submission is accepted for filing, the FDA begins an in-depth substantive review. Under the goals agreed to by the FDA under the Prescription Drug User Fee Act (PDUFA), the agency currently aims to review 90% of all applications for new molecular entities within ten months of the 60-day filing date for a standard review. The PDUFA date is only a goal, thus, the FDA does not always meet its PDUFA dates. The PDUFA date may also be extended if the FDA requests or the sponsor provides substantial additional information regarding the submission.</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The FDA may refer certain applications to an advisory committee, which is a panel of experts that make a recommendation as to whether the application should be approved and under what conditions. The FDA is not bound by the recommendations of an advisory committee, but it considers such recommendations carefully when making decisions.</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Before approving an NDA, the FDA will inspect the facilities at which the product is manufactured and may inspect the sponsor, clinical study vendors and clinical sites at which the product candidate was studied and will not approve the product unless cGMP and GCP compliance are satisfactory. Inspections may be in-person or conducted remotely. If applicable regulatory criteria are not satisfied, the FDA may issue a complete response letter (CRL) to the sponsor requiring additional nonclinical or clinical studies or data or additional CMC information. If a CRL is issued, the applicant may either: resubmit the marketing application, addressing all of the deficiencies identified in the letter; withdraw the application; or request an opportunity for a hearing.</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Once the FDA determines that the approval requirements are met, it will issue an approval letter that authorizes commercial marketing of the product with specific prescribing information for specific indications. As a condition of approval, the FDA also may require post-marketing commitments and requirements, including studies and/or surveillance to monitor the product’s safety or efficacy. The FDA also may require a Medication Guide and also a risk evaluation and mitigation strategy (REMS), or other conditions for a product’s approval or following approval to ensure that the benefits of the product candidate outweigh the risks. Moreover, even if the FDA approves a product, it may limit the approved indications or populations for use of the product, require that contraindications, warnings, or precautions be included in the product labeling, including a black box warning, impose other conditions, such as post-approval studies, or may not approve label statements that are necessary for successful commercialization and marketing.</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Even after an NDA is approved, the FDA may impose additional obligations or restrictions (such as labeling changes, or clinical post-marketing requirements), or even suspend or withdraw a product approval or require additional testing or label revisions on the basis of data that arise after the product reaches the market, or if compliance with regulatory standards is not maintained. We cannot be certain that any NDA we submit will be approved by the FDA for full or accelerated approval on a timely basis, if at all. Also, any such approval may limit the indicated uses for which the product may be marketed. Any refusal to approve, delay in approval, suspension or withdrawal of approval, or restrictions on indicated uses could have a material adverse impact on our business prospects.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Each NDA must be accompanied by a substantial user fee pursuant to the requirements of the PDUFA and its amendments. Fee waivers or reductions are available in certain circumstances. Following product approval, drug products are also subject to annual program fees. The FDA adjusts the PDUFA user fees on an annual basis. Subject to meeting certain requirements, a written request can be submitted for a waiver for the application fee for the first human drug application that is filed by a small business, but there are no small business waivers for program fees. Product candidates that are designated as orphan products are not subject to application user fees unless the application includes an indication other than the orphan indication and may be exempt from program fees if certain criteria are met. We are not at the stage of development with our products where we are subject to these fees, but they are significant expenditures that may be incurred in the future and must be paid at the time of application submissions to the FDA.</w:t>
      </w:r>
    </w:p>
    <w:p>
      <w:pPr>
        <w:spacing w:after="0" w:line="18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231F20"/>
        </w:rPr>
        <w:t>Satisfaction of FDA requirements typically takes many years. The actual time required varies substantially, based upon the type, complexity and novelty of the pharmaceutical product, among other things. Government regulation imposes costly and time-consuming requirements and restrictions throughout the product life cycle and may delay product marketing for a considerable period of time, limit product marketing, or prevent marketing altogether. Success in nonclinical or early-stage clinical trials does not ensure success in later stage clinical trials. Data obtained from nonclinical and clinical activities are not always conclusive and may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susceptible to varying interpretations that could delay, limit, or prevent marketing approval. Even if a product receives marketing approval, the approval is limited to specific clinical indications. Further, even after marketing approval is obtained, the discovery of previously unknown problems with a product may result in restrictions on the product or even complete withdrawal of the product from the market.</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After product approval, there are continuing significant regulatory requirements imposed by the FDA, including record-keeping requirements, obligations to report adverse side effects in patients using the products and restrictions on advertising and promotional activities. Quality control and manufacturing procedures must continue to conform to cGMPs and the FDA periodically inspects facilities, via in person inspections and remote regulatory assessments, to assess cGMP compliance. Additionally, post-approval changes in ingredient composition, manufacturing processes or facilities, product labeling, or other areas may require submission of an NDA Supplement to the FDA for review and approval. New indications will require additional clinical studies and submission of an NDA Supplement. Commercially distributed products are also subject to a variety of additional requirements, including requirements regarding tacking, tracing and supply chain integrity; and requirements related to drug shortages and drug shortage prevention.</w:t>
      </w:r>
    </w:p>
    <w:p>
      <w:pPr>
        <w:spacing w:after="0" w:line="189" w:lineRule="exact"/>
        <w:rPr>
          <w:sz w:val="20"/>
          <w:szCs w:val="20"/>
          <w:color w:val="auto"/>
        </w:rPr>
      </w:pPr>
    </w:p>
    <w:p>
      <w:pPr>
        <w:jc w:val="both"/>
        <w:ind w:right="440" w:firstLine="509"/>
        <w:spacing w:after="0" w:line="257" w:lineRule="auto"/>
        <w:rPr>
          <w:sz w:val="20"/>
          <w:szCs w:val="20"/>
          <w:color w:val="auto"/>
        </w:rPr>
      </w:pPr>
      <w:r>
        <w:rPr>
          <w:rFonts w:ascii="Times New Roman" w:cs="Times New Roman" w:eastAsia="Times New Roman" w:hAnsi="Times New Roman"/>
          <w:sz w:val="18"/>
          <w:szCs w:val="18"/>
          <w:color w:val="231F20"/>
        </w:rPr>
        <w:t>Failure to comply with the FDA’s regulatory requirements may result in an enforcement action by the FDA, including clinical holds, refusal to approve marketing applications or supplements, Warning Letters, product recalls, suspension or revocation of product approval, seizure of product to prevent distribution, impositions of injunctions prohibiting product manufacture or distribution and civil and criminal penalties, among other actions.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Maintaining compliance is costly and time-consuming. We cannot be certain that we, or our present or future suppliers or third-party manufacturers, will be able to comply with all FDA regulatory requirements and potential consequences of noncompliance could have a material adverse impact on our business prospects.</w:t>
      </w:r>
    </w:p>
    <w:p>
      <w:pPr>
        <w:spacing w:after="0" w:line="18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The FDA’s policies may change and additional governmental regulations may be enacted that could delay, limit, or prevent regulatory approval of our products, that require that we implement additional compliance steps, or affect our ability to manufacture, market, or distribute our products after approval.</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Our activities also may be subject to state laws and regulations that affect our ability to develop and sell our products. We are also subject to numerous federal, state and local laws relating to such matters as safe working conditions, clinical, laboratory and manufacturing practices, environmental protection, fire hazard control and disposal of hazardous or potentially hazardous substances. We may incur significant costs to comply with such laws and regulations now or in the future and the failure to comply may have a material adverse impact on our business prospects.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The FDCA includes provisions designed to facilitate the development and expedite the review of drugs intended for treatment of serious or life-threatening conditions that demonstrate the potential to address unmet medical needs for such conditions or present a significant improvement over existing therapy. These provisions set forth a procedure for designation of a drug as a fast track product. The fast track designation applies to the combination of the product and specific indication for which it is being studied. A product designated as fast track is ordinarily eligible for additional programs for expediting development and review, such as increased FDA interactions and rolling submission of the application.</w:t>
      </w:r>
    </w:p>
    <w:p>
      <w:pPr>
        <w:spacing w:after="0" w:line="18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Products that are intended to treat serious or life-threatening conditions and that provide a meaningful therapeutic benefit over existing treatments may also be eligible for accelerated approval. Drug approval under the accelerated approval regulations may be based on evidence of clinical effect on a surrogate endpoint that is reasonably likely to predict clinical benefit. A post-marketing clinical study will be required to be completed to verify clinical benefit and other restrictions to assure safe use may be imposed. </w:t>
      </w:r>
      <w:r>
        <w:rPr>
          <w:rFonts w:ascii="Times New Roman" w:cs="Times New Roman" w:eastAsia="Times New Roman" w:hAnsi="Times New Roman"/>
          <w:sz w:val="18"/>
          <w:szCs w:val="18"/>
          <w:color w:val="000000"/>
        </w:rPr>
        <w:t>By the date of approval of an accelerated approval product, the FDA must specify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conditions for the required post approval studies, including enrollment targets, the study protocol, milestones and target completion dates. The FDA may also require that the confirmatory Phase 4 studies be commenced prior to the FDA granting a product accelerated approval. Reports on the progress of the required Phase 4 confirmatory studies must be submitted to the FDA every 180 days after approval. </w:t>
      </w:r>
      <w:r>
        <w:rPr>
          <w:rFonts w:ascii="Times New Roman" w:cs="Times New Roman" w:eastAsia="Times New Roman" w:hAnsi="Times New Roman"/>
          <w:sz w:val="18"/>
          <w:szCs w:val="18"/>
          <w:color w:val="231F20"/>
        </w:rPr>
        <w:t>Failure to conduct required post-approval studies,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confirm a clinical benefit, will allow the FDA to withdraw the drug or biologic from the market on a statutorily defined expedited basis. </w:t>
      </w:r>
      <w:r>
        <w:rPr>
          <w:rFonts w:ascii="Times New Roman" w:cs="Times New Roman" w:eastAsia="Times New Roman" w:hAnsi="Times New Roman"/>
          <w:sz w:val="18"/>
          <w:szCs w:val="18"/>
          <w:color w:val="000000"/>
        </w:rPr>
        <w:t>Failure to conduct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required Phase 4 confirmatory studies or to conduct such studies with due diligence, as well as failure to submit the required update reports can subject a sponsor to penalties. I</w:t>
      </w:r>
      <w:r>
        <w:rPr>
          <w:rFonts w:ascii="Times New Roman" w:cs="Times New Roman" w:eastAsia="Times New Roman" w:hAnsi="Times New Roman"/>
          <w:sz w:val="18"/>
          <w:szCs w:val="18"/>
          <w:color w:val="231F20"/>
        </w:rPr>
        <w:t>n recent years, the accelerated approval pathway has come under significant FDA and public scrutiny. Accordingly, the FDA may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be more conservative in granting accelerated approval or, if granted, may be more apt to withdrawal approval if clinical benefit is not confirmed or the risk benefit assessment changes.</w:t>
      </w:r>
    </w:p>
    <w:p>
      <w:pPr>
        <w:spacing w:after="0" w:line="19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A third potential designation that may be available is breakthrough therapy designation. A breakthrough therapy is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Products designated as breakthrough therapies are eligible for intensive FDA guidance, a commitment from the FDA to involve senior managers and experienced review staff in a proactive collaborative and cross-disciplinary review, rolling submission of the application and the facilitation of cross-disciplinary review.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Finally, if a product is intended to treat a serious condition and, if approved, would provide significant improvements in the safety or effectiveness of the treatment, diagnosis, or prevention of the condition, the product may be eligible for priority review meaning that the FDA’s goal for the review of an NDA is shortened to six months (after a two month period during which the FDA decides whether the application is ready for filing) rather than the standard review of ten months from application acceptance. If we should seek additional designations for any of our programs, we cannot be assured that it will be granted by the FDA. There is also no guarantee that we will be able to maintain any designation that we have received or may receive.</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Following the FDA’s approval of an NDA, sponsors are required to list with the FDA each patent with claims that cover the applicant’s drug or a method of using the drug. These patents are published in the FDA’s list of Approved Drug Products with Therapeutic Equivalence Evaluations, commonly known as the Orange Book. Drugs listed in the Orange Book can be cited by potential competitors as a reference listed drug in support of a 505(b)(2) NDA or an Abbreviated New Drug Application, (ANDA). In an effort to clarify which patents must be listed in the Orange Book, in January 2021, Congress passed the Orange Book Transparency Act of 2020, which largely codified the FDA’s existing practices into the FDCA. Listing patents in the Orange Book that do not qualify for listing can be considered to be anticompetitive conduct and, the Federal Trade Commission has sent letters to a number of companies with respect to certain patents that the agency asserted were improperly listed or inaccurate. Listings have also been the subject of court cases.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An ANDA provides for marketing of a generic drug product that has the same active ingredients, dosage form, strength, route of administration, labeling, performance characteristics and intended use as a previously approved product. ANDA applicants generally must only scientifically demonstrate that their product is bioequivalent to, or performs in the same manner as, the innovator drug and can often be substituted by pharmacists under prescriptions written for the reference listed drug.</w:t>
      </w:r>
    </w:p>
    <w:p>
      <w:pPr>
        <w:spacing w:after="0" w:line="1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Generally, the FDA may not approve an abbreviated new drug application (ANDA) or 505(b)(2) NDA unless the reference listed drug’s Orange Book listed patents have expired and/or if the applicant certifies that it is not seeking approval for a patented method of use. The FDA may approve these applications, however, if the 505(b)(2) NDA or ANDA sponsor certifies that the Orange Book listed patents for the reference listed drug are invalid or will not be infringed upon by the manufacture, use or sale of the drug product for which the application is submitted. This later certification is called a paragraph IV certification. If the ANDA or 505(b)(2) NDA applicant has made a paragraph IV certification, following notice to the NDA and patent holders, the NDA and patent holders may then initiate a patent infringement lawsuit. If a lawsuit is brought, the FDA may not make an approval effective until the earlier of 30 months from the patent or application owner’s receipt of the notice of the paragraph IV certification, the expiration of the patent, when the infringement case concerning each such patent is favorably decided in the applicant’s favor or settled, or such shorter or longer period as may be ordered by a court.</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Congress and U.S. federal administrative agencies have taken certain measures to increase drug competition and thus decrease drug prices, including by facilitating 505(b)(2) NDAs and ANDAs and by introducing additional products into the U.S. market. For example, the FDA finalized a rule and a guidance to facilitate drug importation. Congress also passed a bill requiring sponsors of NDA products to provide sufficient quantities of drug product on commercially reasonable market-based terms to entities developing generic and 505(b)(2) products. This bill also included provisions on shared and individual REMS for generic drug products.</w:t>
      </w:r>
    </w:p>
    <w:p>
      <w:pPr>
        <w:spacing w:after="0" w:line="183"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231F20"/>
        </w:rPr>
        <w:t>Under the Drug Price Competition and Patent Term Restoration Act of 1984, a sponsor may obtain marketing exclusivity for a specified period of time following FDA approval of certain drug applications. For example, new drugs containing new chemical entities that have not been previously approved by the FDA may obtain five years of exclusivity.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paragraph IV certification. This exclusivity is not absolute. For instance, it will not delay the submission or approval of a full NDA; though, an applicant submitting a full NDA would be required to conduct or obtain a right of reference to all of the pre-clinical studies and adequate and well-controlled clinical trials necessary to demonstrate safety and efficacy.</w:t>
      </w:r>
    </w:p>
    <w:p>
      <w:pPr>
        <w:spacing w:after="0" w:line="172"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231F20"/>
        </w:rPr>
        <w:t>Following NDA approval, a patent owner may obtain an extension of a single unexpired patent that has not previously been extended for a period equal to one-half the period of time elapsed between the filing of an IND and the filing of the corresponding NDA plus the period of time between the filing of the NDA and FDA approval, with a five year maximum patent extension. The total patent life of the product with the extension cannot exceed fourteen years from the product’s approval date. The period of patent extension may also be reduced for any time that the applicant did not act with due diligence. We cannot be certain that we will be 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to take advantage of either the patent term extension or marketing exclusivity provisions of these laws or that, if received, they will adequately protect any approved products from competition.</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The Best Pharmaceuticals for Children Act (BPCA) adds an additional six months of marketing exclusivity and patent protection to unexpired exclusivities and unexpired patents listed with the FDA for NDA applicants that conduct acceptable pediatric studies of new and currently marketed drug products for which pediatric information would be beneficial, as identified by the FDA in a Pediatric Written Request. The data do not need to show the product to be effective in the pediatric population studied; rather, if the clinical trial is deemed to fairly address the agreement between the sponsor and the FDA in the Pediatric Written Request, the additional protection is granted.</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The Pediatric Research Equity Act (PREA) also requires that most applications for drugs include a pediatric assessment (unless waived or deferred) to ensure the drugs’ safety and effectiveness in children. Such pediatric assessment must contain data, gathered using appropriate formulations for each age group for which the assessment is required, that are adequate to assess the safety and effectiveness of the drug product for the claimed indications in all relevant pediatric subpopulations and to support dosing and administration for each pediatric subpopulation for which the drug product is safe and effective. The pediatric assessments can only be deferred provided there is a timeline for the completion of such studies. The FDA may waive (partially or fully) the pediatric assessment requirement for several reasons, including if the applicant can demonstrate that reasonable attempts to produce a pediatric formulation necessary for that age group have failed. Orphan products are also exempt from the PREA requirements.</w:t>
      </w:r>
    </w:p>
    <w:p>
      <w:pPr>
        <w:spacing w:after="0" w:line="18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231F20"/>
        </w:rPr>
        <w:t>Further, sponsors submitting original applications on or after August 18, 2020, for product candidates intended for the treatment of adult cancer which are directed at molecular targets that the FDA determines to be substantially relevant to the growth or progression of pediatric cancer must submit, prior to marketing application submission, an initial Pediatric Study Plan for FDA agreement and with the application, reports from molecularly targeted pediatric cancer clinical investigations designed to yield clinically meaningful pediatric study data, using appropriate pediatric formulations, to inform potential pediatric labeling. While orphan products are not exempt from this requirement, the FDA may grant full or partial waivers, or deferrals, for submission of data.</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Under the Orphan Drug Act, the FDA may grant orphan drug designation to drugs intended to treat a rare disease or condition, which generally is a disease or condition that affects fewer than 200,000 individuals in the U.S. Additionally, sponsors must present a plausible hypothesis for clinical superiority to obtain orphan drug designation if there is a product already approved by the FDA that is considered by the FDA to be the same as the already approved product and is intended for the same indication. Orphan drug designation does not convey any advantage in, or shorten the duration of, the regulatory review and approval process.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except in limited circumstances. By example, if there is already a product approved by the FDA that is the same product for the same indication, the orphan designated product will only receive orphan drug exclusivity if the prior hypothesis of clinical superiority is demonstrated. Competitors may also be able to receive approval for different drugs for the indication for which the orphan product has exclusivity or the same drug for a different indication.</w:t>
      </w:r>
    </w:p>
    <w:p>
      <w:pPr>
        <w:spacing w:after="0" w:line="19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Notably, the exact scope of any period of orphan drug exclusivity may change. Specifically, 2021 judicial decision, </w:t>
      </w:r>
      <w:r>
        <w:rPr>
          <w:rFonts w:ascii="Times New Roman" w:cs="Times New Roman" w:eastAsia="Times New Roman" w:hAnsi="Times New Roman"/>
          <w:sz w:val="18"/>
          <w:szCs w:val="18"/>
          <w:i w:val="1"/>
          <w:iCs w:val="1"/>
          <w:color w:val="auto"/>
        </w:rPr>
        <w:t>Catalyst Pharms.,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Becerra</w:t>
      </w:r>
      <w:r>
        <w:rPr>
          <w:rFonts w:ascii="Times New Roman" w:cs="Times New Roman" w:eastAsia="Times New Roman" w:hAnsi="Times New Roman"/>
          <w:sz w:val="18"/>
          <w:szCs w:val="18"/>
          <w:color w:val="auto"/>
        </w:rPr>
        <w:t>, challenged and reversed an FDA decision on the scope of orphan product exclusivity for the drug, Firdapse. Under this decision, orphan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exclusivity for Firdapse blocked approval of another company’s application for the same drug for the entire disease or condition for which orphan drug designation was granted, not just the disease or condition for which approval was received. In a January 2023 Federal Register notice, however, the FDA stated that it intends to continue to apply its regulations tying the scope of orphan-drug exclusivity to the uses or indications for which a drug is approved. The exact scope of orphan drug exclusivity will likely be an evolving area.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Pharmaceutical Coverage, Pricing and Reimbursement &amp; Healthcare Reform</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In addition, future sales of our products, if approved for marketing, will depend, in part, on the availability and extent of coverage and reimbursement by third-party payors, such as government healthcare programs, including Medicare and Medicaid, commercial insurance and managed healthcare organizations. These third-party payors are increasingly challenging the price and limiting the coverage and reimbursement amounts for medical products and services. There may be significant delays in obtaining coverage and reimbursement for approved products and coverage may be more limited than the purposes for which the product is approved by the FDA or regulatory authority in other countries. It is time-consuming and expensive to seek reimbursement from third- party payors. Moreover, eligibility for reimbursement does not imply that any product will be paid for in all cases or at a rate that covers our costs, including research, development, manufacture, sale and distribution. In the United States, third-party payors often rely upon Medicare coverage policy and payment limitations in setting their own reimbursement policies, but they also have their own methods and approval process apart from Medicare coverage and reimbursement determinations.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In addition, the containment of healthcare costs has become a priority for federal and state governments and the prices of drugs have been a focus in this effort. The U.S. government, state legislatures and foreign governments have shown significant interest in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the product candidate and have a material adverse effect on our sales, results of operations and financial condition. 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healthcare program reimbursement methodologies for drug products.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drug price transparency measures and, in some cases, designed to encourage importation from other countries and bulk purchasing. On August 16, 2022, President Biden signed into the law the Inflation Reduction Act of 2022, or the IRA. Among other things, the IRA has multiple provisions that may impact the prices of drug products, such as negotiated ceiling prices and penalties for price increases that exceed the rate of inflation, that are both sold into the Medicare program and throughout the United States.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Regulatory Changes</w:t>
      </w:r>
    </w:p>
    <w:p>
      <w:pPr>
        <w:spacing w:after="0" w:line="22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Over the last year, there have been a number of changes in the regulation of pharmaceutical products and legal standards, including the reduced level of judicial deference due to administrative agencies following a 2024 Supreme Court decision. This may introduce uncertainties with respect to how we or any product candidates may be regulated and our future likelihood of success. It is possible that new federal or state laws or regulations may be passed, or laws and regulations may be enforced differently than they were before, which may expose us to additional legal and regulatory risk or uncertainty and require the expenditure of additional resources to ensure that we are able to comply. Such actions could also adversely restrict our business and operations. There could also be changes in FDA’s approval standards that could impact our ability to obtain product approvals in the future and to competitively market any product candidates,including change in product reimbursement to the extent applicable. Such changes may necessitate the conduct of additional development work, including preclinical and clinical trials and manufacturing development or may limit our ability to successfully market any product. Moreover, changes in the federal workforce and agency policies may result in regulatory delays or changes in administrative agencies’ regulatory approach. At the same time, FDA has created new programs intended to facilitate drug development, which, if we qualify for them, may provide new opportunities. Any of the foregoing may impact our business and results of operation.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Foreign Regulatory Requirements</w:t>
      </w:r>
    </w:p>
    <w:p>
      <w:pPr>
        <w:spacing w:after="0" w:line="2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231F20"/>
        </w:rPr>
        <w:t>Outside the U.S., our ability to market our products will also be contingent upon receiving marketing authorizations from the appropriate regulatory authorities and compliance with applicable post-approval regulatory requirements. Although the specific requirements and restrictions vary from country to country, as a general matter, foreign regulatory systems include risks similar to those associated with the FDA’s regulations, described above.</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Under European Union (European Union) regulatory systems, marketing authorizations may be submitted either under a centralized or a decentralized procedure (DCP). Under the centralized procedure, a single application to the European Medicines Agency (EMA) leads to an approval granted by the European Commission which permits the marketing of the product throughout the EU. The centralized procedure is mandatory for certain classes of medicinal products such as new substances for the treatment of oncology. In addition, all medicinal products developed by certain biotechnological means and those developed for cancer and other specified diseases and disorders, must be authorized via the centralized procedure. The centralized procedure will apply to any of our products that are developed by means of a biotechnology process or are intended for treatment of cancer. The DCP is used for products that are not eligible or not required to be authorized by the centralized procedure. The centralized procedure is optional for certain other products. Since the exit of the UK from the European Union, the UK has been excluded from the centralized procedure. It will be necessary for applicants to make a separate application to the UK Medicines and Healthcare products Regulatory Agency (MHRA) for a UK marketing authorization. There is currently no procedure for mutual EU/UK recognition of new medicinal products although there is an expedited review procedure (the EC Decision Reliance Procedure) for approval in the UK of EU approved products which is currently to run to December 31, 2023. Thereafter a new international recognition framework will be in place, which will have regard to decisions already made by the EMA. This means applications with a positive opinion from the Committee for Medicinal Products for Human Use (CHMP) received after December 31, 2023 will be eligible.</w:t>
      </w:r>
    </w:p>
    <w:p>
      <w:pPr>
        <w:spacing w:after="0" w:line="18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231F20"/>
        </w:rPr>
        <w:t>As with FDA approval, we may not be able to secure regulatory approvals in the EU in a timely manner, if at all. Additionally, as in the U.S., post-approval regulatory requirements, such as those regarding product manufacture, marketing, or distribution, would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231F20"/>
        </w:rPr>
        <w:t>apply to any product that is approved in the EU and failure to comply with such obligations could have a material adverse effect on our ability to successfully commercialize any product.</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The conduct of clinical trials in the EU is governed by the European Clinical Trials Regulation (CTR), which was implemented in June 2022. This CTR governs how regulatory bodies in member states control clinical trials. No clinical trial may be started without a clinical trial authorization granted by the national competent authority and favorable ethics approval. Under the CTER, clinical trial sponsors were able to use the Clinical Trials Information System (CTIS) since January 31, 2022, but were not obliged to use it immediately, in line with a three-year transition period, which expired January 31, 2025. National regulators in the EU Member States and European Economic Area (EEA) countries have been able to use the CTIS since January 31, 2022. With the exit of the UK from the EU in January 2021, the UK did not implement the CTR and the UK provisions implementing the previous law as set out in the previous Clinical Trial Directive (which fundamentally covered the same area as the CTR but was far less detailed and predated the CTIS) will continue to apply until amended by the UK. However, the UK has recently enacted the Medicines for Human Use (Clinical Trials) (Amendment) Regulations 2025 which is intended in part to align the US with the US/EEA as well as seeking to streamline approval procedures (including a combined MHRA and ethics committee approval process) acknowledging the effect of the non-inclusion of UK trials in the CRIS. This UK legislation comes into effect on April 28, 2026.</w:t>
      </w:r>
    </w:p>
    <w:p>
      <w:pPr>
        <w:spacing w:after="0" w:line="19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231F20"/>
        </w:rPr>
        <w:t>Accordingly, there is a marked degree of change and uncertainty both in the regulation of clinical trials and in respect of marketing authorizations which we face for our products in the EU.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We do not have the facilities or capabilities to commercially manufacture any of our drug candidates. We are and expect to continue to be dependent on contract manufacturers for supplying our existing and future candidates for clinical trials and commercial scale manufacturing of our candidates in accordance with regulatory requirements, including cGMP. Contract manufacturers may utilize their own technology, technology developed by us, or technology acquired or licensed from third parties. FDA approval of the manufacturing procedures and the site will be required prior to commercial distribution.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As of June 30, 2025, we had four employees whom all reside in the United States and were engaged in </w:t>
      </w:r>
      <w:r>
        <w:rPr>
          <w:rFonts w:ascii="Times New Roman" w:cs="Times New Roman" w:eastAsia="Times New Roman" w:hAnsi="Times New Roman"/>
          <w:sz w:val="18"/>
          <w:szCs w:val="18"/>
          <w:color w:val="000000"/>
        </w:rPr>
        <w:t>business development, finance, information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systems or administrative support. </w:t>
      </w:r>
      <w:r>
        <w:rPr>
          <w:rFonts w:ascii="Times New Roman" w:cs="Times New Roman" w:eastAsia="Times New Roman" w:hAnsi="Times New Roman"/>
          <w:sz w:val="18"/>
          <w:szCs w:val="18"/>
          <w:color w:val="231F20"/>
        </w:rPr>
        <w:t>Other personnel resources are used from time to time as consultants or third-party service organizations on an as-needed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basis for scientific and human resources activities. Our Acting Chief Executive Officer and Chief Financial Officer has prior experience with pharmaceutical, biotechnology and medical product companies. We believe that we have been successful in attracting skilled and experienced personnel, but there can be no assurance that we will be able to attract and retain the individuals needed.</w:t>
      </w:r>
    </w:p>
    <w:p>
      <w:pPr>
        <w:spacing w:after="0" w:line="183"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231F20"/>
        </w:rPr>
        <w:t>We strive to create a workplace of choice to attract, retain and develop top talent to achieve our strategic goals. We strive to maximize the potential of our human capital resources by creating a respectful, rewarding and inclusive work environment that enables our employees to further our mission. We adhere to a philosophy that includes, among other things, commitments to create ongoing job opportunities, pay fair wages and protect worker health and safety.</w:t>
      </w:r>
    </w:p>
    <w:p>
      <w:pPr>
        <w:spacing w:after="0" w:line="18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231F20"/>
        </w:rPr>
        <w:t>We invest in our workforce by offering competitive salaries and benefits. We endeavor to foster a strong sense of ownership by offering stock options under our equity incentive plan. We also offer locally relevant benefits for all eligible employees.</w:t>
      </w:r>
    </w:p>
    <w:p>
      <w:pPr>
        <w:spacing w:after="0" w:line="16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231F20"/>
        </w:rPr>
        <w:t>None of our employees are represented by a labor union or covered by collective bargaining agreements. We have never experienced a work stoppage and believe our relationship with our employees is good. Management considers our relations with employees to generally be positive.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Our annual reports on Form 10-K, quarterly reports on Form 10-Q, current reports on Form 8-K and amendments to those reports filed with or furnished to the SEC pursuant to Section 13(a) or 15(d) of the Securities Exchange Act of 1934, as amended, are available free of charge through our website at </w:t>
      </w:r>
      <w:r>
        <w:rPr>
          <w:rFonts w:ascii="Times New Roman" w:cs="Times New Roman" w:eastAsia="Times New Roman" w:hAnsi="Times New Roman"/>
          <w:sz w:val="18"/>
          <w:szCs w:val="18"/>
          <w:color w:val="000000"/>
        </w:rPr>
        <w:t>https://litestrategy.com</w:t>
      </w:r>
      <w:r>
        <w:rPr>
          <w:rFonts w:ascii="Times New Roman" w:cs="Times New Roman" w:eastAsia="Times New Roman" w:hAnsi="Times New Roman"/>
          <w:sz w:val="18"/>
          <w:szCs w:val="18"/>
          <w:color w:val="231F20"/>
        </w:rPr>
        <w:t xml:space="preserve"> as soon as reasonably practicable after they are electronically filed with, or furnished to, the SEC. Further, the SEC maintains an internet site that contains reports, proxy and information statements and other information regarding issuers that file electronically with the SEC and can be found on our EDGAR page at http://www.sec.gov.</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Investment in our securities involves a high degree of risk. You should consider carefully the risks described below, together with other information in this Annual Report and other public filings, before making investment decisions regarding our securities. If any of the following events actually occur, our business, operating results, prospects or financial condition could be materially and adversely affected. This could cause the trading price of our common stock to decline and you may lose all or part of your investment. Moreover, the risks described below are not the only ones that we face. Additional risks not presently known to us or that we currently deem immaterial may also affect our business, operating results, prospects or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Investing in Litecoin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Litecoin has been and will likely continue to be, highly volatile.</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Litecoin is a highly volatile asset that has traded between $50.43 and $146.61 per Litecoin on Coinbase in the 12 months ended July 3, 2025. More recently, during the second calendar quarter of 2025, Litecoin has traded between $63.75 and $106.15 per Litecoin through June 30, 2025. In addition, Litecoin does not pay interest. The ability to generate a return on investment from the purchase of Litecoin will depend on whether there is appreciation in the value of Litecoin following our purchases. Future fluctuations in Litecoin’s trading prices may result in our converting Litecoin into cash with a value substantially below the cost of such purchases. Our Litecoin holdings are less liquid than our existing cash and cash equivalents and may not be able to serve as a source of liquidity for us to the same extent as cash and cash equivalents.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Litecoin at favorable prices or at all. Further, any Litecoin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Litecoin or otherwise generate funds using our Litecoin holdings, including in particular during times of market instability or when the price of Litecoin has declined significantly. If we are unable to sell our Litecoin, enter into additional capital raising transactions using Litecoin as collateral, or otherwise generate funds using our Litecoin holdings, or if we are forced to sell our Litecoin at a significant loss, in order to meet our working capital requirements, our business and financial condition could be negatively impacted.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launch of central bank digital currencies (CBDCs) may adversely impact our business.</w:t>
      </w:r>
    </w:p>
    <w:p>
      <w:pPr>
        <w:spacing w:after="0" w:line="229"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The introduction of a government-issued digital currency could eliminate or reduce the need or demand for private-sector issued crypto currencies, or significantly limit their utility. National governments around the world could introduce CBDCs, which could in turn limit the size of the market opportunity for cryptocurrencies, including Litecoin.</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regulatory developments related to crypto assets and crypto asset markets, which could adversely affect our business, financial condition and results of operations.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Litecoin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Litecoin. The U.S. federal government, states, regulatory agencies and foreign countries may also enact new laws and regulations, or pursue regulatory, legislative, enforcement or judicial actions, that could materially impact the price of Litecoin or the ability of individuals or institutions such as us to own or transfer Litecoin.</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Litecoin is determined to constitute a security for purposes of the federal securities laws, the additional regulatory restrictions imposed by such a determination could adversely affect the market price of Litecoin and in turn adversely affect the market price of our common stock. Moreover, the risks of us engaging in a Litecoin treasury strategy could create complications due to the lack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experience that third parties have with companies engaging in such a strategy, such as increased costs of director and officer liability insurance or the potential inability to obtain such coverage on acceptable terms in the future.</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change reclassifying Litecoin as a security could lead to our falling within the definition of “investment company” under the Investment Company Act of 1940, as amended, or the 1940 Act and could adversely affect the market price of Litecoin and the market price of our common stock.</w:t>
      </w:r>
    </w:p>
    <w:p>
      <w:pPr>
        <w:spacing w:after="0" w:line="5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the SEC has not stated a view as to whether Litecoin is or is not a “security” for purposes of the federal securities laws, a determination by the SEC or a court of competent jurisdiction that Litecoin is a security could lead to our meeting the definition of “investment company” under the 1940 Act, if the portion of our assets that consists of investments in Litecoin exceeds the 40% limit prescribed in the 1940 Act, which would subject us to significant additional regulatory requirements that could have a material adverse effect on our business and operations and may also require us to change the manner in which we conduct our business.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intend to monitor our assets and income in order to conduct our business activities in a manner such that we do not fall within the definition of “investment company” under the 1940 Act or would qualify under one of the exemptions or exclusions provided by the 1940 Act and corresponding SEC rules. If Litecoin is determined to be a security for purposes of the federal securities laws, we would take steps to reduce our holdings of Litecoin as a percentage of our total assets. These steps may include, among others, selling Litecoin that we might otherwise hold for the long term and deploying our cash in assets that are not considered to be investment securities under the 1940 Act, in which case we may be forced to sell our Litecoin at unattractive prices. We may also seek to acquire additional assets that are not considered to be investment securities under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meeting the definition of “investment company” under the 1940 Act and becoming subject to its requirements. If Litecoin is determined to constitute a security for purposes of the federal securities laws and if we are not able to come within an available exemption or exclusion under the 1940 Act, then we would have to register as an investment company and require us to change the manner in which we conduct our business. In addition, such a determination could adversely affect the market price of Litecoin and in turn adversely affect the market price of our common stock.</w:t>
      </w:r>
    </w:p>
    <w:p>
      <w:pPr>
        <w:spacing w:after="0" w:line="18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5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Mutual funds, exchange-traded funds and their directors and management are subject to extensive regulation as “investment companies” and “investment advisers” under U.S. federal and state law; this regulation is intended for the benefit and protection of investors. We do not currently comply with and do not intend to voluntarily comply with these laws and regulations. This means, among other things, that the execution of or changes to our Litecoin strategy, our use of leverage, the manner in which our Litecoin is custodied, our ability to engage in transactions with affiliated parties and our operating and investment activities generally are not subject to the extensive legal and regulatory requirements and prohibitions that apply to investment companies and investment advisers. Consequently, our Board has broad discretion over the investment, leverage and cash management policies it authorizes, whether in respect of our Litecoin holdings or other activities we may pursue and has the power to change our current policies, including our strategy of acquiring and holding Litecoin.</w:t>
      </w:r>
    </w:p>
    <w:p>
      <w:pPr>
        <w:spacing w:after="0" w:line="188"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cyberattack and unauthorized parties obtain access to our Litecoin, or if our private keys are lost or destroyed, or other similar circumstances or events occur, we may lose some or all of our Litecoin and our financial condition and results of operations could be materially adversely affected.</w:t>
      </w:r>
    </w:p>
    <w:p>
      <w:pPr>
        <w:spacing w:after="0" w:line="6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expect that substantially all of the Litecoin we acquire will be held in custody accounts at U.S.-based institutional-grade digital asset custodians. Security breaches and cyberattacks are of particular concern with respect to digital assets, including Litecoin. Litecoin and other blockchain-based cryptocurrencies and the entities that provide services to participants in the Litecoin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Similarly, in November 2022, hackers exploited weaknesses in the security architecture of the FTX Trading digital asset exchange and reportedly stole over $400 million in digital assets from customers. A successful security breach or cyberattack could result in:</w:t>
      </w:r>
    </w:p>
    <w:p>
      <w:pPr>
        <w:spacing w:after="0" w:line="162" w:lineRule="exact"/>
        <w:rPr>
          <w:sz w:val="20"/>
          <w:szCs w:val="20"/>
          <w:color w:val="auto"/>
        </w:rPr>
      </w:pPr>
    </w:p>
    <w:p>
      <w:pPr>
        <w:ind w:left="760" w:right="1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partial or total loss of our Litecoin in a manner that may not be covered by insurance or the liability provisions of the custody agreements with the custodians who hold our Litecoin;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brand;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data and violations of applicable data privacy and other laws;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regulatory scrutiny, investigations, fines, penalties and other legal, regulatory, contractual and financial exposure.</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Litecoin ecosystem or in the use of the Litecoin network to conduct financial transactions, which could negatively impact us.</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Attacks upon systems across a variety of industries, including industries related to Litecoin,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Litecoin industry, including third-party services on which we rely, could materially and adversely affect our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from our inception and we anticipate that we may incur losses in the foreseeable future.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pharmaceutical company. Until recently, we had focused our efforts primarily on developing voruciclib, a selective orally administered CDK9 inhibitor and ME-344 (prior to its sale in October 2024), an intravenous small molecule mitochondrial inhibitor targeting the oxidative phosphorylation pathway, with the goal of achieving regulatory approval. In connection with our decision to undertake a comprehensive exploration of strategic alternatives, we have discontinued our clinical programs involving voruciclib and we are currently assessing the recommencement of pre-clinical development of both voruciclib and zandelisib.</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During the fiscal year ended June 30, 2025, we incurred a net loss of $15.9 million, while during the fiscal year ended June 30, 2024, we had net income of $17.8 million. As of June 30, 2025, we have an accumulated deficit of $404.2 million. In connection with the termination of all clinical programs noted above, our R&amp;D expenses have decreased.</w:t>
      </w:r>
    </w:p>
    <w:p>
      <w:pPr>
        <w:spacing w:after="0" w:line="6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Should we resume development activities in the future, we expect that R&amp;D costs would increase and we would continue to incur expenses and operating and net losses, as we develop and seek development and/or commercial relationships with other partners for such drug candidates.</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financial results may fluctuate significantly from year to year, depending on the timing of whether we resume development of our drug candidates or any future drug candidates, the timing of any clinical trials, the receipt of payments under any future agreements we may enter into and our expenditures on other R&amp;D activities as well as any payments owed under the License Agreement with Presage and any future similar agreements.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we resume R&amp;D activities in the future, we expect we would to continue to incur losses for the foreseeable future as we:</w:t>
      </w:r>
    </w:p>
    <w:p>
      <w:pPr>
        <w:spacing w:after="0" w:line="2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any drug candidate;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global intellectual property portfolio;</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or utilize consultants or third-party organizations;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efforts.</w:t>
      </w:r>
    </w:p>
    <w:p>
      <w:pPr>
        <w:spacing w:after="0" w:line="9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drug development, we are unable to accurately predict the timing or amount of increased expenses or when, or if, we will be able to achieve profitability. If we are required by the FDA or foreign regulatory authorities, to perform studies in addition to those currently expected, or if there are any delays in completing our clinical trials or the development of our drug candidate, our expenses could increase.</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Whenever we decide to resume development of our drug candidate or any future drug candidate, we may need additional funding and may be unable to raise capital when needed, which would force us to delay, reduce or eliminate our drug development programs.</w:t>
      </w:r>
    </w:p>
    <w:p>
      <w:pPr>
        <w:spacing w:after="0" w:line="5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Whenever we resume development of our drug candidates or any future drug candidate, we may need to raise additional capital to continue such development.</w:t>
      </w:r>
    </w:p>
    <w:p>
      <w:pPr>
        <w:spacing w:after="0" w:line="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expect our current unrestricted cash and cash equivalents will be sufficient to fund our currently anticipated operating plan for at least the next 12 months. In connection with the termination of all clinical programs, our R&amp;D expenses have decreased, but will resume should we re-commence pre-clinical development of either or both voruciclib and zandelisib. Whenever we resume development activities in the future, we expect that R&amp;D costs would increase. It is possible that the assumptions upon which we have based this estimate may prove to be wrong and we could use our capital resources sooner than we presently expect.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execution of our Litecoin Treasury Strategy;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we resume development activities in the future, the rate of progress and costs related to development of any drug candidates;</w:t>
      </w:r>
    </w:p>
    <w:p>
      <w:pPr>
        <w:spacing w:after="0" w:line="9"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we resume development activities in the future, the rate of progress and costs for any drug candidates that we may in-license or acquire in the future;</w:t>
      </w:r>
    </w:p>
    <w:p>
      <w:pPr>
        <w:ind w:left="1020" w:right="38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any drug candidate, including any such costs we may be required to expend if our licensors are unwilling or unable to do so;</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co-promotion or other arrangements that we may establish.</w:t>
      </w:r>
    </w:p>
    <w:p>
      <w:pPr>
        <w:spacing w:after="0" w:line="9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complementary businesses, products and technologies. Until we can generate a sufficient amount of product revenue, if ever, we may seek to finance future cash needs through public or private equity offerings, debt financings, milestone and royalty payments from corporate collaboration and licensing arrangements, as well as through interest income earned on cash and investment balances. We cannot be certain that additional funding will be available on acceptable terms, or at all and our ability to raise additional capital may be adversely impacted by potential worsening global economic conditions, including high rates of inflation and interest rates, the continuing disruptions to and volatility in the credit and financial markets in the United States and worldwide, including resulting from the ongoing conflicts between Russia and the Ukraine, conflicts in the Middle East and increasing tensions between China and Taiwan.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Any Future Development and Commercialization of Our Drug and Potential Drug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drug candidate or future drug candidates, if we are unable to successfully complete clinical development, obtain regulatory approvals and commercialize our drug candidate or future drug candidates, or experience significant delays in doing so, our business will be materially harmed.</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July 2024, we discontinued the clinical programs in our pipeline in connection with our undertaking a comprehensive exploration of strategic alternatives. Should we resume development activities in the future, we cannot be certain that any such drug candidates will be successful in clinical trials or receive regulatory approval. Regulatory authorities may interpret our data differently than we do. We are not permitted to market or promote any of our drug candidates before we receive regulatory approval from the FDA or comparable foreign regulatory authorities; should we resume development activities in the future we may never receive such regulatory approval for voruciclib or any future drug candidates.</w:t>
      </w:r>
    </w:p>
    <w:p>
      <w:pPr>
        <w:spacing w:after="0" w:line="7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Should we resume development of our drug candidate or any future drug candidates, the success of such drug candidates will depend on many factors, including but not limited to:</w:t>
      </w:r>
    </w:p>
    <w:p>
      <w:pPr>
        <w:spacing w:after="0" w:line="54" w:lineRule="exact"/>
        <w:rPr>
          <w:sz w:val="20"/>
          <w:szCs w:val="20"/>
          <w:color w:val="auto"/>
        </w:rPr>
      </w:pPr>
    </w:p>
    <w:p>
      <w:pPr>
        <w:ind w:left="5540" w:right="2940" w:hanging="5023"/>
        <w:spacing w:after="0" w:line="532" w:lineRule="auto"/>
        <w:tabs>
          <w:tab w:leader="none" w:pos="8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 as well as completion of pre-clinical studies;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80" w:hanging="36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efficacy and acceptable safety data from our clinical trials and other studies;</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additional regulatory approvals;</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reliance on sole-source third parties such as our third-party vendors, suppliers and manufacturers;</w:t>
      </w:r>
    </w:p>
    <w:p>
      <w:pPr>
        <w:spacing w:after="0" w:line="117" w:lineRule="exact"/>
        <w:rPr>
          <w:rFonts w:ascii="Times New Roman" w:cs="Times New Roman" w:eastAsia="Times New Roman" w:hAnsi="Times New Roman"/>
          <w:sz w:val="18"/>
          <w:szCs w:val="18"/>
          <w:color w:val="auto"/>
        </w:rPr>
      </w:pPr>
    </w:p>
    <w:p>
      <w:pPr>
        <w:ind w:left="780" w:right="20" w:hanging="263"/>
        <w:spacing w:after="0" w:line="282" w:lineRule="auto"/>
        <w:tabs>
          <w:tab w:leader="none" w:pos="8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CROs or other third parties and consultants we may retain of their duties to us in a manner that complies with our protocols and applicable laws and that protects the integrity of the resulting data;</w:t>
      </w:r>
    </w:p>
    <w:p>
      <w:pPr>
        <w:spacing w:after="0" w:line="53"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w:t>
      </w:r>
    </w:p>
    <w:p>
      <w:pPr>
        <w:spacing w:after="0" w:line="117" w:lineRule="exact"/>
        <w:rPr>
          <w:rFonts w:ascii="Times New Roman" w:cs="Times New Roman" w:eastAsia="Times New Roman" w:hAnsi="Times New Roman"/>
          <w:sz w:val="18"/>
          <w:szCs w:val="18"/>
          <w:color w:val="auto"/>
        </w:rPr>
      </w:pPr>
    </w:p>
    <w:p>
      <w:pPr>
        <w:ind w:left="780" w:right="500" w:hanging="263"/>
        <w:spacing w:after="0" w:line="282" w:lineRule="auto"/>
        <w:tabs>
          <w:tab w:leader="none" w:pos="8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we do not infringe, misappropriate or otherwise violate the valid patent, trade secret or other intellectual property rights of third parties;</w:t>
      </w:r>
    </w:p>
    <w:p>
      <w:pPr>
        <w:spacing w:after="0" w:line="53"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either alone or with a commercial partner, any drug candidate for which regulatory approval is received;</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favorable reimbursement from third-party payers and governments for drugs and drug candidates;</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drugs;</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commitments, if any, to regulatory agencies following regulatory approval of any drug candidate;</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following regulatory approval; and</w:t>
      </w:r>
    </w:p>
    <w:p>
      <w:pPr>
        <w:spacing w:after="0" w:line="117" w:lineRule="exact"/>
        <w:rPr>
          <w:rFonts w:ascii="Times New Roman" w:cs="Times New Roman" w:eastAsia="Times New Roman" w:hAnsi="Times New Roman"/>
          <w:sz w:val="18"/>
          <w:szCs w:val="18"/>
          <w:color w:val="auto"/>
        </w:rPr>
      </w:pPr>
    </w:p>
    <w:p>
      <w:pPr>
        <w:ind w:left="780" w:hanging="263"/>
        <w:spacing w:after="0" w:line="282" w:lineRule="auto"/>
        <w:tabs>
          <w:tab w:leader="none" w:pos="8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obtaining sufficient supplies of our drugs and any drug candidate that may be necessary for use in clinical trials for evaluation of any drug candidate and commercialization of any approved drug.</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we do not achieve and maintain one or more of these factors in a timely manner or at all, we could experience significant delays in our ability to, or be unable to obtain regulatory approvals for and/or to successfully commercialize any drugs or drug candidates, which would materially harm our business and we may not be able to generate sufficient revenues and cash flows to continue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value of our intellectual property is dependent, in part, on obtaining and maintaining patent protection and preserving trade secrets, which cannot be guaranteed.</w:t>
      </w:r>
    </w:p>
    <w:p>
      <w:pPr>
        <w:spacing w:after="0" w:line="5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Patent protection and trade secret protection are important to our business and our future will depend, in part on our ability to maintain trade secret protection, obtain patents and operate without infringing the proprietary rights of others both in the U.S. and abroad. Litigation or other legal proceedings may be necessary to defend against claims of infringement, to enforce our patents or to protect our trade secrets. Such litigation could result in substantial costs and diversion of our management’s attention.</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can be highly uncertain and involve complex legal and factual questions. We acquired patents and patent applications related to voruciclib from Presage in 2017 and in September 2013, we acquired patents and patent applications related to zandelisib from Pathway Therapeutics, Inc.</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patent applications may not proceed to grant or may be amended to reduce the scope of protection of any patent granted. The applications and patents may also be opposed or challenged by third parties. Should we resume development of our drug candidate or any future drug candidates, our commercial success will depend, in part, on our ability to obtain and maintain effective patent protection for our compounds and their use in treating, preventing, or curing cancer and to successfully defend patent rights in those technologies against third-party challenges. As patent applications in the U.S. are maintained in secrecy until published or issued and as publication of discoveries in the scientific or patent literature often lag behind the actual discoveries, we cannot be certain that we or Presage were the first to make the inventions covered by the pending patent applications or issued patents referred to above or that we or they were the first to file patent applications for such inventions. Additionally, the breadth of claims allowed in biotechnology and pharmaceutical patents or their enforceability cannot be predicted. We cannot be sure that, should any patents issue, we will be provided with adequate protection against potentially competitive products. Furthermore, we cannot be sure that should patents issue, they will be of commercial value to us, or that private parties, including competitors, will not successfully challenge our patents or circumvent our patent position in the U.S. or abroad.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Risks</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or commercial partners may engage in misconduct or other improper activities, including noncompliance with regulatory standards and requirements, which could have a material adverse effect on our business.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or commercial partners could include intentional, reckless, negligent, or unintentional failures to comply with FDA regulations, comply with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(FCA), case against us even if the government considers the claim unmeritorious and declines to intervene, which could require us to incur costs defending against such a claim. Further, due to the risk that a judgment in an FCA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internal computer systems and those of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drug candidate development and, if such drug candidates are approved commercialization programs. For example, the loss of clinical trial data from completed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regulatory enforcement actions and the further development of any of our drug candidates could be delayed.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will be seriously jeopardized if we are unable to retain and attract key employees.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on the continued contributions of our principal management, development and availability of consultants or third-party scientific personnel. We face competition for such personnel and we believe that risks and uncertainties related to our business, including the timing and risk associated with R&amp;D, our available and anticipated cash resources and the volatility of our stock price, may impact our ability to hire and retain key and other personnel. The loss of services of our Acting Chief Executive Officer and Chief Financial Officer or other key employees could adversely impact our operations and ability to generate or raise additional capital.</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U.S. and global economic conditions may pose challenges to our business strategy, which relies on funding from the financial markets or collaborators.</w:t>
      </w:r>
    </w:p>
    <w:p>
      <w:pPr>
        <w:spacing w:after="0" w:line="5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Negative conditions in the U.S. or global economy, including financial markets, may adversely affect our business and the business of current and prospective vendors, licensees and collaborators and others with whom we do or may conduct business. The duration and severity of these conditions is uncertain. If negative economic conditions occur, we may be unable to secure funding on terms satisfactory to us to sustain our operations or to find suitable collaborators to advance our internal programs, even if we achieve positive results from our drug development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rules and regulations relating to public companies may be costly and impact our ability to attract and retain directors and executive officers.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Laws and regulations affecting public companies, including rules adopted by the SEC and by Nasdaq, may result in increased costs to us. These laws, rules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 impact of these events could also make it more difficult for us to attract and retain qualified persons to serve on our Board, on our board committees or as executive officers. We cannot estimate accurately the amount or timing of additional costs we may incur to respond to these laws, rules and regulations.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privacy issues could compromise our information and expose us to liability, which would cause our business and reputation to suffer.</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suppliers, as well as personally identifiable information of clinical trial participants and employees. Similarly, our third-party providers possess certain of our sensitive protected health data. The secure maintenance of this information is critical to our operations and business strategy. Despite our reasonable security measures, our information technology and infrastructure may be vulnerable to cyber-attacks or breached due to employee error, malfeasance or other disruptions. Cyber-attacks and other security incidents are increasing in their frequency, levels of persistence, sophistication and intensity and are being conducted by sophisticated and organized groups and individuals with a wide range of motives and expertise.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more sophisticated and such systems, controls and processes may not be successful in preventing a breach or other incident. Any such security incident could compromise our networks and the information stored there could be accessed, publicly disclosed, encrypted, lost or stolen. We could be required to expend significant amounts of money and other resources to repair or replace information systems or networks. In addition, our liability insurance may not be sufficient in type or amount to cover us against claims related to security breaches, cyber-attacks and other related security incidents.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protection continues to evolve and there has been an increasing amount of focus on privacy and data protection issues with the potential to affect our business, including compliance with the Health Insurance Portability and Accountability Act of 1996 and state laws requiring security breach notification. The collection and use of personal health data of individuals in the European Union is also governed by strict data protection laws. In addition to existing laws, since May 25, 2018, the General Data Protection Regulation (GDPR) has imposed obligations with respect to European Union data and substantial fines for breaches of the data protection rules. The GDPR increased our responsibility and potential liability in relation to personal data that we process and we were required to implement additional mechanisms to comply with the GDPR and related European Union data protection rules. Enforcement uncertainty and the costs associated with ensuring GDPR compliance may be onerous and adversely affect our business, operating results, prospects and financial condition.</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continue to evaluate the legal issues that arise concerning transfer of personal data of residents of the European Economic Area (EEA) member states or the U.K. to the U.S. or other jurisdictions that are not deemed adequate by the European Commission. Among other steps, we are implementing the new standard contractual clauses issued on June 4, 2021 by the European Commission. It remains uncertain how these standard contractual clauses will be implemented by the data exporters and data importers and whether they will ultimately be deemed sufficient by European courts. Lite Strategy observes the developments and will agree to the appropriate data transfer mechanism. In addition to standard contractual clauses, we may rely on individual contents of the patients where appropriate and necessary to safeguard the data flow from the EU to the U.S. Present solutions to legitimize transfers of personal data from the EEA may be challenged or deemed insufficient. We may, in addition to other impacts, experience additional costs associated with increased compliance burdens and we and our customers face the potential for regulators in the EEA or U.K. to apply different standards to the transfer of personal data from the EEA/U.K. to the U.S. and to block, or require ad hoc verification of measures taken with respect to, certain data flows from the EEA or U.K. to the U.S. We also may be required to engage in new contract negotiations with third parties that aid in processing data on our behalf. We may experience reluctance or refusal by current or prospective European clinical trial sites and CROs to use our products and we may find it necessary or desirable to make further changes to our processing of personal data of EEA or U.K. data subjects.</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California has the California Consumer Privacy Act (CCPA), which creates individual privacy rights for consumers (as that word is broadly defined in the law) and places increased privacy and security obligations on entities handling personal data of consumers or households. The CCPA may significantly impact our business activities and require substantial compliance costs that adversely affect business, operating results, prospects and financial condition. Amendments to the CCPA mandated by the California Privacy Rights Act (CPRA) will impose additional privacy requirements, effective on January 1, 2023. Similarly comprehensive state consumer privacy laws in other states, such as Virginia, Utah, Connecticut and Colorado will also become effective in 2023. These new state privacy measures may reflect the start of a movement in other state legislatures to enact more comprehensive privacy laws, which would create a more complex privacy regulatory landscape for our business in the U.S. In addition, there is privacy legislation and rule making efforts at the federal level which may increase our privacy obligations in the U.S.</w:t>
      </w:r>
    </w:p>
    <w:p>
      <w:pPr>
        <w:spacing w:after="0" w:line="8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Thus, any access, disclosure or other loss of information, including our data being breached at our partners or third-party providers, along with violations of privacy laws that exist and are increasing around the world, could result in legal claims or proceedings and liability under laws that protect the privacy of personal information, disrupt our operations and damage our reputation, which could adversely affect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Even if we contract with third parties for the disposal of these materials and waste,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Events outside of our control, including natural disasters and public health emergencies, could severely disrupt our operations and have a material adverse effect on our business, operating results, prospects or financial condition. If a natural disaster, or public health emergency, power outage or other event occurred that prevented us from conducting our clinical trials, including by damaging our critical infrastructure, such as third-party facilities, or that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operating results, prospects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deductibility of net operating losses could adversely affect our business and financial condition.</w:t>
      </w:r>
    </w:p>
    <w:p>
      <w:pPr>
        <w:spacing w:after="0" w:line="121"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a history of net operating losses. In December 2017, the U.S. government enacted comprehensive tax legislation commonly referred to as the Tax Cuts and Jobs Act (the Tax Act). The Tax Act limits the deduction of net operating losses to 80% of current year taxable income. The limitations on the net operating loss deduction, as well other changes in tax policy, may subject us to additional taxation, adversely affecting our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Securities Markets and Investment in our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capital markets disruption and economic uncertainty.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The U.S. capital markets </w:t>
      </w:r>
      <w:r>
        <w:rPr>
          <w:rFonts w:ascii="Times New Roman" w:cs="Times New Roman" w:eastAsia="Times New Roman" w:hAnsi="Times New Roman"/>
          <w:sz w:val="18"/>
          <w:szCs w:val="18"/>
          <w:color w:val="000000"/>
        </w:rPr>
        <w:t>are currently experiencing extreme volatility and disruption following the global outbreak of COVID-19, high inflation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government response thereto, potential economic downturn, publicized failures in the regional banking sector, the war in Ukraine, the upcoming U.S. presidential election and other global events. Disruptions in the capital markets in the past have resulted in illiquidity in parts of the capital markets.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should that become required for us to fund ongoing operations. These events have limited and could continue to limit our capital investment considerations, limit our abilit</w:t>
      </w:r>
      <w:r>
        <w:rPr>
          <w:rFonts w:ascii="Times New Roman" w:cs="Times New Roman" w:eastAsia="Times New Roman" w:hAnsi="Times New Roman"/>
          <w:sz w:val="18"/>
          <w:szCs w:val="18"/>
          <w:color w:val="231F20"/>
        </w:rPr>
        <w:t>y to fund further clinical development, limit our ability to implement our Litecoin Treasury Strategy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have a material negative impact on our operating results.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standards of the Nasdaq Capital Market, we may be delisted and the price of our common stock, our ability to access the capital markets and our financial condition could be negatively impacted.</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Our common stock is currently listed on Nasdaq under the symbol LITS. To maintain the listing of our common stock on the Nasdaq Capital Market, we are required to meet certain listing requirements, including, among others, maintaining a minimum closing bid price of $1.00 per share. If we fail to comply with the continued listing standards and the Nasdaq Capital Market delists our securities from trading on its exchange, we and our stockholders could face significant negative consequences including: reducing the liquidity and market price of our common stock; reducing the number of investors willing to hold or acquire our common stock, which could negatively impact our ability to raise equity financing; decreasing the amount of news and analyst coverage of us; and limiting</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231F20"/>
        </w:rPr>
        <w:t>our ability to issue additional securities or obtain additional financing in the future. In addition, delisting from Nasdaq may negatively impact our reputation and, consequently, our business.</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may continue to be highly volatile and could decline in value and we may incur significant costs from class action litigation.</w:t>
      </w:r>
    </w:p>
    <w:p>
      <w:pPr>
        <w:spacing w:after="0" w:line="5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could be highly volatile in response to various factors, many of which are beyond our control, including, but not limited to, the following:</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and other developments or events relating to the value of Litecoin;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results and timing of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introduced or announced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termination of licenses, research contracts or other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regulatory climate and the biotechnology, pharmaceutical and genomics industries;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stock market as a result of current or future domestic and global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any market for our securities;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delisting of our common stock from a national stock exchange.</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Equity markets in general and the market for biotechnology and life sciences companies in particular, have experienced substantial price and volume fluctuations that have often been unrelated or disproportionate to the operating performance of companies traded in those markets. In addition, changes in economic conditions in the U.S., the Europe or globally, particularly in the context of current global events, could impact upon our ability to grow profitably. Adverse economic changes are outside our control and may result in material adverse impacts on our business or our results of operations. These broad market and industry factors may materially affect the market price of shares of our common stock, regardless of our development and operating performance. In the past, following periods of volatility in the market price of a company’s securities, securities class-action litigation has often been instituted against that company. Such litigation, if instituted against us, could cause us to incur substantial costs and divert management’s attention and resources.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common stock issued upon exercise of outstanding warrants or options, may depress the market price of our common stock and cause stockholders to experience dilution.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market price of our common stock could decline as a result of sales of substantial amounts of our common stock in the public market, including upon exercise of outstanding warrants or stock options and any subsequent sales of such shares. As of June 30, 2025, we had outstanding warrants exercisable to purchase 102,513 shares of common stock at an exercise price of $6.80 per share, which expire in </w:t>
      </w:r>
      <w:r>
        <w:rPr>
          <w:rFonts w:ascii="Times New Roman" w:cs="Times New Roman" w:eastAsia="Times New Roman" w:hAnsi="Times New Roman"/>
          <w:sz w:val="18"/>
          <w:szCs w:val="18"/>
          <w:color w:val="231F20"/>
        </w:rPr>
        <w:t>October 2027. Subsequent to June 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2025, we issued warrants exercisable to purchase up to 3,070,177 shares of common stock with a weighted-average exercise price of $4.10 as </w:t>
      </w:r>
      <w:r>
        <w:rPr>
          <w:rFonts w:ascii="Times New Roman" w:cs="Times New Roman" w:eastAsia="Times New Roman" w:hAnsi="Times New Roman"/>
          <w:sz w:val="18"/>
          <w:szCs w:val="18"/>
          <w:color w:val="000000"/>
        </w:rPr>
        <w:t>more fully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described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We also have outstanding options to purchase 869,148 shares of common stock. We may seek additional capital through one or more additional equity transactions in the future, such as the one completed subsequent to June 30, 2025 and more fully described in </w:t>
      </w:r>
      <w:r>
        <w:rPr>
          <w:rFonts w:ascii="Times New Roman" w:cs="Times New Roman" w:eastAsia="Times New Roman" w:hAnsi="Times New Roman"/>
          <w:sz w:val="18"/>
          <w:szCs w:val="18"/>
          <w:u w:val="single" w:color="auto"/>
          <w:color w:val="0000FF"/>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-158750</wp:posOffset>
            </wp:positionV>
            <wp:extent cx="12757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5715" cy="8890"/>
                    </a:xfrm>
                    <a:prstGeom prst="rect">
                      <a:avLst/>
                    </a:prstGeom>
                    <a:noFill/>
                  </pic:spPr>
                </pic:pic>
              </a:graphicData>
            </a:graphic>
          </wp:anchor>
        </w:drawing>
        <w:drawing>
          <wp:anchor simplePos="0" relativeHeight="251657728" behindDoc="1" locked="0" layoutInCell="0" allowOverlap="1">
            <wp:simplePos x="0" y="0"/>
            <wp:positionH relativeFrom="column">
              <wp:posOffset>6791960</wp:posOffset>
            </wp:positionH>
            <wp:positionV relativeFrom="paragraph">
              <wp:posOffset>-21590</wp:posOffset>
            </wp:positionV>
            <wp:extent cx="2508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ind w:right="40" w:firstLine="8"/>
        <w:spacing w:after="0" w:line="255" w:lineRule="auto"/>
        <w:tabs>
          <w:tab w:leader="none" w:pos="270" w:val="left"/>
        </w:tabs>
        <w:numPr>
          <w:ilvl w:val="0"/>
          <w:numId w:val="1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000000"/>
        </w:rPr>
        <w:t>; however, such transactions will be subject to market conditions and there can be no assurance any such transactions will be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completed. If we sell shares in the future, the prices at which we sell these future shares will vary and these variations may be significant. Stockholders will experience significant dilution if we sell these future shares at prices significantly below the price at which such previous stockholders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024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4890" cy="8890"/>
                    </a:xfrm>
                    <a:prstGeom prst="rect">
                      <a:avLst/>
                    </a:prstGeom>
                    <a:noFill/>
                  </pic:spPr>
                </pic:pic>
              </a:graphicData>
            </a:graphic>
          </wp:anchor>
        </w:drawing>
      </w:r>
    </w:p>
    <w:p>
      <w:pPr>
        <w:spacing w:after="0" w:line="16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than as described below or in connection with a strategic transaction we do not intend to pay and we have not paid, any cash dividends on our shares of common stock. Our stockholders will not be able to receive a return on their shares unless the value of our common stock appreciates and they sell their shares.</w:t>
      </w:r>
    </w:p>
    <w:p>
      <w:pPr>
        <w:spacing w:after="0" w:line="6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1D2228"/>
        </w:rPr>
        <w:t>Other than the Capital Return, w</w:t>
      </w:r>
      <w:r>
        <w:rPr>
          <w:rFonts w:ascii="Times New Roman" w:cs="Times New Roman" w:eastAsia="Times New Roman" w:hAnsi="Times New Roman"/>
          <w:sz w:val="18"/>
          <w:szCs w:val="18"/>
          <w:color w:val="000000"/>
        </w:rPr>
        <w:t>e have never paid or declared any cash dividends on our common stock and we intend to retain any future earnings</w:t>
      </w:r>
      <w:r>
        <w:rPr>
          <w:rFonts w:ascii="Times New Roman" w:cs="Times New Roman" w:eastAsia="Times New Roman" w:hAnsi="Times New Roman"/>
          <w:sz w:val="18"/>
          <w:szCs w:val="18"/>
          <w:color w:val="1D2228"/>
        </w:rPr>
        <w:t xml:space="preserve"> </w:t>
      </w:r>
      <w:r>
        <w:rPr>
          <w:rFonts w:ascii="Times New Roman" w:cs="Times New Roman" w:eastAsia="Times New Roman" w:hAnsi="Times New Roman"/>
          <w:sz w:val="18"/>
          <w:szCs w:val="18"/>
          <w:color w:val="000000"/>
        </w:rPr>
        <w:t>to finance the development and expansion of our business. We do not anticipate paying any cash dividends on our</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common stock in the foreseeable future. Therefore, our stockholders will not be able to receive a return on their investment unless the value of our common stock appreciates and they sell their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the net proceeds from any exercise of outstanding warrants and options.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will have broad discretion to use the net proceeds to us upon any exercise of outstanding warrants and options and investors in our stock will be relying on the judgment of our Board and management regarding the application of these proceeds. Although we expect to use a substantial portion of the net proceeds from any exercise of the warrants and options for general corporate purposes and progression of our clinical trial programs, we have not allocated these net proceeds for specific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authorized to issue blank check preferred stock, which could adversely affect the holders of our common stock.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allows us to issue blank check preferred stock with rights potentially senior to those of our common stock without any further vote or action by the holders of our common stock. The issuance of a class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shares or making a change in control of the company more difficult.</w:t>
      </w:r>
    </w:p>
    <w:p>
      <w:pPr>
        <w:spacing w:after="0" w:line="17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sixth amended and restated bylaws, as well as provisions of Delaware law, could impair a takeover attempt.</w:t>
      </w:r>
    </w:p>
    <w:p>
      <w:pPr>
        <w:spacing w:after="0" w:line="5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sixth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3"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providing for three classes of directors, which limits the ability of a stockholder or group to gain control of our board;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9" w:lineRule="exact"/>
        <w:rPr>
          <w:rFonts w:ascii="Times New Roman" w:cs="Times New Roman" w:eastAsia="Times New Roman" w:hAnsi="Times New Roman"/>
          <w:sz w:val="18"/>
          <w:szCs w:val="18"/>
          <w:color w:val="auto"/>
        </w:rPr>
      </w:pPr>
    </w:p>
    <w:p>
      <w:pPr>
        <w:ind w:left="1020" w:right="48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 and</w:t>
      </w:r>
    </w:p>
    <w:p>
      <w:pPr>
        <w:ind w:left="1020" w:right="60" w:hanging="503"/>
        <w:spacing w:after="0" w:line="25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sixth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sixth amended and restated bylaws provide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director, officer or other employee of ours to us or our stockholders, (iii) any action asserting a claim pursuant to any provision of the Delaware General Corporation Law, or (iv) any action asserting a claim governed by the internal affairs doctrine and, if brought outside of Delaware, the stockholder bringing the suit will be deemed to have consented to service of process on such stockholder’s counsel, provided, however, that, in each case, if the Court of Chancery does not have jurisdiction, the forum for such action shall be another state court located within the State of Delaware or, if no state court located within the State of Delaware has jurisdiction, the federal district court for the District of Delaware, in all cases subject to the court having personal jurisdiction over the indispensable parties named as defendants therein.</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our shares of capital stock shall be deemed to have notice of and consented to such provisions.</w:t>
      </w:r>
    </w:p>
    <w:p>
      <w:pPr>
        <w:spacing w:after="0" w:line="54"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forum selection provision of our sixth amended and restated bylaws will not apply to suits brought to enforce any liability or duty created by the federal securities laws or any other claim for which the federal district courts of the U.S. of America shall be the sole and exclusive forum.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sixth amended and restated bylaws to be inapplicable or unenforceable in an action, we may incur additional costs associated with resolving such action in other jurisdictions, which could harm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 and directors may sell shares of their stock and these sales could adversely affect our stock price.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Sales of our stock by our executive officer and directors, or the perception that such sales may occur, could cause the market price of our common stock to decline or could make it more difficult for us to raise funds through the sale of equity in the future, either as part, or outside, of trading plans under Rule 10b5-1 under the Securities Exchange Act of 1934, as amended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recognize the importance cybersecurity has to the success of our business, as well as recognize the need to continually assess cybersecurity risks and evolve our responses in the face of a rapidly and ever-changing environment. Accordingly, we aim to protect our business operations, records and information against known and evolving cybersecurity threats.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within these systems.</w:t>
      </w:r>
    </w:p>
    <w:p>
      <w:pPr>
        <w:spacing w:after="0" w:line="72" w:lineRule="exact"/>
        <w:rPr>
          <w:sz w:val="20"/>
          <w:szCs w:val="20"/>
          <w:color w:val="auto"/>
        </w:rPr>
      </w:pPr>
    </w:p>
    <w:p>
      <w:pPr>
        <w:ind w:right="120" w:firstLine="554"/>
        <w:spacing w:after="0" w:line="261" w:lineRule="auto"/>
        <w:rPr>
          <w:sz w:val="20"/>
          <w:szCs w:val="20"/>
          <w:color w:val="auto"/>
        </w:rPr>
      </w:pPr>
      <w:r>
        <w:rPr>
          <w:rFonts w:ascii="Times New Roman" w:cs="Times New Roman" w:eastAsia="Times New Roman" w:hAnsi="Times New Roman"/>
          <w:sz w:val="18"/>
          <w:szCs w:val="18"/>
          <w:color w:val="auto"/>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72" w:lineRule="exact"/>
        <w:rPr>
          <w:sz w:val="20"/>
          <w:szCs w:val="20"/>
          <w:color w:val="auto"/>
        </w:rPr>
      </w:pPr>
    </w:p>
    <w:p>
      <w:pPr>
        <w:ind w:firstLine="554"/>
        <w:spacing w:after="0" w:line="261"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minimize identified risks, reasonably address any identified gaps in existing safeguards and regularly monitor the effectiveness of our safeguards. Primary responsibility for assessing, monitoring and managing our cybersecurity risks rests with the Senior Director, Information Security and Infrastructure who reports to our Acting Chief Executive Officer and Chief Financial Officer to manage the risk assessment and mitigation process.</w:t>
      </w:r>
    </w:p>
    <w:p>
      <w:pPr>
        <w:spacing w:after="0" w:line="72" w:lineRule="exact"/>
        <w:rPr>
          <w:sz w:val="20"/>
          <w:szCs w:val="20"/>
          <w:color w:val="auto"/>
        </w:rPr>
      </w:pPr>
    </w:p>
    <w:p>
      <w:pPr>
        <w:jc w:val="both"/>
        <w:ind w:right="200" w:firstLine="554"/>
        <w:spacing w:after="0" w:line="266" w:lineRule="auto"/>
        <w:rPr>
          <w:sz w:val="20"/>
          <w:szCs w:val="20"/>
          <w:color w:val="auto"/>
        </w:rPr>
      </w:pPr>
      <w:r>
        <w:rPr>
          <w:rFonts w:ascii="Times New Roman" w:cs="Times New Roman" w:eastAsia="Times New Roman" w:hAnsi="Times New Roman"/>
          <w:sz w:val="18"/>
          <w:szCs w:val="18"/>
          <w:color w:val="auto"/>
        </w:rPr>
        <w:t>As part of our overall risk management system, we monitor and test our safeguards and train our employees on these safeguards, in collaboration with our Information Technology department. Personnel at all levels and departments are made aware of our cybersecurity policies through trainings and internal communications.</w:t>
      </w:r>
    </w:p>
    <w:p>
      <w:pPr>
        <w:spacing w:after="0" w:line="68" w:lineRule="exact"/>
        <w:rPr>
          <w:sz w:val="20"/>
          <w:szCs w:val="20"/>
          <w:color w:val="auto"/>
        </w:rPr>
      </w:pPr>
    </w:p>
    <w:p>
      <w:pPr>
        <w:ind w:right="100" w:firstLine="554"/>
        <w:spacing w:after="0" w:line="261" w:lineRule="auto"/>
        <w:rPr>
          <w:sz w:val="20"/>
          <w:szCs w:val="20"/>
          <w:color w:val="auto"/>
        </w:rPr>
      </w:pPr>
      <w:r>
        <w:rPr>
          <w:rFonts w:ascii="Times New Roman" w:cs="Times New Roman" w:eastAsia="Times New Roman" w:hAnsi="Times New Roman"/>
          <w:sz w:val="18"/>
          <w:szCs w:val="18"/>
          <w:color w:val="auto"/>
        </w:rPr>
        <w:t>If required, we engage consultants, or other third parties in connection with our risk assessment processes. These service providers, where appropriate, assist us in the assessment, testing or other aspects of our security controls to help identify material cybersecurity risks to our critical systems, information, products, services and our broader enterprise IT environment, as well as assist us in designing and implementing our cybersecurity policies and procedures.</w:t>
      </w:r>
    </w:p>
    <w:p>
      <w:pPr>
        <w:spacing w:after="0" w:line="72" w:lineRule="exact"/>
        <w:rPr>
          <w:sz w:val="20"/>
          <w:szCs w:val="20"/>
          <w:color w:val="auto"/>
        </w:rPr>
      </w:pPr>
    </w:p>
    <w:p>
      <w:pPr>
        <w:ind w:right="240" w:firstLine="554"/>
        <w:spacing w:after="0" w:line="282" w:lineRule="auto"/>
        <w:rPr>
          <w:sz w:val="20"/>
          <w:szCs w:val="20"/>
          <w:color w:val="auto"/>
        </w:rPr>
      </w:pPr>
      <w:r>
        <w:rPr>
          <w:rFonts w:ascii="Times New Roman" w:cs="Times New Roman" w:eastAsia="Times New Roman" w:hAnsi="Times New Roman"/>
          <w:sz w:val="18"/>
          <w:szCs w:val="18"/>
          <w:color w:val="auto"/>
        </w:rPr>
        <w:t>We have not encountered cybersecurity challenges that have materially impaired our operations or financial standing. For additional information regarding risks from cybersecurity threats, please refer to Item 1A, “Risk Factors,” in this annual report on Form 10-K.</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oversight of cybersecurity and other information technology risks to the Audit Committee. The Audit Committee oversees management’s implementation of our cybersecurity risk management program and is responsible for monitoring and assessing strategic risk exposure, while our management team is responsible for the day-to-day operations over the material risks we face. Our management team, including our Acting Chief Executive Officer and Chief Financial Officer and Senior Director, Information Security and Infrastructure, provide periodic briefings to the Audit Committee regarding our cybersecurity risks and activities, including any recent cybersecurity incidents and related responses, if applicable.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firstLine="554"/>
        <w:spacing w:after="0" w:line="282" w:lineRule="auto"/>
        <w:rPr>
          <w:sz w:val="20"/>
          <w:szCs w:val="20"/>
          <w:color w:val="auto"/>
        </w:rPr>
      </w:pPr>
      <w:r>
        <w:rPr>
          <w:rFonts w:ascii="Times New Roman" w:cs="Times New Roman" w:eastAsia="Times New Roman" w:hAnsi="Times New Roman"/>
          <w:sz w:val="18"/>
          <w:szCs w:val="18"/>
          <w:color w:val="auto"/>
        </w:rPr>
        <w:t>The Audit Committee receives annual reports from management on our cybersecurity risks. In addition, management updates the Audit Committee, as necessary, regarding any material cybersecurity incidents, as well as any incidents with lesser impact potential.</w:t>
      </w:r>
    </w:p>
    <w:p>
      <w:pPr>
        <w:spacing w:after="0" w:line="54" w:lineRule="exact"/>
        <w:rPr>
          <w:sz w:val="20"/>
          <w:szCs w:val="20"/>
          <w:color w:val="auto"/>
        </w:rPr>
      </w:pPr>
    </w:p>
    <w:p>
      <w:pPr>
        <w:jc w:val="both"/>
        <w:ind w:right="66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reports to the full Board regarding its activities, including those related to cybersecurity. The full Board also receives briefings from management on our cyber risk management program, in the discretion of the Board and management. Board members may receive presentations on cybersecurity topics from external experts as part of the Board’s continuing education on topics that impact public companies.</w:t>
      </w:r>
    </w:p>
    <w:p>
      <w:pPr>
        <w:spacing w:after="0" w:line="68"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Our Acting Chief Executive Officer, CFO and Senior Director, Information Security and Infrastructure, are responsible for assessing and managing our material risks from cybersecurity threats and have decades of experience in overseeing operations, including information technology functions, in the public company environment. The team has primary responsibility for our overall cybersecurity risk management program and supervises our retained external cybersecurity consultants as needed.</w:t>
      </w:r>
    </w:p>
    <w:p>
      <w:pPr>
        <w:spacing w:after="0" w:line="72" w:lineRule="exact"/>
        <w:rPr>
          <w:sz w:val="20"/>
          <w:szCs w:val="20"/>
          <w:color w:val="auto"/>
        </w:rPr>
      </w:pPr>
    </w:p>
    <w:p>
      <w:pPr>
        <w:ind w:firstLine="554"/>
        <w:spacing w:after="0" w:line="258" w:lineRule="auto"/>
        <w:rPr>
          <w:sz w:val="20"/>
          <w:szCs w:val="20"/>
          <w:color w:val="auto"/>
        </w:rPr>
      </w:pPr>
      <w:r>
        <w:rPr>
          <w:rFonts w:ascii="Times New Roman" w:cs="Times New Roman" w:eastAsia="Times New Roman" w:hAnsi="Times New Roman"/>
          <w:sz w:val="18"/>
          <w:szCs w:val="18"/>
          <w:color w:val="auto"/>
        </w:rPr>
        <w:t>Our management team supervises cybersecurity risk management efforts to prevent, detect, mitigate,and remediate cybersecurity risks and incidents through various means, which may include briefings from external consultants engaged by us; threat intelligence and other information obtained from governmental, public or private sources; and alerts and reports produced by security tools deployed in the IT environment. The cybersecurity risk management program also includes tools and activities to prevent, detect and analyze current and emerging cybersecurity threats and plans and strategies to address threats and incidents.</w:t>
      </w:r>
    </w:p>
    <w:p>
      <w:pPr>
        <w:spacing w:after="0" w:line="179" w:lineRule="exact"/>
        <w:rPr>
          <w:sz w:val="20"/>
          <w:szCs w:val="20"/>
          <w:color w:val="auto"/>
        </w:rPr>
      </w:pPr>
    </w:p>
    <w:p>
      <w:pPr>
        <w:jc w:val="center"/>
        <w:ind w:right="982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center"/>
        <w:ind w:right="98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party to a material legal proceeding that we believe will have a material adverse effect on our business or financial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LITS.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September 23, 2025, there were 35,655,155 shares of our common stock outstanding and 315 holders of record of our common stock. This number was derived from our stockholder records and does not include beneficial owners of our common stock whose shares are held in the name of various dealers, clearing agencies, banks, brokers and other fiduciaries.</w:t>
      </w:r>
    </w:p>
    <w:p>
      <w:pPr>
        <w:spacing w:after="0" w:line="66"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outstanding warrants and other securities exercisable for or convertible into shares of our common stock, see </w:t>
      </w:r>
      <w:r>
        <w:rPr>
          <w:rFonts w:ascii="Times New Roman" w:cs="Times New Roman" w:eastAsia="Times New Roman" w:hAnsi="Times New Roman"/>
          <w:sz w:val="18"/>
          <w:szCs w:val="18"/>
          <w:i w:val="1"/>
          <w:iCs w:val="1"/>
          <w:u w:val="single" w:color="auto"/>
          <w:color w:val="0000FF"/>
        </w:rPr>
        <w:t>Note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Stockholders' Equity</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11 - Share-based Compensation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under</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Item 8 Consolidated Financial Statements and Supplementary Data</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in this Annual</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-313690</wp:posOffset>
            </wp:positionV>
            <wp:extent cx="4533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3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62877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8777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On November 6, 2023, pursuant to the Cooperation Agreement, the Board declared a special cash dividend of $1.75 per share of common stock to stockholders of record at the close of business on November 17, 2023. The total dividend of $11.7 million was paid on December 6, 2023, and was recorded as a reduction of additional paid-in capital in the consolidated statements of stockholders' equity, as we have an accumulated deficit, rather than retained earnings. We do not anticipate paying additional cash dividends in the foreseeable future and currently intend to retain all available funds and future earnings, if any, to support operations. Any future determination related to our dividend policy will be made at the discretion of our board of directors.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table below shows, as of June 30, 2025, information for equity compensation plans previously approved by stockholders and for compensation plans not previously approved by stockholders.</w:t>
      </w:r>
    </w:p>
    <w:p>
      <w:pPr>
        <w:spacing w:after="0" w:line="5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remaining available for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2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future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 under equity</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c>
          <w:tcPr>
            <w:tcW w:w="0" w:type="dxa"/>
            <w:vAlign w:val="bottom"/>
          </w:tcPr>
          <w:p>
            <w:pPr>
              <w:spacing w:after="0"/>
              <w:rPr>
                <w:sz w:val="1"/>
                <w:szCs w:val="1"/>
                <w:color w:val="auto"/>
              </w:rPr>
            </w:pPr>
          </w:p>
        </w:tc>
      </w:tr>
      <w:tr>
        <w:trPr>
          <w:trHeight w:val="211"/>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gridSpan w:val="2"/>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holders (1)</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815,846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34.66</w:t>
            </w:r>
          </w:p>
        </w:tc>
        <w:tc>
          <w:tcPr>
            <w:tcW w:w="2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920,737</w:t>
            </w:r>
          </w:p>
        </w:tc>
        <w:tc>
          <w:tcPr>
            <w:tcW w:w="0" w:type="dxa"/>
            <w:vAlign w:val="bottom"/>
          </w:tcPr>
          <w:p>
            <w:pPr>
              <w:spacing w:after="0"/>
              <w:rPr>
                <w:sz w:val="1"/>
                <w:szCs w:val="1"/>
                <w:color w:val="auto"/>
              </w:rPr>
            </w:pPr>
          </w:p>
        </w:tc>
      </w:tr>
      <w:tr>
        <w:trPr>
          <w:trHeight w:val="198"/>
        </w:trPr>
        <w:tc>
          <w:tcPr>
            <w:tcW w:w="4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53,302</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vMerge w:val="restart"/>
          </w:tcPr>
          <w:p>
            <w:pPr>
              <w:spacing w:after="0"/>
              <w:rPr>
                <w:sz w:val="17"/>
                <w:szCs w:val="17"/>
                <w:color w:val="auto"/>
              </w:rPr>
            </w:pP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163,698</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holders (2)</w:t>
            </w:r>
          </w:p>
        </w:tc>
        <w:tc>
          <w:tcPr>
            <w:tcW w:w="16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869,148</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32.90</w:t>
            </w:r>
          </w:p>
        </w:tc>
        <w:tc>
          <w:tcPr>
            <w:tcW w:w="2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1,084,435</w:t>
            </w:r>
          </w:p>
        </w:tc>
        <w:tc>
          <w:tcPr>
            <w:tcW w:w="0" w:type="dxa"/>
            <w:vAlign w:val="bottom"/>
          </w:tcPr>
          <w:p>
            <w:pPr>
              <w:spacing w:after="0"/>
              <w:rPr>
                <w:sz w:val="1"/>
                <w:szCs w:val="1"/>
                <w:color w:val="auto"/>
              </w:rPr>
            </w:pPr>
          </w:p>
        </w:tc>
      </w:tr>
      <w:tr>
        <w:trPr>
          <w:trHeight w:val="20"/>
        </w:trPr>
        <w:tc>
          <w:tcPr>
            <w:tcW w:w="1100" w:type="dxa"/>
            <w:vAlign w:val="bottom"/>
            <w:tcBorders>
              <w:top w:val="single" w:sz="8" w:color="CFF0FC"/>
            </w:tcBorders>
            <w:shd w:val="clear" w:color="auto" w:fill="CFF0FC"/>
          </w:tcPr>
          <w:p>
            <w:pPr>
              <w:spacing w:after="0" w:line="20" w:lineRule="exact"/>
              <w:rPr>
                <w:sz w:val="1"/>
                <w:szCs w:val="1"/>
                <w:color w:val="auto"/>
              </w:rPr>
            </w:pPr>
          </w:p>
        </w:tc>
        <w:tc>
          <w:tcPr>
            <w:tcW w:w="360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1020" w:right="14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815,846 shares of common stock issuable upon exercise of options granted under the MEI Pharma, Inc. Amended and Restated 2008 Stock Omnibus Equity Compensation Plan (Omnibus Plan), under which 1,850,739 shares of common stock are authorized for issuance. The Omnibus Plan provides for the grant of options and/or other stock-based or stock-denominated awards to our non-employee directors, officers, employees and advisors. The weighted-average exercise price presented is the weighted-average exercise price of vested and unvested options.</w:t>
      </w:r>
    </w:p>
    <w:p>
      <w:pPr>
        <w:spacing w:after="0" w:line="75"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53,302 shares of common stock issuable upon exercise of options granted under the MEI Pharma, Inc. 2021 Inducement Plan (Inducement Plan), under which 217,000 shares of common stock are authorized for issuance. The Inducement Plan provides for the grant of options and/or other stock-based or stock-denominated awards to attract and retain selected individuals to serve as employees. The weighted-average exercise price presented is the weighted-average exercise price of vested and unvested options.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following discussion and analysis should be read in conjunction with </w:t>
      </w:r>
      <w:r>
        <w:rPr>
          <w:rFonts w:ascii="Times New Roman" w:cs="Times New Roman" w:eastAsia="Times New Roman" w:hAnsi="Times New Roman"/>
          <w:sz w:val="18"/>
          <w:szCs w:val="18"/>
          <w:i w:val="1"/>
          <w:iCs w:val="1"/>
          <w:u w:val="single" w:color="auto"/>
          <w:color w:val="0000FF"/>
        </w:rPr>
        <w:t>Item 8. Consolidated Financial Statements and Supplementary Data</w:t>
      </w:r>
      <w:r>
        <w:rPr>
          <w:rFonts w:ascii="Times New Roman" w:cs="Times New Roman" w:eastAsia="Times New Roman" w:hAnsi="Times New Roman"/>
          <w:sz w:val="18"/>
          <w:szCs w:val="18"/>
          <w:color w:val="auto"/>
        </w:rPr>
        <w:t xml:space="preserve"> included below in this Annual Report. Operating results are not necessarily indicative of results that may occur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-186055</wp:posOffset>
            </wp:positionV>
            <wp:extent cx="31222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22295" cy="8255"/>
                    </a:xfrm>
                    <a:prstGeom prst="rect">
                      <a:avLst/>
                    </a:prstGeom>
                    <a:noFill/>
                  </pic:spPr>
                </pic:pic>
              </a:graphicData>
            </a:graphic>
          </wp:anchor>
        </w:drawing>
      </w:r>
    </w:p>
    <w:p>
      <w:pPr>
        <w:spacing w:after="0" w:line="3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This discussion and analysis contains forward-looking statements that involve a number of risks, uncertainties and assumptions. Actual results may differ materially from those anticipated in the forward-looking statements as a result of many factors including, but not limited to, those set forth under Cautionary Statement About Forward-Looking Statements and Risk Factors in </w:t>
      </w:r>
      <w:r>
        <w:rPr>
          <w:rFonts w:ascii="Times New Roman" w:cs="Times New Roman" w:eastAsia="Times New Roman" w:hAnsi="Times New Roman"/>
          <w:sz w:val="18"/>
          <w:szCs w:val="18"/>
          <w:i w:val="1"/>
          <w:iCs w:val="1"/>
          <w:u w:val="single" w:color="auto"/>
          <w:color w:val="0000FF"/>
        </w:rPr>
        <w:t>Item 1A. Risk Factors</w:t>
      </w:r>
      <w:r>
        <w:rPr>
          <w:rFonts w:ascii="Times New Roman" w:cs="Times New Roman" w:eastAsia="Times New Roman" w:hAnsi="Times New Roman"/>
          <w:sz w:val="18"/>
          <w:szCs w:val="18"/>
          <w:color w:val="auto"/>
        </w:rPr>
        <w:t xml:space="preserve"> included above in this Annual Report. All forward-looking statements included in this Annual Report are based on the information available to us as of the time we file this Annual Report and except as required by law, we undertake no obligation to update publicly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-308610</wp:posOffset>
            </wp:positionV>
            <wp:extent cx="9963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9631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On September 10, 2025, MEI Pharma, Inc. changed its name to Lite Strategy, Inc. and its ticker symbol to LITS. We are a </w:t>
      </w:r>
      <w:r>
        <w:rPr>
          <w:rFonts w:ascii="Times New Roman" w:cs="Times New Roman" w:eastAsia="Times New Roman" w:hAnsi="Times New Roman"/>
          <w:sz w:val="18"/>
          <w:szCs w:val="18"/>
          <w:color w:val="000000"/>
        </w:rPr>
        <w:t>pharmaceutical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that has been developing novel and differentiated cancer therapies. We </w:t>
      </w:r>
      <w:r>
        <w:rPr>
          <w:rFonts w:ascii="Times New Roman" w:cs="Times New Roman" w:eastAsia="Times New Roman" w:hAnsi="Times New Roman"/>
          <w:sz w:val="18"/>
          <w:szCs w:val="18"/>
          <w:color w:val="231F20"/>
        </w:rPr>
        <w:t>built our pipeline by acquiring promising cancer agents and creating value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programs 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oncology drug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development has been to evaluate our drug candidates in combinations with standard-of-care therapies to overcome known resistance mechanisms and address clear medical needs to provide improved patient benefit.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Our drug candidate pipeline includes voruciclib, an oral cyclin-dependent kinase 9 (CDK9) inhibitor and zandelisib, an oral, once-daily, selective </w:t>
      </w:r>
      <w:r>
        <w:rPr>
          <w:rFonts w:ascii="Times New Roman" w:cs="Times New Roman" w:eastAsia="Times New Roman" w:hAnsi="Times New Roman"/>
          <w:sz w:val="18"/>
          <w:szCs w:val="18"/>
          <w:color w:val="231F20"/>
        </w:rPr>
        <w:t xml:space="preserve">PI3Kδ </w:t>
      </w:r>
      <w:r>
        <w:rPr>
          <w:rFonts w:ascii="Times New Roman" w:cs="Times New Roman" w:eastAsia="Times New Roman" w:hAnsi="Times New Roman"/>
          <w:sz w:val="18"/>
          <w:szCs w:val="18"/>
          <w:color w:val="000000"/>
        </w:rPr>
        <w:t>inhibitor.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a more complete discussion of our business, see the section of this Annual Report </w:t>
      </w:r>
      <w:r>
        <w:rPr>
          <w:rFonts w:ascii="Times New Roman" w:cs="Times New Roman" w:eastAsia="Times New Roman" w:hAnsi="Times New Roman"/>
          <w:sz w:val="18"/>
          <w:szCs w:val="18"/>
          <w:i w:val="1"/>
          <w:iCs w:val="1"/>
          <w:u w:val="single" w:color="auto"/>
          <w:color w:val="0000FF"/>
        </w:rPr>
        <w:t>Item 1. Business</w:t>
      </w:r>
      <w:r>
        <w:rPr>
          <w:rFonts w:ascii="Times New Roman" w:cs="Times New Roman" w:eastAsia="Times New Roman" w:hAnsi="Times New Roman"/>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-6350</wp:posOffset>
            </wp:positionV>
            <wp:extent cx="7454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Notification of Strategic Alternatives Evaluation</w:t>
      </w:r>
    </w:p>
    <w:p>
      <w:pPr>
        <w:spacing w:after="0" w:line="119" w:lineRule="exact"/>
        <w:rPr>
          <w:sz w:val="20"/>
          <w:szCs w:val="20"/>
          <w:color w:val="auto"/>
        </w:rPr>
      </w:pPr>
    </w:p>
    <w:p>
      <w:pPr>
        <w:ind w:right="140" w:firstLine="554"/>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had determined unanimously to begin the evaluation of our strategic alternatives, including potential transactions as well as an orderly wind down of operations, if appropriate, to maximize the value of our assets for our stockholders. We commenced a reduction-in-force beginning August 1, 2024, which continued in stages as our operational and strategic direction evolved. In connection with this evaluation, we discontinued the clinical development of voruciclib, while certain nonclinical activities related to our drug candidate assets will continue to be conducted by us. As part of the review of strategic alternatives, we considered options such as out-licensing opportunities for or the sale of our existing programs and merger and acquisition opportunities, as well as other potential opportunities.</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Consistent with our intention to preserve cash, David M. Urso, our President and Chief Executive Officer and Richard Ghalie, MD, our Chief Medical Officer, stepped down effective August 1, 2024. Mr. Urso also left the Board at that date. We entered into a consulting agreement with Dr. Ghalie under which he remains available to assist us in strategic efforts or ongoing operations. In addition, we entered into a consulting agreement with Mr. Urso, which was terminated in February 2025. Charles V. Baltic III, the Chairperson of the Board, also stepped down from the Board contemporaneously with the announcement on July 22, 2024. Our Board appointed Justin J. File, our current Chief Financial Officer, to assume the position of Acting Chief Executive Officer and appointed Frederick W. Driscoll as Chairperson of the Board.</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evaluation of strategic alternatives concluded with the August 2025 implementation of our Litecoin Treasury Strategy and a commitment to long-term innovation in capital structure and financial technology, along with the initiation of an expanding strategy that could include the commencement of Litecoin mining activities, as well as our continued assessment of pre-clinical activities with our drug candidate pipeline, as to which we anticipate conducting further investigational research and development in the next several months.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Private Investment in Private Equity (PIPE) and Related Agreements</w:t>
      </w:r>
    </w:p>
    <w:p>
      <w:pPr>
        <w:spacing w:after="0" w:line="11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more fully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xml:space="preserve">, in July 2025, we closed on a $100.0 million PIPE and issued an aggregate of (i) 23,216,898 shares (the Shares) of our common stock, at an offering price of $3.42 per share and (ii) pre-funded warrants (the Pre-Funded Warrants (together with the common stock, the Securities)), to purchase up to an aggregate of 6,022,869 shares of our common stock (the Pre-Funded Warrant Shares) at an offering price of $3.4199 per Pre-Funded Warrant (collectively, the Offering). On July 24, 2025, Pre-Funded Warrants for the purchase of 2,084,509 shares of common stock were exercised for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proceeds. As of September 23, 2025, we issued 2,807,967 shares of common stock upon cashless exercises of 2,808,070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-719455</wp:posOffset>
            </wp:positionV>
            <wp:extent cx="12757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Also, in July 2025 and as more fully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we entered into various agreements with certain advisors to the PIPE, asset managers and custodians who will deploy our Litecoin Investment Strategy, including but not limited to: (i) a placement agency agreement, (ii) an asset management agreement, (iii) an advisory agreement, (iv) a strategic advisor agreement and (v) a new at-the-market sales agreement. In connection with these various agreements associated with the PIPE, we issued warrants for the purchase of up to 3,070,177 shares of our common stock with a weighted-average exercise price of approximately $4.10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-581660</wp:posOffset>
            </wp:positionV>
            <wp:extent cx="12757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5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On September 24, 2025, as payment of the annual Asset-based Fee under the Asset Management Agreement, we issued to GSR, 546,348 Pre-Funded Warrants with an exercise price of $0.0001 per share. Subject to the limitations on exercise set forth in the warrant agreement, the Pre-Funded Warrants may be exercised at any time until they are exercised in full.</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Litecoin Treasury Strategy</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August 5, 2025, we announced the commencement of our primary reserve asset and implementation strategy built on a digital asset infrastructure and long-term capital innovation (a Litecoin Treasury Strategy) through our acquisition of Litecoin (LTC) tokens, reflecting the full deployment of the net proceeds of the PIPE. Litecoin is an open source, global payment network that is fully decentralized without any central authorities. Mathematics secures the network and empowers individuals to control their own finances. Litecoin features faster transaction confirmation times and improved storage efficiency than the leading math-based currency. We believe this strategy will allow us to diversify reserves, enhance capital efficiency and align with emerging financial technologies.</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On October 31, 2023, we announced our entry into a cooperation agreement with Anson Funds Management LP and Cable Car Capital LLC (Cooperation Agreement), which, among other non-financial related items, provided for a capital return to stockholders in the form of a dividend in the amount of $1.75 per share of common stock that was declared on November 6, 2023 to stockholders of record at the close of business on November 17, 2023 (Cooperation Agreement). The total dividend of $11.7 million was paid 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December 6, 2023 and was recorded as a reduction of additional paid-in capital in the consolidated statements of stockholders' equity, as we have an accumulated deficit, rather than retained earnings. Effective July 22, 2025, in conjunction with the closing of the Offering, the parties to the Cooperation Agreement mutually agreed to terminate such Cooperation Agreement.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Merger Termination</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At a special meeting of our stockholders held on July 23, 2023, stockholders voted on the agreement and plan of merger (Merger Agreement) entered into in February 2023, by us, Infinity Pharmaceuticals, Inc. (Infinity) and Meadow Merger Sub, Inc., our wholly owned subsidiary (Merger Sub). At such special meeting, the Merger Agreement did not obtain the necessary approval from our stockholders and, accordingly, on July 23, 2023, we sent Infinity a notice terminating the Merger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Critical accounting policies are those most important to the portrayal of our financial condition and results of operations and require management’s difficult, subjective, or complex judgment, often as a result of the need to make estimates about the effect of matters that are inherently uncertain and may change in subsequent periods. Certain accounting estimates are particularly sensitive because of their significance to financial statements and because of the possibility future events affecting the estimate may differ significantly from management’s current judgments. We believe the following critical accounting policies involve the most significant estimates and judgments used in the preparation of our consolidated financial statements.</w:t>
      </w:r>
    </w:p>
    <w:p>
      <w:pPr>
        <w:spacing w:after="0" w:line="60"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Except as provided below, there have been no material changes from the critical accounting estimates identified below nor our significant accounting policies set forth in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-48260</wp:posOffset>
            </wp:positionV>
            <wp:extent cx="2376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Assets (Property and Equipment and Intangible Assets)</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the authoritative guidance for impairment or disposal of long-lived assets Accounting Standards Codification (ASC) Topic 360, Property, Plant and Equipment (ASC 360), we assess potential impairments to our long-lived assets, including property, equipment and right-of-use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Assumptions and estimates used in evaluating our long-lived assets future values and remaining useful lives are complex and often subjective. They can be affected by a variety of factors, including external factors such as industry and economic trends and internal factors such as changes in our business strategy, internal forecasts and clinical trial results. For example, if we experience a sustained decline in our market capitalization determined to be indicative of a reduction in fair value of our enterprise, we may be required to record future impairment charges for our acquired technology intangible assets with finite lives.</w:t>
      </w:r>
    </w:p>
    <w:p>
      <w:pPr>
        <w:spacing w:after="0" w:line="86"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 xml:space="preserve">Impairment charges could materially decrease our future net income and result in lower asset values on our balance sheet. Key assumptions include, but are not limited to, future cash flows, operating margins, capital expenditures, terminal growth rates and discount rates. We also consider our market capitalization as a part of our analysis. During the fiscal year ended June 30, 2024, we recorded long-lived asset impairment charges of $10.9 million. During the fiscal year ended June 30, 2025, we had no similar charge. For additional details regarding our intangible assets and related impairments see </w:t>
      </w:r>
      <w:r>
        <w:rPr>
          <w:rFonts w:ascii="Times New Roman" w:cs="Times New Roman" w:eastAsia="Times New Roman" w:hAnsi="Times New Roman"/>
          <w:sz w:val="17"/>
          <w:szCs w:val="17"/>
          <w:i w:val="1"/>
          <w:iCs w:val="1"/>
          <w:u w:val="single" w:color="auto"/>
          <w:color w:val="0000FF"/>
        </w:rPr>
        <w:t>Note 3—Balance Sheet Details</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u w:val="single" w:color="auto"/>
          <w:color w:val="0000FF"/>
        </w:rPr>
        <w:t>Note 9—Leases</w:t>
      </w:r>
      <w:r>
        <w:rPr>
          <w:rFonts w:ascii="Times New Roman" w:cs="Times New Roman" w:eastAsia="Times New Roman" w:hAnsi="Times New Roman"/>
          <w:sz w:val="17"/>
          <w:szCs w:val="17"/>
          <w:color w:val="000000"/>
        </w:rPr>
        <w:t>, to our consolidated financial statements and related notes included elsewhere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23482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48230" cy="8890"/>
                    </a:xfrm>
                    <a:prstGeom prst="rect">
                      <a:avLst/>
                    </a:prstGeom>
                    <a:noFill/>
                  </pic:spPr>
                </pic:pic>
              </a:graphicData>
            </a:graphic>
          </wp:anchor>
        </w:drawing>
      </w:r>
    </w:p>
    <w:p>
      <w:pPr>
        <w:spacing w:after="0" w:line="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apply the five-step revenue recognition model within the scope of ASC Topic 606, Revenue from Contracts with Customers (ASC 606). Under this model, we: (i) identify the contract, (ii) identify the performance obligations in the contract, (iii) determine the transaction price, (iv) allocate the transaction price to the performance obligations in the contract and (v) recognize revenue when, or as, a company satisfies a performance obligation. A performance obligation is a promise in a contract to transfer a distinct good or service and is the unit of accounting in ASC 606. A contract’s transaction price is allocated among each distinct performance obligation based on relative standalone selling price and recognized as revenue when, or as, the applicable performance obligation is satisfied.‌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terms of our arrangements include upfront and license fees, R&amp;D services, milestone and other contingent payments for the achievement of defined objectives and certain pre-clinical, clinical, regulatory and sales-based events, as well as royalties on sales of commercialized products. Agreements with certain upfront payments may require deferral of revenue recognition to a future period until we perform the obligations under these agreements. We use the most likely amount method to estimate variable consideration for event-based milestones and other contingent payments. Given the high degree of uncertainty around the occurrence of such events, the event-based milestones and other contingent payments have been fully constrained until any uncertainty associated with these payments is resolved. Revenue from sales-based milestones and royalty payments is recognized at the later of when or as the sales occur or when the related performance obligation has been satisfied or partially satisfied. We continue to re-evaluate the transaction price in each reporting period as contingencies are resolved and other changes in circumstances occur.‌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Revenue recognition is subject to uncertainty due to the variable consideration estimates required to be made. These estimates include the level of effort required to satisfy our obligations under our R&amp;D services arrangements. These amounts are estimated at the inception of the services arrangement and are re-evaluated at each reporting period. To accomplish this, we rely on management’s experience, relevant internal data reports and regulatory approvals. The recorded variable consideration is directly sensitive to the estimated inputs made by management used in the calculation. Changes in estimates are accounted for prospectively.‌</w:t>
      </w:r>
    </w:p>
    <w:p>
      <w:pPr>
        <w:spacing w:after="0" w:line="75" w:lineRule="exact"/>
        <w:rPr>
          <w:sz w:val="20"/>
          <w:szCs w:val="20"/>
          <w:color w:val="auto"/>
        </w:rPr>
      </w:pPr>
    </w:p>
    <w:p>
      <w:pPr>
        <w:ind w:right="120" w:firstLine="554"/>
        <w:spacing w:after="0" w:line="258" w:lineRule="auto"/>
        <w:rPr>
          <w:sz w:val="20"/>
          <w:szCs w:val="20"/>
          <w:color w:val="auto"/>
        </w:rPr>
      </w:pPr>
      <w:r>
        <w:rPr>
          <w:rFonts w:ascii="Times New Roman" w:cs="Times New Roman" w:eastAsia="Times New Roman" w:hAnsi="Times New Roman"/>
          <w:sz w:val="18"/>
          <w:szCs w:val="18"/>
          <w:color w:val="auto"/>
        </w:rPr>
        <w:t xml:space="preserve">In response to the discontinuance of zandelisib development with KKC during the fiscal year ended June 30, 2023, we updated our estimated costs to complete each of the performance obligations, which resulted in a higher progress towards completion based on the ratio of costs incurred to date to the total estimated costs and a corresponding decrease in our deferred revenue. Additionally, we recognized revenue related to non-refundable payments for performance obligations that have not commenced and will no longer be initiated. During fiscal year 2024, in regard to the KKC Commercialization Agreement, </w:t>
      </w:r>
      <w:r>
        <w:rPr>
          <w:rFonts w:ascii="Times New Roman" w:cs="Times New Roman" w:eastAsia="Times New Roman" w:hAnsi="Times New Roman"/>
          <w:sz w:val="18"/>
          <w:szCs w:val="18"/>
          <w:color w:val="231F20"/>
        </w:rPr>
        <w:t>all deferred revenue had been recognized</w:t>
      </w:r>
      <w:r>
        <w:rPr>
          <w:rFonts w:ascii="Times New Roman" w:cs="Times New Roman" w:eastAsia="Times New Roman" w:hAnsi="Times New Roman"/>
          <w:sz w:val="18"/>
          <w:szCs w:val="18"/>
          <w:color w:val="auto"/>
        </w:rPr>
        <w:t xml:space="preserve"> and all wind-down activities were completed.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R&amp;D expenses and we expense R&amp;D costs based on work performed. Costs incurred related to the purchase or licensing of in-process R&amp;D for early-stage products or products that are not commercially viable and ready for use, or have no alternative future use, are charged to expense in the period incurred.</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we are required to estimate expenses resulting from obligations under contracts with vendors, clinical research organizations (CROs), consultants and under clinical site agreements relating to conducting clinical trials. The financial terms of these contracts vary and may result in payment flows that do not match the periods over which materials or services are provided under such contracts.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objective is to reflect the appropriate clinical trial expenses in our consolidated financial statements by recording those expenses in the period in which services are performed and efforts are expended. We account for these expenses according to the progress of the clinical trial as measured by patient progression and the timing of various aspects of the trial. Management determines accrual estimates through financial models and discussions with applicable personnel and outside service providers as to the progress of clinical trials.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a clinical trial, we adjust the clinical expense recognition if actual results differ from our estimates. We make estimates of accrued expenses as of each balance sheet date based on the facts and circumstances known at that time. Our clinical trial accruals are partially dependent upon accurate reporting by CROs and other third-party vendors. Our understanding of the status and timing of services performed relative to the actual status and timing of services performed may vary and may result in changes in our estimates.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we had no active clinical trial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June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June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vMerge w:val="restart"/>
          </w:tcPr>
          <w:p>
            <w:pPr>
              <w:spacing w:after="0"/>
              <w:rPr>
                <w:sz w:val="20"/>
                <w:szCs w:val="20"/>
                <w:color w:val="auto"/>
              </w:rPr>
            </w:pPr>
          </w:p>
        </w:tc>
        <w:tc>
          <w:tcPr>
            <w:tcW w:w="13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(12,638)</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(9,763)</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(10,899)</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(1,726)</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During the fiscal year ended June 30, 2025, we recognized no revenue due to all deferred revenue associated with the KKC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Commercialization Agreement having been recognized in fiscal year 2024, upon entry into the Termination Agreement. During the fiscal year ended June 30, 2024, we recognized revenue of $65.3 million from </w:t>
      </w:r>
      <w:r>
        <w:rPr>
          <w:rFonts w:ascii="Times New Roman" w:cs="Times New Roman" w:eastAsia="Times New Roman" w:hAnsi="Times New Roman"/>
          <w:sz w:val="18"/>
          <w:szCs w:val="18"/>
          <w:color w:val="231F20"/>
        </w:rPr>
        <w:t>the KKC Commercialization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illustrates the components of our research and development expenses for the years presented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52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c>
          <w:tcPr>
            <w:tcW w:w="0" w:type="dxa"/>
            <w:vAlign w:val="bottom"/>
          </w:tcPr>
          <w:p>
            <w:pPr>
              <w:spacing w:after="0"/>
              <w:rPr>
                <w:sz w:val="1"/>
                <w:szCs w:val="1"/>
                <w:color w:val="auto"/>
              </w:rPr>
            </w:pPr>
          </w:p>
        </w:tc>
      </w:tr>
      <w:tr>
        <w:trPr>
          <w:trHeight w:val="209"/>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zandelisib</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voruciclib</w:t>
            </w:r>
          </w:p>
        </w:tc>
        <w:tc>
          <w:tcPr>
            <w:tcW w:w="11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ME-344</w:t>
            </w:r>
          </w:p>
        </w:tc>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 xml:space="preserve">Research and development costs decreased by $12.6 million to $3.9 million for the fiscal year ended June 30, 2025, compared to $16.6 million for the fiscal year ended June 30, 2024. This decrease was as a result of our announcement in July 2024 to explore strategic alternatives, at which time all clinical studies were ceased and we initiated reductions in our workforce, along with the ME-344 Sale (as defined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Disposition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Non-Financial Asset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5820410</wp:posOffset>
            </wp:positionH>
            <wp:positionV relativeFrom="paragraph">
              <wp:posOffset>-173990</wp:posOffset>
            </wp:positionV>
            <wp:extent cx="118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8046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-36830</wp:posOffset>
            </wp:positionV>
            <wp:extent cx="9423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$9.8 million to $13.5 million for the fiscal year ended June 30, 2025,</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compared to $23.3 million for the fiscal year ended June 30, 2024. This decrease was primarily a result of reduced legal and professional fees of</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$3.7 million due to various stockholder related items from the prior fiscal year with no current period recurrence. Additionally, corporate overhead,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employee related expense and noncash share-based compensation decreased by $3.4 million, $4.4 million and $1.9 million, respectively, primarily</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due to the termination of our lease and our announcement in July 2024 to explore strategic alternatives, at which time all administrative support</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activities related to clinical studies were ceased. These decreases were partially offset by increases in termination benefits of $3.6 million.</w:t>
      </w:r>
    </w:p>
    <w:p>
      <w:pPr>
        <w:spacing w:after="0" w:line="95" w:lineRule="exact"/>
        <w:rPr>
          <w:sz w:val="20"/>
          <w:szCs w:val="20"/>
          <w:color w:val="auto"/>
        </w:rPr>
      </w:pPr>
    </w:p>
    <w:p>
      <w:pPr>
        <w:ind w:left="5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fiscal year 2024, we recognized impairment losses of $10.4 million and $0.5 million, on our long-lived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assets related to our right-of-use (ROU) asset (which is more fully described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color w:val="auto"/>
        </w:rPr>
        <w:t xml:space="preserve">) and our furniture and fixtures we agreed to sell to our landlord (which is more fully described in </w:t>
      </w:r>
      <w:r>
        <w:rPr>
          <w:rFonts w:ascii="Times New Roman" w:cs="Times New Roman" w:eastAsia="Times New Roman" w:hAnsi="Times New Roman"/>
          <w:sz w:val="18"/>
          <w:szCs w:val="18"/>
          <w:i w:val="1"/>
          <w:iCs w:val="1"/>
          <w:u w:val="single" w:color="auto"/>
          <w:color w:val="0000FF"/>
        </w:rPr>
        <w:t>Note 3 - Balance Sheet Details</w:t>
      </w:r>
      <w:r>
        <w:rPr>
          <w:rFonts w:ascii="Times New Roman" w:cs="Times New Roman" w:eastAsia="Times New Roman" w:hAnsi="Times New Roman"/>
          <w:sz w:val="18"/>
          <w:szCs w:val="18"/>
          <w:color w:val="auto"/>
        </w:rPr>
        <w:t xml:space="preserve">, recorded in accordance with Accounting Standards Codification 360 -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respectively. During the fiscal year ended June 30, 2025, there were no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-310515</wp:posOffset>
            </wp:positionV>
            <wp:extent cx="6692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9290" cy="8890"/>
                    </a:xfrm>
                    <a:prstGeom prst="rect">
                      <a:avLst/>
                    </a:prstGeom>
                    <a:noFill/>
                  </pic:spPr>
                </pic:pic>
              </a:graphicData>
            </a:graphic>
          </wp:anchor>
        </w:drawing>
        <w:drawing>
          <wp:anchor simplePos="0" relativeHeight="251657728" behindDoc="1" locked="0" layoutInCell="0" allowOverlap="1">
            <wp:simplePos x="0" y="0"/>
            <wp:positionH relativeFrom="column">
              <wp:posOffset>2460625</wp:posOffset>
            </wp:positionH>
            <wp:positionV relativeFrom="paragraph">
              <wp:posOffset>-173355</wp:posOffset>
            </wp:positionV>
            <wp:extent cx="1405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spacing w:after="0" w:line="48" w:lineRule="exact"/>
        <w:rPr>
          <w:sz w:val="20"/>
          <w:szCs w:val="20"/>
          <w:color w:val="auto"/>
        </w:rPr>
      </w:pPr>
    </w:p>
    <w:p>
      <w:pPr>
        <w:ind w:left="5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$1.7 million to $1.5 million for the fiscal year ended June 30, 2025, as compared to $3.2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fiscal year ended June 30, 2024. The decrease in other income, net, was due to lower average investment balances partially offset by a gain recognized on the sale of our ME-344 asset.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right="5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to the Consolidated Financial Statements included in </w:t>
      </w:r>
      <w:r>
        <w:rPr>
          <w:rFonts w:ascii="Times New Roman" w:cs="Times New Roman" w:eastAsia="Times New Roman" w:hAnsi="Times New Roman"/>
          <w:sz w:val="18"/>
          <w:szCs w:val="18"/>
          <w:i w:val="1"/>
          <w:iCs w:val="1"/>
          <w:u w:val="single" w:color="auto"/>
          <w:color w:val="0000FF"/>
        </w:rPr>
        <w:t>Item 8.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Statements and Supplementary Data</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-186055</wp:posOffset>
            </wp:positionV>
            <wp:extent cx="23768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76805"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-186055</wp:posOffset>
            </wp:positionV>
            <wp:extent cx="1456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6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16656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65605"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accumulated losses of $404.2 million since inception and expect to incur operating losses and generate negative cash flows from operations for the foreseeable future. As of June 30, 2025, we had $18.0 million in cash and cash equivalents. On July 22, 2024, we announced that our Board had determined unanimously to begin the evaluation of our strategic alternatives, including potential transactions as well as an orderly wind down of operations, if appropriate, to maximize the value of our assets for our stockholders. In connection with the exploration of strategic alternatives, we commenced a reduction-in-force on August 1, 2024 and discontinued the clinical development of voruciclib. As a result of this announcement, our R&amp;D expenses decreased significantly as we discontinued our clinical R&amp;D activities. We are currently assessing the recommencement of pre-clinical development of our two drug candidates. We believe our current cash balance is sufficient to fund operations for at least the next 12 months.</w:t>
      </w:r>
    </w:p>
    <w:p>
      <w:pPr>
        <w:spacing w:after="0" w:line="8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July 2025, we entered into securities purchase agreements pursuant to which we sold common stock and Pre-Funded Warrants in a PIPE for aggregate net proceeds of $92.1 million, as more fully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In August 2025, we initiated a primary reserve asset and implementation strategy built on a digital asset infrastructure and long-term capital innovation (a Litecoin Treasury Strategy) through our acquisition of Litecoin (LTC) tokens, reflecting the deployment of the net proceeds of the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-311150</wp:posOffset>
            </wp:positionV>
            <wp:extent cx="12757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50"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 more fully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between the SPA Closing Date (as defined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September 19, 2025, we issued and sold 882,924 shares of our common stock for aggregate proceeds, net of the underwriter's commission of $4.6 million, through our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-313690</wp:posOffset>
            </wp:positionV>
            <wp:extent cx="12757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-313690</wp:posOffset>
            </wp:positionV>
            <wp:extent cx="12757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47"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and to resume the development of our drug candidates we would require one or more capital transactions, whether through the sale of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securities, debt financing, license agreements or entry into strategic partnerships at some point in the future. There can be no assurance that we will be able to continue to raise additional capital in the future.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fiscal year ended June 30, 2025, of $20.8 million consisted of our net loss of $15.9 million and $4.9 million associated with changes in our operating assets and liabilities used in our operations. Net cash used in operating activities during the fiscal year ended June 30, 2024, of $50.5 million consisted of our net income of $17.8 million and $84.3 million associated with changes in our assets and liabilities used in our operations partially offset by $16.0 million of noncash items.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fiscal year ended June 30, 2025, was $35.2 million compared to $49.1 million for the fiscal year ended June 30, 2024. The decrease in net cash provided by investing activities was due to a greater investment balance and maturities in fiscal year ended June 30, 2024 as compared to June 30, 2025 with the matured investments utilized to fund ongoing operations during each of the fiscal years.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ended June 30, 2025, we had no financing activities. During the fiscal year ended June 30, 2024, cash used in financing activities totaled $11.9 million. The decrease from prior year was primarily due to the payment of $11.7 million in dividends agreed to under the Cooperation Agreement and the payment of approximately $0.2 million for issuance costs of our ATM Program during fiscal 2024, with no financing activities occurring during fiscal year 2025.</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June 18, 2024, we entered into a lease termination agreement (Agreement) with our landlord, for our offices at 11455 El Camino Real, Suite 200 and Suite 250, San Diego, California. Under the Agreement, the lease terminated as of September 30, 2024, rather than its scheduled expiration date of November 30, 2029 and we paid the landlord a termination fee totaling approximately $11.1 million in addition to prepaying the remaining rent under the Agreement in the amount of approximately $0.2 million (collectively, the Termination Amounts). Prior to June 30, 2025, the Termination Amounts had been paid and we had no further financial obligations under the Agreement.</w:t>
      </w:r>
    </w:p>
    <w:p>
      <w:pPr>
        <w:spacing w:after="0" w:line="7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54" w:lineRule="exact"/>
        <w:rPr>
          <w:sz w:val="20"/>
          <w:szCs w:val="20"/>
          <w:color w:val="auto"/>
        </w:rPr>
      </w:pPr>
    </w:p>
    <w:p>
      <w:pPr>
        <w:ind w:left="1020" w:right="8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Times New Roman" w:cs="Times New Roman" w:eastAsia="Times New Roman" w:hAnsi="Times New Roman"/>
          <w:sz w:val="18"/>
          <w:szCs w:val="18"/>
          <w:i w:val="1"/>
          <w:iCs w:val="1"/>
          <w:u w:val="single" w:color="auto"/>
          <w:color w:val="0000FF"/>
        </w:rPr>
        <w:t>Note 8—Other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6—Commitments and Contingencies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to our consolidated financial statements and related notes included elsewhere in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this Annual Report;</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which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-871220</wp:posOffset>
            </wp:positionV>
            <wp:extent cx="1075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75690"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-734060</wp:posOffset>
            </wp:positionV>
            <wp:extent cx="2674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nature of our Litecoin Treasury Strategy;</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1D2228"/>
        </w:rPr>
        <w:t>As a smaller reporting company, we are not required to provide the information otherwise required by this Item.</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 (Deloitte and Touche LLP; San Diego, California; PCAOB ID# 34)</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183"/>
        </w:trPr>
        <w:tc>
          <w:tcPr>
            <w:tcW w:w="8220" w:type="dxa"/>
            <w:vAlign w:val="bottom"/>
            <w:tcBorders>
              <w:top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FF"/>
              </w:rPr>
              <w:t>Consolidated Balance Sheets</w:t>
            </w:r>
          </w:p>
        </w:tc>
        <w:tc>
          <w:tcPr>
            <w:tcW w:w="126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40</w:t>
            </w:r>
          </w:p>
        </w:tc>
      </w:tr>
      <w:tr>
        <w:trPr>
          <w:trHeight w:val="20"/>
        </w:trPr>
        <w:tc>
          <w:tcPr>
            <w:tcW w:w="19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3"/>
        </w:trPr>
        <w:tc>
          <w:tcPr>
            <w:tcW w:w="94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Consolidated Statements of Operations</w:t>
            </w:r>
          </w:p>
        </w:tc>
        <w:tc>
          <w:tcPr>
            <w:tcW w:w="14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41</w:t>
            </w:r>
          </w:p>
        </w:tc>
      </w:tr>
      <w:tr>
        <w:trPr>
          <w:trHeight w:val="20"/>
        </w:trPr>
        <w:tc>
          <w:tcPr>
            <w:tcW w:w="25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3"/>
        </w:trPr>
        <w:tc>
          <w:tcPr>
            <w:tcW w:w="94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14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42</w:t>
            </w:r>
          </w:p>
        </w:tc>
      </w:tr>
      <w:tr>
        <w:trPr>
          <w:trHeight w:val="183"/>
        </w:trPr>
        <w:tc>
          <w:tcPr>
            <w:tcW w:w="260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580" w:type="dxa"/>
            <w:vAlign w:val="bottom"/>
            <w:tcBorders>
              <w:top w:val="single" w:sz="8" w:color="0000FF"/>
            </w:tcBorders>
            <w:gridSpan w:val="2"/>
          </w:tcPr>
          <w:p>
            <w:pPr>
              <w:spacing w:after="0"/>
              <w:rPr>
                <w:sz w:val="15"/>
                <w:szCs w:val="15"/>
                <w:color w:val="auto"/>
              </w:rPr>
            </w:pPr>
          </w:p>
        </w:tc>
        <w:tc>
          <w:tcPr>
            <w:tcW w:w="6280" w:type="dxa"/>
            <w:vAlign w:val="bottom"/>
            <w:gridSpan w:val="2"/>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r>
      <w:tr>
        <w:trPr>
          <w:trHeight w:val="183"/>
        </w:trPr>
        <w:tc>
          <w:tcPr>
            <w:tcW w:w="94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4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44</w:t>
            </w:r>
          </w:p>
        </w:tc>
      </w:tr>
      <w:tr>
        <w:trPr>
          <w:trHeight w:val="20"/>
        </w:trPr>
        <w:tc>
          <w:tcPr>
            <w:tcW w:w="1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Lite Strategy,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Lite Strategy, Inc. and subsidiary (the "Company") as of June 30, 2025 and 2024, the related consolidated statements of operations, stockholders' equity, and cash flows, for each of the two years in the period ended June 30, 2025, and the related notes (collectively referred to as the "financial statements"). In our opinion, the financial statements present fairly, in all material respects, the financial position of the Company as of June 30, 2025 and 2024, and the results of its operations and its cash flows for each of the two years in the period ended June 30, 2025, in conformity with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6"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0"/>
          <w:szCs w:val="20"/>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Deloitte &amp; Touche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26,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2024.</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except par value amounts)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30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100" w:type="dxa"/>
            <w:vAlign w:val="bottom"/>
          </w:tcPr>
          <w:p>
            <w:pPr>
              <w:spacing w:after="0"/>
              <w:rPr>
                <w:sz w:val="18"/>
                <w:szCs w:val="18"/>
                <w:color w:val="auto"/>
              </w:rPr>
            </w:pPr>
          </w:p>
        </w:tc>
      </w:tr>
      <w:tr>
        <w:trPr>
          <w:trHeight w:val="216"/>
        </w:trPr>
        <w:tc>
          <w:tcPr>
            <w:tcW w:w="6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r>
      <w:tr>
        <w:trPr>
          <w:trHeight w:val="249"/>
        </w:trPr>
        <w:tc>
          <w:tcPr>
            <w:tcW w:w="6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100" w:type="dxa"/>
            <w:vAlign w:val="bottom"/>
            <w:shd w:val="clear" w:color="auto" w:fill="CFF0FC"/>
          </w:tcPr>
          <w:p>
            <w:pPr>
              <w:spacing w:after="0"/>
              <w:rPr>
                <w:sz w:val="21"/>
                <w:szCs w:val="21"/>
                <w:color w:val="auto"/>
              </w:rPr>
            </w:pPr>
          </w:p>
        </w:tc>
      </w:tr>
      <w:tr>
        <w:trPr>
          <w:trHeight w:val="413"/>
        </w:trPr>
        <w:tc>
          <w:tcPr>
            <w:tcW w:w="6220" w:type="dxa"/>
            <w:vAlign w:val="bottom"/>
            <w:tcBorders>
              <w:top w:val="single" w:sz="8" w:color="CFF0FC"/>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7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shd w:val="clear" w:color="auto" w:fill="CFF0FC"/>
          </w:tcPr>
          <w:p>
            <w:pPr>
              <w:spacing w:after="0"/>
              <w:rPr>
                <w:sz w:val="18"/>
                <w:szCs w:val="18"/>
                <w:color w:val="auto"/>
              </w:rPr>
            </w:pPr>
          </w:p>
        </w:tc>
      </w:tr>
      <w:tr>
        <w:trPr>
          <w:trHeight w:val="209"/>
        </w:trPr>
        <w:tc>
          <w:tcPr>
            <w:tcW w:w="62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00" w:type="dxa"/>
            <w:vAlign w:val="bottom"/>
            <w:tcBorders>
              <w:bottom w:val="single" w:sz="8" w:color="CFF0FC"/>
            </w:tcBorders>
          </w:tcPr>
          <w:p>
            <w:pPr>
              <w:spacing w:after="0"/>
              <w:rPr>
                <w:sz w:val="18"/>
                <w:szCs w:val="18"/>
                <w:color w:val="auto"/>
              </w:rPr>
            </w:pPr>
          </w:p>
        </w:tc>
      </w:tr>
      <w:tr>
        <w:trPr>
          <w:trHeight w:val="210"/>
        </w:trPr>
        <w:tc>
          <w:tcPr>
            <w:tcW w:w="6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$0.00000002 par value; 226,000 shares authorized; 6,663</w:t>
            </w: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shares issued and outstanding at June 30, 2025 and June 30, 2024.</w:t>
            </w: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(404,164)</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(388,219)</w:t>
            </w:r>
          </w:p>
        </w:tc>
      </w:tr>
      <w:tr>
        <w:trPr>
          <w:trHeight w:val="210"/>
        </w:trPr>
        <w:tc>
          <w:tcPr>
            <w:tcW w:w="622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00" w:type="dxa"/>
            <w:vAlign w:val="bottom"/>
            <w:tcBorders>
              <w:top w:val="single" w:sz="8" w:color="CFF0FC"/>
            </w:tcBorders>
          </w:tcPr>
          <w:p>
            <w:pPr>
              <w:spacing w:after="0"/>
              <w:rPr>
                <w:sz w:val="18"/>
                <w:szCs w:val="18"/>
                <w:color w:val="auto"/>
              </w:rPr>
            </w:pPr>
          </w:p>
        </w:tc>
      </w:tr>
      <w:tr>
        <w:trPr>
          <w:trHeight w:val="250"/>
        </w:trPr>
        <w:tc>
          <w:tcPr>
            <w:tcW w:w="6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-2853690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-2853690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-2288540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-2270760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-2288540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-2270760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-1443990</wp:posOffset>
            </wp:positionV>
            <wp:extent cx="85725"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-1443990</wp:posOffset>
            </wp:positionV>
            <wp:extent cx="85725"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-316865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3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r>
      <w:tr>
        <w:trPr>
          <w:trHeight w:val="209"/>
        </w:trPr>
        <w:tc>
          <w:tcPr>
            <w:tcW w:w="67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customers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r>
      <w:tr>
        <w:trPr>
          <w:trHeight w:val="216"/>
        </w:trPr>
        <w:tc>
          <w:tcPr>
            <w:tcW w:w="6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00" w:type="dxa"/>
            <w:vAlign w:val="bottom"/>
          </w:tcPr>
          <w:p>
            <w:pPr>
              <w:spacing w:after="0"/>
              <w:rPr>
                <w:sz w:val="18"/>
                <w:szCs w:val="18"/>
                <w:color w:val="auto"/>
              </w:rPr>
            </w:pPr>
          </w:p>
        </w:tc>
      </w:tr>
      <w:tr>
        <w:trPr>
          <w:trHeight w:val="210"/>
        </w:trPr>
        <w:tc>
          <w:tcPr>
            <w:tcW w:w="67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9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tcPr>
          <w:p>
            <w:pPr>
              <w:spacing w:after="0"/>
              <w:rPr>
                <w:sz w:val="18"/>
                <w:szCs w:val="18"/>
                <w:color w:val="auto"/>
              </w:rPr>
            </w:pPr>
          </w:p>
        </w:tc>
      </w:tr>
      <w:tr>
        <w:trPr>
          <w:trHeight w:val="210"/>
        </w:trPr>
        <w:tc>
          <w:tcPr>
            <w:tcW w:w="67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17,455</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9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(17,455)</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100" w:type="dxa"/>
            <w:vAlign w:val="bottom"/>
          </w:tcPr>
          <w:p>
            <w:pPr>
              <w:spacing w:after="0"/>
              <w:rPr>
                <w:sz w:val="18"/>
                <w:szCs w:val="18"/>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disposition of a non-financial asset</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67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(15,945)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0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 - basic and diluted</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FF0FC"/>
          </w:tcPr>
          <w:p>
            <w:pPr>
              <w:spacing w:after="0"/>
              <w:rPr>
                <w:sz w:val="18"/>
                <w:szCs w:val="18"/>
                <w:color w:val="auto"/>
              </w:rPr>
            </w:pPr>
          </w:p>
        </w:tc>
      </w:tr>
      <w:tr>
        <w:trPr>
          <w:trHeight w:val="41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income</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 - basic and diluted</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-2691130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-2691130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-1704975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-1704975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-856615</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-856615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4740" w:type="dxa"/>
            <w:vAlign w:val="bottom"/>
          </w:tcPr>
          <w:p>
            <w:pPr>
              <w:spacing w:after="0"/>
              <w:rPr>
                <w:sz w:val="17"/>
                <w:szCs w:val="17"/>
                <w:color w:val="auto"/>
              </w:rPr>
            </w:pP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5"/>
        </w:trPr>
        <w:tc>
          <w:tcPr>
            <w:tcW w:w="4740" w:type="dxa"/>
            <w:vAlign w:val="bottom"/>
          </w:tcPr>
          <w:p>
            <w:pPr>
              <w:spacing w:after="0"/>
              <w:rPr>
                <w:sz w:val="18"/>
                <w:szCs w:val="18"/>
                <w:color w:val="auto"/>
              </w:rPr>
            </w:pPr>
          </w:p>
        </w:tc>
        <w:tc>
          <w:tcPr>
            <w:tcW w:w="12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r>
      <w:tr>
        <w:trPr>
          <w:trHeight w:val="19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430,621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(405,997)</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24,624</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17,778</w:t>
            </w: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dividends declared ($1.75 per share)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(11,660)</w:t>
            </w:r>
          </w:p>
        </w:tc>
        <w:tc>
          <w:tcPr>
            <w:tcW w:w="10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(11,660)</w:t>
            </w:r>
          </w:p>
        </w:tc>
      </w:tr>
      <w:tr>
        <w:trPr>
          <w:trHeight w:val="203"/>
        </w:trPr>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tcPr>
          <w:p>
            <w:pPr>
              <w:spacing w:after="0"/>
              <w:rPr>
                <w:sz w:val="17"/>
                <w:szCs w:val="17"/>
                <w:color w:val="auto"/>
              </w:rPr>
            </w:pPr>
          </w:p>
        </w:tc>
      </w:tr>
      <w:tr>
        <w:trPr>
          <w:trHeight w:val="19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421,239</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(388,219)</w:t>
            </w: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33,020</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(15,945)</w:t>
            </w:r>
          </w:p>
        </w:tc>
        <w:tc>
          <w:tcPr>
            <w:tcW w:w="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(15,945)</w:t>
            </w:r>
          </w:p>
        </w:tc>
      </w:tr>
      <w:tr>
        <w:trPr>
          <w:trHeight w:val="203"/>
        </w:trPr>
        <w:tc>
          <w:tcPr>
            <w:tcW w:w="4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(144)</w:t>
            </w:r>
          </w:p>
        </w:tc>
      </w:tr>
      <w:tr>
        <w:trPr>
          <w:trHeight w:val="20"/>
        </w:trPr>
        <w:tc>
          <w:tcPr>
            <w:tcW w:w="47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421,095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(404,164)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16,931</w:t>
            </w:r>
          </w:p>
        </w:tc>
        <w:tc>
          <w:tcPr>
            <w:tcW w:w="10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-162560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-162560</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-162560</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92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r>
      <w:tr>
        <w:trPr>
          <w:trHeight w:val="209"/>
        </w:trPr>
        <w:tc>
          <w:tcPr>
            <w:tcW w:w="7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(15,945)</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disposition of a non-financial asset</w:t>
            </w:r>
          </w:p>
        </w:tc>
        <w:tc>
          <w:tcPr>
            <w:tcW w:w="1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Unbilled receivables</w:t>
            </w:r>
          </w:p>
        </w:tc>
        <w:tc>
          <w:tcPr>
            <w:tcW w:w="1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(3,147)</w:t>
            </w: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(7,274)</w:t>
            </w:r>
          </w:p>
        </w:tc>
      </w:tr>
      <w:tr>
        <w:trPr>
          <w:trHeight w:val="21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(64,862)</w:t>
            </w: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(13,612)</w:t>
            </w:r>
          </w:p>
        </w:tc>
      </w:tr>
      <w:tr>
        <w:trPr>
          <w:trHeight w:val="20"/>
        </w:trPr>
        <w:tc>
          <w:tcPr>
            <w:tcW w:w="7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(20,844)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(50,473)</w:t>
            </w:r>
          </w:p>
        </w:tc>
      </w:tr>
      <w:tr>
        <w:trPr>
          <w:trHeight w:val="425"/>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(58,232)</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107,379</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disposition of a non-financial asset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35,150</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49,140</w:t>
            </w:r>
          </w:p>
        </w:tc>
        <w:tc>
          <w:tcPr>
            <w:tcW w:w="120" w:type="dxa"/>
            <w:vAlign w:val="bottom"/>
            <w:tcBorders>
              <w:top w:val="single" w:sz="8" w:color="CFF0FC"/>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cash dividend</w:t>
            </w:r>
          </w:p>
        </w:tc>
        <w:tc>
          <w:tcPr>
            <w:tcW w:w="1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(11,660)</w:t>
            </w: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73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(11,868)</w:t>
            </w:r>
          </w:p>
        </w:tc>
      </w:tr>
      <w:tr>
        <w:trPr>
          <w:trHeight w:val="20"/>
        </w:trPr>
        <w:tc>
          <w:tcPr>
            <w:tcW w:w="7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(13,201)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20" w:type="dxa"/>
            <w:vAlign w:val="bottom"/>
          </w:tcPr>
          <w:p>
            <w:pPr>
              <w:spacing w:after="0"/>
              <w:rPr>
                <w:sz w:val="18"/>
                <w:szCs w:val="18"/>
                <w:color w:val="auto"/>
              </w:rPr>
            </w:pPr>
          </w:p>
        </w:tc>
      </w:tr>
      <w:tr>
        <w:trPr>
          <w:trHeight w:val="24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shd w:val="clear" w:color="auto" w:fill="CFF0FC"/>
          </w:tcPr>
          <w:p>
            <w:pPr>
              <w:spacing w:after="0"/>
              <w:rPr>
                <w:sz w:val="21"/>
                <w:szCs w:val="21"/>
                <w:color w:val="auto"/>
              </w:rPr>
            </w:pPr>
          </w:p>
        </w:tc>
      </w:tr>
      <w:tr>
        <w:trPr>
          <w:trHeight w:val="413"/>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198"/>
        </w:trPr>
        <w:tc>
          <w:tcPr>
            <w:tcW w:w="7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Re-measurement of right-of-use asset and related lease liability upon lease</w:t>
            </w:r>
          </w:p>
        </w:tc>
        <w:tc>
          <w:tcPr>
            <w:tcW w:w="1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Re-measurement of right-of-use asset for direct costs associated with lease</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-3093720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-3093720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-2125345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-2125345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-1422400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-848360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-831215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-848360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-831215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Lite Strategy,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On September 10, 2025, MEI Pharma, Inc. changed its name to Lite Strategy, Inc. and its ticker symbol to LITS. We are a </w:t>
      </w:r>
      <w:r>
        <w:rPr>
          <w:rFonts w:ascii="Times New Roman" w:cs="Times New Roman" w:eastAsia="Times New Roman" w:hAnsi="Times New Roman"/>
          <w:sz w:val="18"/>
          <w:szCs w:val="18"/>
          <w:color w:val="000000"/>
        </w:rPr>
        <w:t>pharmaceutical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that has been developing novel and differentiated cancer therapies. In August 2025, we implemented a Litecoin Treasury Strategy (as described below) with the net proceeds from the PIPE (as defined below). We built our pipeline by acquiring promising cancer agents and creating value in programs through development, strategic partnerships and out-licensing or commercialization, as appropriate. Our approach to oncology drug development has been to evaluate our drug candidates in combinations with standard-of-care therapies to overcome known resistance mechanisms and address clear medical needs to provide improved patient benefit. Our pipeline includes voruciclib, an oral cyclin-dependent kinase 9 (CDK9) inhibitor, zandelisib, </w:t>
      </w:r>
      <w:r>
        <w:rPr>
          <w:rFonts w:ascii="Times New Roman" w:cs="Times New Roman" w:eastAsia="Times New Roman" w:hAnsi="Times New Roman"/>
          <w:sz w:val="18"/>
          <w:szCs w:val="18"/>
          <w:color w:val="231F20"/>
        </w:rPr>
        <w:t xml:space="preserve">an oral, once-daily, selective PI3Kδ inhibitor </w:t>
      </w:r>
      <w:r>
        <w:rPr>
          <w:rFonts w:ascii="Times New Roman" w:cs="Times New Roman" w:eastAsia="Times New Roman" w:hAnsi="Times New Roman"/>
          <w:sz w:val="18"/>
          <w:szCs w:val="18"/>
          <w:color w:val="000000"/>
        </w:rPr>
        <w:t>and prior to its sale, ME-344 as more fully discussed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u w:val="single" w:color="auto"/>
          <w:color w:val="0000FF"/>
        </w:rPr>
        <w:t>Note 13. Disposition of a Non-Financial Asset</w:t>
      </w:r>
      <w:r>
        <w:rPr>
          <w:rFonts w:ascii="Times New Roman" w:cs="Times New Roman" w:eastAsia="Times New Roman" w:hAnsi="Times New Roman"/>
          <w:sz w:val="18"/>
          <w:szCs w:val="18"/>
          <w:color w:val="000000"/>
        </w:rPr>
        <w:t>, an intravenous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small molecule mitochondrial inhibitor targeting the oxidative phosphorylation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-166370</wp:posOffset>
            </wp:positionV>
            <wp:extent cx="21164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16455"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40" w:firstLine="509"/>
        <w:spacing w:after="0" w:line="220" w:lineRule="exact"/>
        <w:rPr>
          <w:sz w:val="20"/>
          <w:szCs w:val="20"/>
          <w:color w:val="auto"/>
        </w:rPr>
      </w:pPr>
      <w:r>
        <w:rPr>
          <w:rFonts w:ascii="Times New Roman" w:cs="Times New Roman" w:eastAsia="Times New Roman" w:hAnsi="Times New Roman"/>
          <w:sz w:val="18"/>
          <w:szCs w:val="18"/>
          <w:color w:val="auto"/>
        </w:rPr>
        <w:t>We prepared the consolidated financial statements in accordance with accounting principles generally accepted in the United States (GAAP) and the rules and regulations of the Securities and Exchange Commission (SEC) related to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accompanying consolidated financial statements include the accounts of Lite Strategy, Inc. and our wholly owned subsidiary, Meadow Merger Sub, Inc. We have eliminated all intercompany accounts and transactions in consolidation.</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the consolidated financial statements were issued.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Events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continued in stages as our operational and strategic direction evolved. In connection with this evaluation, we discontinued the clinical development of voruciclib, while certain nonclinical activities related to our drug candidate assets will continue to be conducted by us. As part of the review of strategic alternatives, we considered options such as out-licensing or the sale of our existing programs and merger and acquisition opportunities, as well as other potential opportunities.</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Consistent with our intention to preserve cash, David M. Urso, our former President and Chief Executive Officer and Richard Ghalie, M.D., our former Chief Medical Officer, stepped down effective August 1, 2024. Mr. Urso also left the Board at that date. We entered into a consulting agreement with Dr. Ghalie under which he remains available to assist us in strategic efforts or ongoing operations. In addition, we entered into a consulting agreement with Mr. Urso, which was terminated in February 2025. Charles V. Baltic III, the former Chairperson of the Board, also stepped down from the Board contemporaneously with the announcement on July 22, 2024. Our Board appointed Justin J. File, our Chief Financial Officer, to assume the position of Acting Chief Executive Officer and appointed Frederick W. Driscoll as our Chairperson of the Board.</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evaluation of strategic alternatives concluded with the August 2025 implementation of our Litecoin Treasury Strategy (as described below) and a commitment to long-term innovation in capital structure and financial technology, along with the initiation of an expanding strategy that could include the commencement of Litecoin mining activities, as well as our continued assessment of pre-clinical activities with our drug candidate pipeline, as to which we anticipate conducting further investigational research and development in the next several months.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Private Investment in Private Equity (PIPE) and Related Agreements</w:t>
      </w:r>
    </w:p>
    <w:p>
      <w:pPr>
        <w:spacing w:after="0" w:line="11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more fully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xml:space="preserve">, in July 2025, we closed on a $100.0 million PIPE and issued an aggregate of (i) 23,216,898 shares (the Shares) of our Common Stock (as defined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Stockholders' Equity</w:t>
      </w:r>
      <w:r>
        <w:rPr>
          <w:rFonts w:ascii="Times New Roman" w:cs="Times New Roman" w:eastAsia="Times New Roman" w:hAnsi="Times New Roman"/>
          <w:sz w:val="18"/>
          <w:szCs w:val="18"/>
          <w:color w:val="auto"/>
        </w:rPr>
        <w:t xml:space="preserve">), at an offering price of $3.42 per share and (ii) pre-funded warrants (the Pre-Funded Warrants (together with the Common Stock, the Securities)), to purchase up to an aggregate of 6,022,869 shares of Common Stock (the Pre-Funded Warrant Shares) at an offering price of $3.4199 per Pre-Funded Warrant. On July 24, 2025, Pre-Funded Warrants for the purchase of 2,084,509 shares of Common Stock were exercised for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proceeds. As of September 23, 2025, we issued 2,807,967 shares of Common Stock upon cashless exercises of 2,808,070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-719455</wp:posOffset>
            </wp:positionV>
            <wp:extent cx="12757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-582295</wp:posOffset>
            </wp:positionV>
            <wp:extent cx="13633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Also, in July 2025 and as more fully discussed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we entered into various agreements with certain advisors to the PIPE, asset managers and custodians who will deploy our Litecoin Treasury Strategy (as described below), including but not limited to: (i) a placement agency agreement, (ii) an asset management agreement, (iii) an advisory agreement, (iv) a strategic advisor agreement and (v) a new at-the-market sales agreement. As partial consideration for services provided associated with the PIPE, we issued warrants for the purchase of up to 3,070,177 shares of our Common Stock with a weighted-average exercise price of approximately $4.10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-581660</wp:posOffset>
            </wp:positionV>
            <wp:extent cx="12757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5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September 24, 2025, as payment of the annual Asset-based Fee under the Asset Management Agreement, we issued to GSR, 546,348 Pre-Funded Warrants with an exercise price of $0.0001 per share. Subject to the limitations on exercise set forth in the warrant agreement, the Pre-Funded Warrants may be exercised at any time until they are exercised in full.</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Litecoin Treasury Strategy</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August 5, 2025, we announced the commencement of our primary reserve asset and implementation strategy built on a digital asset infrastructure and long-term capital innovation (a Litecoin Treasury Strategy) through our acquisition of Litecoin (LTC) tokens, reflecting the full deployment of the net proceeds of the PIPE. Litecoin is an open source, global payment network that is fully decentralized without any central authorities. Mathematics secures the network and empowers individuals to control their own finances. Litecoin features faster transaction confirmation times and improved storage efficiency than the leading math-based currency. We believe this strategy will allow us to diversify reserves, enhance capital efficiency and align with emerging financial technologies.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October 31, 2023, we announced our entry into a cooperation agreement with Anson Funds Management LP and Cable Car Capital LLC (Cooperation Agreement), a related party, which, among other non-financial related items, provided for a capital return to stockholders in the form of a dividend in the amount of $1.75 per share of Common Stock that was declared on November 6, 2023 to stockholders of record at the close of business on November 17, 2023 (Cooperation Agreement). The total dividend of $11.7 million was paid on December 6, 2023, and was recorded as a reduction of additional paid-in capital in the consolidated statements of stockholders' equity, as we have an accumulated deficit, rather than retained earnings. Effective July 22, 2025, in conjunction with the closing of the Offering (as defined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parties to the Cooperation Agreement mutually agreed to terminate such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-168275</wp:posOffset>
            </wp:positionV>
            <wp:extent cx="12757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We have accumulated losses of $404.2 million since inception and expect to incur operating losses and generate negative cash flows from operations for the foreseeable future. As of June 30, 2025, we had $18.0 million in cash and cash equivalents. In connection with our July 2024 announcement regarding the evaluation of our strategic alternatives, we discontinued the clinical development of voruciclib, while certain nonclinical research and development (R&amp;D) activities continue. As a result, we will continue to incur R&amp;D expenses in connection with our nonclinical projects. We believe that our cash balance will be sufficient to meet our obligations and fund operations for at least the next 12 months from the issuance of these consolidated financial statements.</w:t>
      </w:r>
    </w:p>
    <w:p>
      <w:pPr>
        <w:spacing w:after="0" w:line="187"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and to continue the development of our drug candidates, we would require one or more capital transactions, whether through the sale of equity securities, debt financing, license agreements or entry into strategic partnerships at some point in the future. There can be no assurance that we will be able to continue to raise additional capital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disclosures made in the accompanying notes to the consolidated financial statements. We use estimates that affect the reported amounts (including assets, liabilities, revenues and expenses) and related disclosures. Actual results could materially differ from those estimates.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original maturities of three months or less when purchased. Cash is maintained at financial institutions and, at times, balances may exceed federally insured limits. We have not experienced any losses related to these balances.</w:t>
      </w:r>
    </w:p>
    <w:p>
      <w:pPr>
        <w:spacing w:after="0" w:line="6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attempt to minimize credit risk associated with our cash and cash equivalents by periodically evaluating the credit quality of our primary financial institutions. Our investment portfolio is maintained in accordance with our investment policy, which is designed to preserve capital, safeguard funds and limit exposure to risk. While we maintain cash deposits in FDIC insured financial institutions in excess of federally insured limits, we do not believe we are exposed to significant credit risk due to the financial position of the depository institutions in which those deposits are held. We have not experienced any losses on such accounts.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jc w:val="both"/>
        <w:ind w:right="80" w:firstLine="509"/>
        <w:spacing w:after="0" w:line="281" w:lineRule="auto"/>
        <w:rPr>
          <w:sz w:val="20"/>
          <w:szCs w:val="20"/>
          <w:color w:val="auto"/>
        </w:rPr>
      </w:pPr>
      <w:r>
        <w:rPr>
          <w:rFonts w:ascii="Times New Roman" w:cs="Times New Roman" w:eastAsia="Times New Roman" w:hAnsi="Times New Roman"/>
          <w:sz w:val="17"/>
          <w:szCs w:val="17"/>
          <w:color w:val="auto"/>
        </w:rPr>
        <w:t>Short-term investments are marketable securities with maturities greater than three months but less than one year from date of purchase. As of June 30, 2025, we did not hold any short-term investments. As of June 30, 2024, we held short-term investments of $34.6 million in United States government securities. Our short-term investments were considered to be held to maturity and were carried at amortized cost. For the fiscal year ended June 30, 2025, we had no gross unrealized gains and losses. For the fiscal year ended June 30, 2024, the gross unrealized gains and losses were immaterial.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7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we have no property and equipment. Property and equipment were previously stated at cost and depreciated over the estimated useful lives of the assets (generally three to seven years) using the straight-line method and leasehold improvements were stated at cost and were amortized over the shorter of the estimated useful lives of the assets or the lease term.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account for our leases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Leases which are identified within the scope of Topic 842 and which have a term greater than one year are recognized on our consolidated balance sheets as right-of-use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8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Operating lease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operating lease expense when incurred.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June 18, 2024, we entered into a lease termination agreement (Agreement) with our landlord pursuant to which the parties agreed to terminate, as of September 30, 2024, the lease for our existing office space. See </w:t>
      </w:r>
      <w:r>
        <w:rPr>
          <w:rFonts w:ascii="Times New Roman" w:cs="Times New Roman" w:eastAsia="Times New Roman" w:hAnsi="Times New Roman"/>
          <w:sz w:val="18"/>
          <w:szCs w:val="18"/>
          <w:i w:val="1"/>
          <w:iCs w:val="1"/>
          <w:u w:val="single" w:color="auto"/>
          <w:color w:val="0000FF"/>
        </w:rPr>
        <w:t>Note 3. Balance Sheet Details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color w:val="auto"/>
        </w:rPr>
        <w:t xml:space="preserve"> for the impact of the Agreement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-175895</wp:posOffset>
            </wp:positionV>
            <wp:extent cx="22593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ASC Topic 606, Revenue from Contracts with Customers (Topic 606), we recognized revenue when control of the promised goods or services was transferred to our customers, in an amount that reflects the consideration we expected to be entitled to in exchange for those goods or services. For enforceable contracts with our customers, we first identified the distinct performance obligations – or accounting units – within the contract. Performance obligations are commitments in a contract to transfer a distinct good or service to the customer.</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used judgment to evaluate whether the milestones were probable of being achieved and we estimated the amount, if any, to include in the transaction price using the most likely method. If it were probable that a significant revenue reversal would not occur, the estimated amount was included in the transaction price. Milestone payments that were not within our or the licensee’s control, such as regulatory approvals, were not included in the transaction price until those approvals were received. At the end of each reporting period, we re-evaluated the probability of achievement of development milestones and any related constraint and, as necessary, we adjusted our estimate of the overall transaction price.</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To the extent a contract included multiple promised deliverables, we applied judgment to determine whether promised deliverables were capable of being distinct and were distinct within the context of the contract. If these criteria were not met, the promised deliverables were accounted for as a combined performance obligation. For arrangements with multiple distinct performance obligations, we allocated variable consideration related to our 50-50 cost share for development services directly to the associated performance obligation and then allocated the remaining consideration among the performance obligations based on their relative stand-alone selling price.</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When not directly observable, we typically estimated the stand-alone selling price for each distinct performance obligation. Variable consideration that related specifically to our efforts to satisfy specific performance obligations was allocated entirely to those performance obligations. Other components of the transaction price were allocated based on the relative stand-alone selling price, over which management has applied significant judgment. We developed assumptions that required judgment to determine the stand-alone selling price for license-related performance obligations, which may have included forecasted revenues, development timelines, reimbursement rates for personnel costs, discount rates and probabilities of technical, regulatory and commercial success. We estimated stand-alone selling price for R&amp;D performance obligations by forecasting the expected costs of satisfying a performance obligation plus an appropriate margin.</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case of a license that is a distinct performance obligation, we recognized revenue allocated to the license from non-refundable, up-front fees at the point in time when the license was transferred to the licensee and the licensee can use and benefit from the license. For licenses that are bundled with other distinct or combined obligations, we used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evaluated the measure of progress in each reporting period and, if necessary, adjusted the measure of performance and related revenue recognition.</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selection of the method to measure progress towards completion requires judgment and is based on the nature of the products or services to be provided. Revenue is recorded proportionally as costs are incurred. We generally used the cost-to-cost measure of progress because it best depicted the transfer of control to the customer which occurred as we incurred costs. Under the cost-to-cost measure of progress, the extent of progress towards completion was measured based on the ratio of costs incurred to date to the total estimated costs at completion of the performance obligation (an input method under Topic 606). We used judgment to estimate the total cost expected to complete the R&amp;D performance obligations, which included subcontractors’ costs, labor, materials, other direct costs and an allocation of indirect costs. We evaluated these cost estimates and the progress during each reporting period and, as necessary, we adjusted the measure of progress and related revenue recognition.</w:t>
      </w:r>
    </w:p>
    <w:p>
      <w:pPr>
        <w:spacing w:after="0" w:line="81" w:lineRule="exact"/>
        <w:rPr>
          <w:sz w:val="20"/>
          <w:szCs w:val="20"/>
          <w:color w:val="auto"/>
        </w:rPr>
      </w:pPr>
    </w:p>
    <w:p>
      <w:pPr>
        <w:ind w:right="120" w:firstLine="554"/>
        <w:spacing w:after="0" w:line="258" w:lineRule="auto"/>
        <w:rPr>
          <w:sz w:val="20"/>
          <w:szCs w:val="20"/>
          <w:color w:val="auto"/>
        </w:rPr>
      </w:pPr>
      <w:r>
        <w:rPr>
          <w:rFonts w:ascii="Times New Roman" w:cs="Times New Roman" w:eastAsia="Times New Roman" w:hAnsi="Times New Roman"/>
          <w:sz w:val="18"/>
          <w:szCs w:val="18"/>
          <w:color w:val="auto"/>
        </w:rPr>
        <w:t>In connection with our now terminated April 2020 License, Development and Commercialization Agreement with Kyowa Kirin Co., Ltd. (KKC) (the KKC Commercialization Agreement) described in Note 7. License Agreements, we performed development services related to our 50-50 cost sharing arrangement for which revenue was recognized over time. Additionally, we performed services for KKC at their request, the costs of which were fully reimbursed to us. We recorded the reimbursement for such pass through services as revenue at 100% of reimbursed costs, as control of the additional services for KKC was transferred at the time we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incurred such costs. The costs of these services were recognized in the consolidated statements of operations as research and development expense. The costs of these services were recognized in the consolidated statements of operations as research and development expense.</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2025, we did not recognize any revenue associated with the KKC Commercialization Agreement. During the year ended June 30, 2024, we recognized revenue associated with the KKC Commercialization Agreement as follows (in thousands):</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9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 performed over time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8"/>
                <w:szCs w:val="18"/>
                <w:color w:val="auto"/>
              </w:rPr>
            </w:pPr>
          </w:p>
        </w:tc>
      </w:tr>
      <w:tr>
        <w:trPr>
          <w:trHeight w:val="216"/>
        </w:trPr>
        <w:tc>
          <w:tcPr>
            <w:tcW w:w="7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Pass through services at a point in time</w:t>
            </w:r>
          </w:p>
        </w:tc>
        <w:tc>
          <w:tcPr>
            <w:tcW w:w="9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40" w:type="dxa"/>
            <w:vAlign w:val="bottom"/>
          </w:tcPr>
          <w:p>
            <w:pPr>
              <w:spacing w:after="0"/>
              <w:rPr>
                <w:sz w:val="18"/>
                <w:szCs w:val="18"/>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Contract liabilities were included in deferred revenue and deferred revenue, long-term in our consolidated balance sheets. Our contract liabilities accounted for under Topic 606 related to the amount of initial upfront consideration allocated to the development services performance obligations.</w:t>
      </w:r>
    </w:p>
    <w:p>
      <w:pPr>
        <w:spacing w:after="0" w:line="3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and 2024, we had no accounts receivable, unbilled receivables or contract liabilities. A reconciliation of the beginning and ending amount of contract liabilities as of June 30, 2024, which primarily related to the combined performance obligations for the transfer of development services under the KKC Commercialization Agreement and was a separate performance obligation in our contract pursuant to research plans under the agreements were as follows (in thousands):</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09"/>
        </w:trPr>
        <w:tc>
          <w:tcPr>
            <w:tcW w:w="64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Recognized as revenue:</w:t>
            </w: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recognized upon satisfaction of performance obligations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198"/>
        </w:trPr>
        <w:tc>
          <w:tcPr>
            <w:tcW w:w="64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Revenue recognized from change in estimate for performance</w:t>
            </w:r>
          </w:p>
        </w:tc>
        <w:tc>
          <w:tcPr>
            <w:tcW w:w="1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obligations that are being closed</w:t>
            </w:r>
          </w:p>
        </w:tc>
        <w:tc>
          <w:tcPr>
            <w:tcW w:w="1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Revenue recognized for performance obligations that will no longer</w:t>
            </w: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commence</w:t>
            </w:r>
          </w:p>
        </w:tc>
        <w:tc>
          <w:tcPr>
            <w:tcW w:w="1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7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billed accounts receivable and unbilled receivables (contract assets) and deferred revenue (contract liabilities). We invoiced our customers in accordance with agreed-upon contractual terms, typically at periodic intervals or upon achievement of contractual milestones. Invoicing may have occurred subsequent to revenue recognition, resulting in unbilled receivables. Advanced payments from our customers before revenue was recognized resulted in contract liabilities.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from Collaborators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we assessed whether the collaboration arrangements were within the scope of ASC Topic 808 Collaborative Agreements (Topic 808), to determine whether such arrangements involved joint operating activities performed by parties that were both active participants in the activities and exposed to significant risks and rewards dependent on the commercial success of such activities. This assessment was performed based on the responsibilities of all parties in the arrangement. For collaboration arrangements within the scope of Topic 808 that contain multiple units of account, we first determined which units of account within the arrangement were within the scope of Topic 808 and which elements were within the scope of Topic</w:t>
      </w:r>
    </w:p>
    <w:p>
      <w:pPr>
        <w:spacing w:after="0" w:line="3" w:lineRule="exact"/>
        <w:rPr>
          <w:sz w:val="20"/>
          <w:szCs w:val="20"/>
          <w:color w:val="auto"/>
        </w:rPr>
      </w:pPr>
    </w:p>
    <w:p>
      <w:pPr>
        <w:ind w:firstLine="8"/>
        <w:spacing w:after="0" w:line="253"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units of account within collaboration arrangements that were accounted for pursuant to Topic 808, an appropriate recognition method was determined and applied consistently, by analogy to authoritative accounting literature. For elements of collaboration arrangements that were accounted for pursuant to Topic 606, we recognized revenue as discussed above. Consideration received that did not meet the requirements to satisfy Topic 606 revenue recognition criteria was recorded as deferred revenue and classified as either current or long-term deferred revenue based on our best estimate of when such amounts would be recognized.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costs paid to third-party contractors to perform research, conduct clinical trials and develop and manufacture drug materials, as well as personnel, related benefits (including share-based compensation) and other expenses attributable to our R&amp;D activities. Clinical trial costs, including costs associated with third-party contractors, are a significant component of R&amp;D expenses. We expense R&amp;D costs based on work performed. In determining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amount to expense, management relies on estimates of total costs based on contract components completed, the enrollment of subjects, the completion of trials and other events. Costs incurred related to the purchase or licensing of in-process R&amp;D for early-stage products or products that are not commercially viable and ready for use, or have no alternative future use, are charged to expense in the period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Share-based compensation expense for stock options and restricted stock units (RSUs) granted to employees and directors is recognized in the consolidated statements of operations based on estimated amounts. The cost of stock options is measured at the grant date, based on the estimated fair value of the stock option using the Black-Scholes valuation model, which incorporates various assumptions including expected volatility, risk-free interest rate, the expected term of the award and the dividend yield on the underlying stock. Expected volatility is calculated based on the historical volatility of our stock over the expected option life and other appropriate factors. We use the simplified method to calculate the expected term of share options and similar instruments as we do not have sufficient historical exercise data to provide a reasonable basis upon which to estimate the expected term. Risk-free interest rates are calculated based on continuously compounded risk-free rates for the appropriate term. The dividend yield is assumed to be zero as we do not intend to do so in the foreseeable future. For RSUs, we estimate the grant date fair value using our closing stock price on the date of grant. The estimated fair value of stock options and RSUs is amortized over the requisite service period, adjusted for actual forfeitures at the time they occur. The requisite service period is generally the time over which our share-based awards vest.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Interest on cash and investment balances is recognized when earned. Dividend income is recognized when the right to receive the payment is established.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June 30, 2025 and 2024,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Financial Accounting Standards Board (FASB) Topic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prescribes a recognition threshold and measurement attribute criteria for the financial statement recognition and measurement of tax positions taken or expected to be taken in a tax return. For those benefits to be recognized, a tax position must be more-likely-than-not to be sustained upon examination by taxing authorities. An uncertain income tax position will not be recognized if it has less than a 50% likelihood of being sustained. There were no unrecognized tax benefits as of June 30,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Non-Financial Assets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infrequent dispositions of assets in its product pipeline in accordance with ASC 610-20, Other Income - Gains and Losses from the Derecognition of Nonfinancial Assets, which requires dispositions of long-lived assets that are not a discontinued operation be accounted for on a net basis and included in income from continuing operations before income taxes in accordance with ASC 350, </w:t>
      </w:r>
      <w:r>
        <w:rPr>
          <w:rFonts w:ascii="Times New Roman" w:cs="Times New Roman" w:eastAsia="Times New Roman" w:hAnsi="Times New Roman"/>
          <w:sz w:val="18"/>
          <w:szCs w:val="18"/>
          <w:i w:val="1"/>
          <w:iCs w:val="1"/>
          <w:color w:val="auto"/>
        </w:rPr>
        <w:t>Intangible Assets -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Proceeds from sales designated as dispositions of non-financial assets are classified as cash flows from investing activities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Share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Basic and diluted net (loss) income per share is computed using the weighted-average number of shares of Common Stock (as defined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Stockholders' Equity</w:t>
      </w:r>
      <w:r>
        <w:rPr>
          <w:rFonts w:ascii="Times New Roman" w:cs="Times New Roman" w:eastAsia="Times New Roman" w:hAnsi="Times New Roman"/>
          <w:sz w:val="18"/>
          <w:szCs w:val="18"/>
          <w:color w:val="000000"/>
        </w:rPr>
        <w:t>) outstanding during the period, less any shares subject to repurchase or forfeiture. There were no shares of Common Stock (as defined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 xml:space="preserve">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FF"/>
        </w:rPr>
        <w:t>Stockholders' Equity</w:t>
      </w:r>
      <w:r>
        <w:rPr>
          <w:rFonts w:ascii="Times New Roman" w:cs="Times New Roman" w:eastAsia="Times New Roman" w:hAnsi="Times New Roman"/>
          <w:sz w:val="18"/>
          <w:szCs w:val="18"/>
          <w:color w:val="000000"/>
        </w:rPr>
        <w:t xml:space="preserve">) subject to repurchase or forfeiture for the fiscal years ended June 30, 2025 and 2024. Diluted net (loss) income per share is computed based on the sum of the weighted-average number of common shares (as defined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FF"/>
        </w:rPr>
        <w:t>Stockholders' Equity</w:t>
      </w:r>
      <w:r>
        <w:rPr>
          <w:rFonts w:ascii="Times New Roman" w:cs="Times New Roman" w:eastAsia="Times New Roman" w:hAnsi="Times New Roman"/>
          <w:sz w:val="18"/>
          <w:szCs w:val="18"/>
          <w:color w:val="000000"/>
        </w:rPr>
        <w:t>) and potentially dilutive common shares outstanding during the period determined using the treasury-stock and if-converted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6610350</wp:posOffset>
            </wp:positionH>
            <wp:positionV relativeFrom="paragraph">
              <wp:posOffset>-582930</wp:posOffset>
            </wp:positionV>
            <wp:extent cx="4216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1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9410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1070" cy="8890"/>
                    </a:xfrm>
                    <a:prstGeom prst="rect">
                      <a:avLst/>
                    </a:prstGeom>
                    <a:noFill/>
                  </pic:spPr>
                </pic:pic>
              </a:graphicData>
            </a:graphic>
          </wp:anchor>
        </w:drawing>
        <w:drawing>
          <wp:anchor simplePos="0" relativeHeight="251657728" behindDoc="1" locked="0" layoutInCell="0" allowOverlap="1">
            <wp:simplePos x="0" y="0"/>
            <wp:positionH relativeFrom="column">
              <wp:posOffset>122555</wp:posOffset>
            </wp:positionH>
            <wp:positionV relativeFrom="paragraph">
              <wp:posOffset>-308610</wp:posOffset>
            </wp:positionV>
            <wp:extent cx="13633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63345"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-171450</wp:posOffset>
            </wp:positionV>
            <wp:extent cx="13633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purposes of the diluted net loss per share calculation for the fiscal year ended June 30, 2025, potentially dilutive securities are excluded from the calculation of diluted net loss per share because their effect was anti-dilutive due to our net loss. For purposes of the diluted net income per share calculation for the fiscal year ended June 30, 2024, potentially dilutive securities are excluded from the calculation of diluted net income per share because their weighted-average exercise prices were above our weighted-average share price. Therefore, basic and diluted net (loss) income per share were the same for the fiscal years ended June 30, 2025 and 2024.</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shares that have been excluded from the calculation of net (loss) income per share because of their anti-dilutive effect (in thousands):</w:t>
      </w:r>
    </w:p>
    <w:p>
      <w:pPr>
        <w:spacing w:after="0" w:line="5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p>
      <w:pPr>
        <w:spacing w:after="0" w:line="31"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67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869</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1,357</w:t>
            </w: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49"/>
        </w:trPr>
        <w:tc>
          <w:tcPr>
            <w:tcW w:w="67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080" w:type="dxa"/>
            <w:vAlign w:val="bottom"/>
            <w:tcBorders>
              <w:top w:val="single" w:sz="8" w:color="auto"/>
              <w:bottom w:val="single" w:sz="8" w:color="auto"/>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972</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Segment Reporting (Topic 280) Improvements to Reportable Segment Disclosures, which modifies the disclosure and presentation requirements of reportable segments (ASU 2023-07). The amendments in the update require the disclosure of significant segment expenses that are regularly provided to the chief operating decision maker (the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Lastly, the amendment requires that a public entity that has a single reportable segment provide all the disclosures required by ASU 2023-07 and all existing segment disclosures in Topic 280. The adoption of ASU 2023-07 resulted in enhanced disclosures as included in </w:t>
      </w:r>
      <w:r>
        <w:rPr>
          <w:rFonts w:ascii="Times New Roman" w:cs="Times New Roman" w:eastAsia="Times New Roman" w:hAnsi="Times New Roman"/>
          <w:sz w:val="18"/>
          <w:szCs w:val="18"/>
          <w:i w:val="1"/>
          <w:iCs w:val="1"/>
          <w:u w:val="single" w:color="auto"/>
          <w:color w:val="0000FF"/>
        </w:rPr>
        <w:t>Note 12 Segment Information</w:t>
      </w:r>
      <w:r>
        <w:rPr>
          <w:rFonts w:ascii="Times New Roman" w:cs="Times New Roman" w:eastAsia="Times New Roman" w:hAnsi="Times New Roman"/>
          <w:sz w:val="18"/>
          <w:szCs w:val="18"/>
          <w:color w:val="auto"/>
        </w:rPr>
        <w:t>, but did not impact to our results of operations, cash flows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5183505</wp:posOffset>
            </wp:positionH>
            <wp:positionV relativeFrom="paragraph">
              <wp:posOffset>-168275</wp:posOffset>
            </wp:positionV>
            <wp:extent cx="13487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48740" cy="8890"/>
                    </a:xfrm>
                    <a:prstGeom prst="rect">
                      <a:avLst/>
                    </a:prstGeom>
                    <a:noFill/>
                  </pic:spPr>
                </pic:pic>
              </a:graphicData>
            </a:graphic>
          </wp:anchor>
        </w:drawing>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as of the specified effective date. We believe the impact of recently issued standards, other than those noted below and any issued but not yet effective standards will not have a material impact on our consolidated financial statements upon adoption.</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impacts to our results of operations, cash flows and financial condition.</w:t>
      </w:r>
    </w:p>
    <w:p>
      <w:pPr>
        <w:spacing w:after="0" w:line="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January 2025, the FASB issued ASU No. 2025-01, Income Statement—Reporting Comprehensive Income—Expense Disaggregation Disclosures (Subtopic 220-40): Clarifying the Effective Date. The amendment in this update clarifies the effective date of ASU 2024-03, which is that public business entities are required to adopt the guidance in annual reporting periods beginning after December 15, 2026 and in interim periods within annual reporting periods beginning after December 15, 2027. The impact of adoption of this ASU on our disclosures is currently being evaluated.</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The OBBBA makes permanent key elements of the Tax Cuts and Jobs Act of 2017, including 100% bonus depreciation, domestic research cost expensing and the business interest expense limitation, among other tax changes. Many of the tax provisions of the OBBBA are designed to accelerate tax deductions, which could lead to lower cash tax payments. The new legislation has multiple effective dates, with certain provisions effective in 2025 and others in the future. While we continue to assess the impact of the tax provisions of the OBBBA on our consolidated financial statements, we currently believe that the tax provisions of the legislation are not expected to have a material impact on our statement of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Balance Sheet Details</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Prepaid and Other Current Assets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320" w:type="dxa"/>
            <w:vAlign w:val="bottom"/>
            <w:shd w:val="clear" w:color="auto" w:fill="CFF0FC"/>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176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w:t>
            </w:r>
          </w:p>
        </w:tc>
        <w:tc>
          <w:tcPr>
            <w:tcW w:w="1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costs</w:t>
            </w:r>
          </w:p>
        </w:tc>
        <w:tc>
          <w:tcPr>
            <w:tcW w:w="1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132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274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-170815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we had no property and equipment, net. Property and equipment, net consisted of the following as of June 30, 2024, in thousands:</w:t>
      </w:r>
    </w:p>
    <w:p>
      <w:pPr>
        <w:spacing w:after="0" w:line="50"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8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r>
      <w:tr>
        <w:trPr>
          <w:trHeight w:val="216"/>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accumulated depreciation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(1,764)</w:t>
            </w:r>
          </w:p>
        </w:tc>
      </w:tr>
      <w:tr>
        <w:trPr>
          <w:trHeight w:val="249"/>
        </w:trPr>
        <w:tc>
          <w:tcPr>
            <w:tcW w:w="8320" w:type="dxa"/>
            <w:vAlign w:val="bottom"/>
            <w:tcBorders>
              <w:top w:val="single" w:sz="8" w:color="CFF0FC"/>
            </w:tcBorders>
          </w:tcPr>
          <w:p>
            <w:pPr>
              <w:ind w:left="300"/>
              <w:spacing w:after="0" w:line="249"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4"/>
                <w:szCs w:val="24"/>
                <w:color w:val="auto"/>
                <w:vertAlign w:val="superscript"/>
              </w:rPr>
              <w:t>(2)</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FF0FC"/>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-170180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10712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7124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10712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20"/>
          <w:szCs w:val="20"/>
          <w:color w:val="auto"/>
        </w:rPr>
        <w:t>_____</w:t>
      </w:r>
    </w:p>
    <w:p>
      <w:pPr>
        <w:spacing w:after="0" w:line="5" w:lineRule="exact"/>
        <w:rPr>
          <w:sz w:val="20"/>
          <w:szCs w:val="20"/>
          <w:color w:val="auto"/>
        </w:rPr>
      </w:pPr>
    </w:p>
    <w:p>
      <w:pPr>
        <w:ind w:left="980" w:hanging="223"/>
        <w:spacing w:after="0"/>
        <w:tabs>
          <w:tab w:leader="none" w:pos="9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impairment charge of $0.5 million during fiscal year 2024, see below discussion on Impact of the Agreement (as discussed in </w:t>
      </w:r>
      <w:r>
        <w:rPr>
          <w:rFonts w:ascii="Times New Roman" w:cs="Times New Roman" w:eastAsia="Times New Roman" w:hAnsi="Times New Roman"/>
          <w:sz w:val="16"/>
          <w:szCs w:val="16"/>
          <w:i w:val="1"/>
          <w:iCs w:val="1"/>
          <w:u w:val="single" w:color="auto"/>
          <w:color w:val="0000FF"/>
        </w:rPr>
        <w:t>Note 9. Leases</w:t>
      </w:r>
      <w:r>
        <w:rPr>
          <w:rFonts w:ascii="Times New Roman" w:cs="Times New Roman" w:eastAsia="Times New Roman" w:hAnsi="Times New Roman"/>
          <w:sz w:val="16"/>
          <w:szCs w:val="16"/>
          <w:color w:val="auto"/>
        </w:rPr>
        <w:t>).</w:t>
      </w:r>
    </w:p>
    <w:p>
      <w:pPr>
        <w:spacing w:after="0" w:line="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2025, upon termination of our lease, we either sold or disposed of all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-137795</wp:posOffset>
            </wp:positionV>
            <wp:extent cx="6026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2615" cy="8890"/>
                    </a:xfrm>
                    <a:prstGeom prst="rect">
                      <a:avLst/>
                    </a:prstGeom>
                    <a:noFill/>
                  </pic:spPr>
                </pic:pic>
              </a:graphicData>
            </a:graphic>
          </wp:anchor>
        </w:drawing>
      </w:r>
    </w:p>
    <w:p>
      <w:pPr>
        <w:spacing w:after="0" w:line="20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of property and equipment for the fiscal years ended June 30, 2025 and 2024 are presented in the consolidated statements of cash flows.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Impact of the Agreement (as discussed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-6350</wp:posOffset>
            </wp:positionV>
            <wp:extent cx="669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9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agreed to sell our furniture and fixtures to the landlord for $1.00 on our lease termination date of September 30, 2024. We completed an evaluation of the impact of the Agreement, as defined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color w:val="auto"/>
        </w:rPr>
        <w:t>, on the carrying value of our property and equipment (Other Long-Lived Assets). This process included evaluating the remaining estimated useful lives, significant changes in the use and potential impairment charges related to the Other Long-Lived Assets. Based upon our evaluation, we recorded an impairment charge of approximately $0.5 million for the furniture and fixtures to be sold to the landlord, which is included in the impairment of long-lived assets in the consolidated statements of operations. We also changed our estimate of the remaining useful lives of our leasehold improvements resulting in an acceleration of depreciation of approximately $0.1 million during our fiscal year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-856615</wp:posOffset>
            </wp:positionV>
            <wp:extent cx="669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-719455</wp:posOffset>
            </wp:positionV>
            <wp:extent cx="669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4"/>
                <w:szCs w:val="24"/>
                <w:color w:val="auto"/>
              </w:rPr>
            </w:pPr>
          </w:p>
        </w:tc>
      </w:tr>
      <w:tr>
        <w:trPr>
          <w:trHeight w:val="210"/>
        </w:trPr>
        <w:tc>
          <w:tcPr>
            <w:tcW w:w="6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4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Accrued compensation and benefits</w:t>
            </w:r>
            <w:r>
              <w:rPr>
                <w:rFonts w:ascii="Times New Roman" w:cs="Times New Roman" w:eastAsia="Times New Roman" w:hAnsi="Times New Roman"/>
                <w:sz w:val="24"/>
                <w:szCs w:val="24"/>
                <w:color w:val="auto"/>
                <w:vertAlign w:val="superscript"/>
              </w:rPr>
              <w:t>(1)</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Accrued reimbursement to KKC</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-156845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-10795</wp:posOffset>
            </wp:positionV>
            <wp:extent cx="2125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-127635</wp:posOffset>
            </wp:positionV>
            <wp:extent cx="2125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one-time employee benefits of approximately $0.7 million and $21,000 for the fiscal years ended June 30, 2025 and 2024, respectively.</w:t>
      </w:r>
    </w:p>
    <w:p>
      <w:pPr>
        <w:sectPr>
          <w:pgSz w:w="11900" w:h="16838" w:orient="portrait"/>
          <w:cols w:equalWidth="0" w:num="1">
            <w:col w:w="11120"/>
          </w:cols>
          <w:pgMar w:left="320" w:top="117" w:right="459" w:bottom="1440" w:gutter="0" w:footer="0" w:header="0"/>
        </w:sect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such as cash equivalents, accounts payable and accrued liabilities approximate fair value due to the short-term nature of these instruments. We invest our excess cash in financial instruments which are readily convertible into cash, such as money market funds and U.S. government securities. Cash equivalents are classified as Level 1 as defined by the fair value hierarchy. As of June 30, 2025 and June 30, 2024, we had no assets or liabilities measured on a recurring or non-recurring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One-time Employee Termination Benefits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(prior to its sale in October 2024).</w:t>
      </w:r>
    </w:p>
    <w:p>
      <w:pPr>
        <w:spacing w:after="0" w:line="6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August 2024, we commenced the </w:t>
      </w:r>
      <w:r>
        <w:rPr>
          <w:rFonts w:ascii="Times New Roman" w:cs="Times New Roman" w:eastAsia="Times New Roman" w:hAnsi="Times New Roman"/>
          <w:sz w:val="18"/>
          <w:szCs w:val="18"/>
          <w:i w:val="1"/>
          <w:iCs w:val="1"/>
          <w:u w:val="single" w:color="auto"/>
          <w:color w:val="0000FF"/>
        </w:rPr>
        <w:t>Strategic Alternatives RIF</w:t>
      </w:r>
      <w:r>
        <w:rPr>
          <w:rFonts w:ascii="Times New Roman" w:cs="Times New Roman" w:eastAsia="Times New Roman" w:hAnsi="Times New Roman"/>
          <w:sz w:val="18"/>
          <w:szCs w:val="18"/>
          <w:color w:val="auto"/>
        </w:rPr>
        <w:t xml:space="preserve"> as discussed in our strategic alternatives announcement described in </w:t>
      </w:r>
      <w:r>
        <w:rPr>
          <w:rFonts w:ascii="Times New Roman" w:cs="Times New Roman" w:eastAsia="Times New Roman" w:hAnsi="Times New Roman"/>
          <w:sz w:val="18"/>
          <w:szCs w:val="18"/>
          <w:i w:val="1"/>
          <w:iCs w:val="1"/>
          <w:u w:val="single" w:color="auto"/>
          <w:color w:val="0000FF"/>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Description of Business and Basis of Presentation</w:t>
      </w:r>
      <w:r>
        <w:rPr>
          <w:rFonts w:ascii="Times New Roman" w:cs="Times New Roman" w:eastAsia="Times New Roman" w:hAnsi="Times New Roman"/>
          <w:sz w:val="18"/>
          <w:szCs w:val="18"/>
          <w:color w:val="000000"/>
        </w:rPr>
        <w:t>. Including contractual pro-rata bonuses, we expect to incur charges not to exceed a total of $6.7 million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 xml:space="preserve">in retentions, severance and COBRA costs related to the termination of our employees due to our related wind down activities. The charges that we expect to incur in connection with the </w:t>
      </w:r>
      <w:r>
        <w:rPr>
          <w:rFonts w:ascii="Times New Roman" w:cs="Times New Roman" w:eastAsia="Times New Roman" w:hAnsi="Times New Roman"/>
          <w:sz w:val="18"/>
          <w:szCs w:val="18"/>
          <w:i w:val="1"/>
          <w:iCs w:val="1"/>
          <w:u w:val="single" w:color="auto"/>
          <w:color w:val="0000FF"/>
        </w:rPr>
        <w:t>Strategic Alternatives RIF</w:t>
      </w:r>
      <w:r>
        <w:rPr>
          <w:rFonts w:ascii="Times New Roman" w:cs="Times New Roman" w:eastAsia="Times New Roman" w:hAnsi="Times New Roman"/>
          <w:sz w:val="18"/>
          <w:szCs w:val="18"/>
          <w:color w:val="000000"/>
        </w:rPr>
        <w:t xml:space="preserve"> are subject to a number of assumptions and actual results may differ materially. We may also incur additional costs not currently contemplated due to events that may occur as a result of, or that are associated with, the </w:t>
      </w:r>
      <w:r>
        <w:rPr>
          <w:rFonts w:ascii="Times New Roman" w:cs="Times New Roman" w:eastAsia="Times New Roman" w:hAnsi="Times New Roman"/>
          <w:sz w:val="18"/>
          <w:szCs w:val="18"/>
          <w:i w:val="1"/>
          <w:iCs w:val="1"/>
          <w:u w:val="single" w:color="auto"/>
          <w:color w:val="0000FF"/>
        </w:rPr>
        <w:t>Strategic Alternatives RIF</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-581660</wp:posOffset>
            </wp:positionV>
            <wp:extent cx="9931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93140" cy="825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-581660</wp:posOffset>
            </wp:positionV>
            <wp:extent cx="3587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87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22910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91080" cy="8255"/>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-170180</wp:posOffset>
            </wp:positionV>
            <wp:extent cx="9931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93140" cy="8890"/>
                    </a:xfrm>
                    <a:prstGeom prst="rect">
                      <a:avLst/>
                    </a:prstGeom>
                    <a:noFill/>
                  </pic:spPr>
                </pic:pic>
              </a:graphicData>
            </a:graphic>
          </wp:anchor>
        </w:drawing>
        <w:drawing>
          <wp:anchor simplePos="0" relativeHeight="251657728" behindDoc="1" locked="0" layoutInCell="0" allowOverlap="1">
            <wp:simplePos x="0" y="0"/>
            <wp:positionH relativeFrom="column">
              <wp:posOffset>5665470</wp:posOffset>
            </wp:positionH>
            <wp:positionV relativeFrom="paragraph">
              <wp:posOffset>-33020</wp:posOffset>
            </wp:positionV>
            <wp:extent cx="9931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5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each of the periods presented, one-time termination benefits primarily represent severance related costs and payments. During the fiscal years ended June 30, 2025 and 2024, we recorded employee termination benefits of $1.8 million and $0.2 million within research and development expense, respectively. During the fiscal years ended June 30, 2025 and 2024, we recorded employee termination benefits of $3.9 million and $0.3 million within general and administrative expense, respectively.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activity related to one-time employee termination benefits, included in accrued liabilities,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One-time Employee Termination</w:t>
            </w:r>
          </w:p>
        </w:tc>
        <w:tc>
          <w:tcPr>
            <w:tcW w:w="0" w:type="dxa"/>
            <w:vAlign w:val="bottom"/>
          </w:tcPr>
          <w:p>
            <w:pPr>
              <w:spacing w:after="0"/>
              <w:rPr>
                <w:sz w:val="1"/>
                <w:szCs w:val="1"/>
                <w:color w:val="auto"/>
              </w:rPr>
            </w:pPr>
          </w:p>
        </w:tc>
      </w:tr>
      <w:tr>
        <w:trPr>
          <w:trHeight w:val="238"/>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540" w:type="dxa"/>
            <w:vAlign w:val="bottom"/>
          </w:tcPr>
          <w:p>
            <w:pPr>
              <w:spacing w:after="0"/>
              <w:rPr>
                <w:sz w:val="20"/>
                <w:szCs w:val="20"/>
                <w:color w:val="auto"/>
              </w:rPr>
            </w:pP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0" w:type="dxa"/>
            <w:vAlign w:val="bottom"/>
          </w:tcPr>
          <w:p>
            <w:pPr>
              <w:spacing w:after="0"/>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54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54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54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0"/>
        </w:trPr>
        <w:tc>
          <w:tcPr>
            <w:tcW w:w="7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540" w:type="dxa"/>
            <w:vAlign w:val="bottom"/>
            <w:tcBorders>
              <w:top w:val="single" w:sz="8" w:color="auto"/>
            </w:tcBorders>
            <w:shd w:val="clear" w:color="auto" w:fill="CFF0FC"/>
          </w:tcPr>
          <w:p>
            <w:pPr>
              <w:spacing w:after="0"/>
              <w:rPr>
                <w:sz w:val="18"/>
                <w:szCs w:val="18"/>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5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54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0"/>
        </w:trPr>
        <w:tc>
          <w:tcPr>
            <w:tcW w:w="7300" w:type="dxa"/>
            <w:vAlign w:val="bottom"/>
            <w:tcBorders>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5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have contracted with various consultants and third parties to assist us in pre-clinical R&amp;D and clinical trials work for our leading drug compounds and general and administrative activities. The contracts are terminable at any time but obligate us to reimburse the providers for any time or costs incurred through the date of termination. See the discussion of the sale of ME-344 within </w:t>
      </w:r>
      <w:r>
        <w:rPr>
          <w:rFonts w:ascii="Times New Roman" w:cs="Times New Roman" w:eastAsia="Times New Roman" w:hAnsi="Times New Roman"/>
          <w:sz w:val="18"/>
          <w:szCs w:val="18"/>
          <w:i w:val="1"/>
          <w:iCs w:val="1"/>
          <w:u w:val="single" w:color="auto"/>
          <w:color w:val="0000FF"/>
        </w:rPr>
        <w:t>Note 13. Disposition of a Non-financial Asset</w:t>
      </w:r>
      <w:r>
        <w:rPr>
          <w:rFonts w:ascii="Times New Roman" w:cs="Times New Roman" w:eastAsia="Times New Roman" w:hAnsi="Times New Roman"/>
          <w:sz w:val="18"/>
          <w:szCs w:val="18"/>
          <w:color w:val="auto"/>
        </w:rPr>
        <w:t xml:space="preserve"> for additional information regarding contracts associated with ME-344 assumed by the Purchaser (as defined in </w:t>
      </w:r>
      <w:r>
        <w:rPr>
          <w:rFonts w:ascii="Times New Roman" w:cs="Times New Roman" w:eastAsia="Times New Roman" w:hAnsi="Times New Roman"/>
          <w:sz w:val="18"/>
          <w:szCs w:val="18"/>
          <w:i w:val="1"/>
          <w:iCs w:val="1"/>
          <w:u w:val="single" w:color="auto"/>
          <w:color w:val="0000FF"/>
        </w:rPr>
        <w:t>Note 13. Disposition of a Non-Financial Asset</w:t>
      </w:r>
      <w:r>
        <w:rPr>
          <w:rFonts w:ascii="Times New Roman" w:cs="Times New Roman" w:eastAsia="Times New Roman" w:hAnsi="Times New Roman"/>
          <w:sz w:val="18"/>
          <w:szCs w:val="18"/>
          <w:color w:val="auto"/>
        </w:rPr>
        <w:t xml:space="preserve"> ). We also have an employment agreement with our Acting Chief Executive Officer and Chief Financial Officer that provides for severance payments and accelerated vesting for share-based awards if their employment is terminated under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-443230</wp:posOffset>
            </wp:positionV>
            <wp:extent cx="20789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789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-306070</wp:posOffset>
            </wp:positionV>
            <wp:extent cx="21164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1645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June 30, 2025,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sixth amended and restated bylaws, we have indemnification obligations to our officers and directors for certain events or occurrences, subject to certain limits, while they are</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serving in such capacity. There have been no claims to date and we have a directors and officers liability insurance policy that may enable it to recover a portion of any amounts paid for future claims.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8. Other License Agreements</w:t>
      </w:r>
      <w:r>
        <w:rPr>
          <w:rFonts w:ascii="Times New Roman" w:cs="Times New Roman" w:eastAsia="Times New Roman" w:hAnsi="Times New Roman"/>
          <w:sz w:val="18"/>
          <w:szCs w:val="18"/>
          <w:color w:val="auto"/>
        </w:rPr>
        <w:t>, we are party to a license agreement with Presage under which we may be required to make future payments upon the achievement of certain development, regulatory and commercial milestones, as well as potential future royalties based upon net sales. As of June 30, 2025, we had no accruals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-313690</wp:posOffset>
            </wp:positionV>
            <wp:extent cx="15989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9893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KKC License, Development and Commercialization Agreement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nonrefundable payment $100.0 million.</w:t>
      </w:r>
    </w:p>
    <w:p>
      <w:pPr>
        <w:spacing w:after="0" w:line="84"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In July 2023, we entered into a termination agreement with KKC to mutually terminate the KKC Commercialization Agreement and all other related agreements between the parties (Termination Agreement) and jointly decided to discontinue zandelisib development in the U.S. Prior to the execution of the Termination Agreement, KKC was responsible for the development and commercialization of zandelisib in Ex-U.S. and, subject to certain exceptions, was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6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fiscal year 2023, we updated our assessment of the total transaction price from the KKC Commercialization Agreement to reflect the upfront payment, milestone payments, estimated development cost-sharing and deferred revenue. After announcing our plan to discontinue the global development of zandelisib outside of Japan, in December 2022, we decreased our estimate for variable consideration related to development cost sharing.</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With the execution of the Termination Agreement, we regained full, global rights (subject to KKC's limited rights for compassionate use) and KKC has no further rights to develop, use or commercialize zandelisib in the U.S., nor do we have any remaining performance obligations with all consideration received from KKC being nonrefundable. Therefore, the remaining long-term deferred revenue as of June 30, 2023, of $64.5 million, that was allocated to the U.S. License obligation accounted for under Topic 808 at inception of the KKC Commercialization Agreement was recognized as revenue from collaboration agreements in the three months ended September 30, 2023, utilizing contract termination analogous to guidance provided in Topic 606.</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$64.5 million transaction price allocated to the U.S. License obligation accounted for under Topic 808 was included as noncurrent deferred revenue as of June 30, 2023. As of June 30, 2023, we also had deferred revenue of approximately $0.3 million related to the transaction price allocated to the Development Services performance obligations and recognized the remaining revenue based on the proportional performance of these development activities. The KKC Agreement was terminated on July 14, 2023 and all remaining amounts of deferred revenue were recognized during the fiscal year ended June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Other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Biosciences, Inc. (Presage). Under the terms of the license agreement, Presage granted to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tiered percentage (which decreases as product development progresses) of amounts received from such sublicensees. During the fiscal years ended June 30, 2025 and 2024, we made no payments under the Presage license agreement.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BeiGene Collaboration</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 With the discontinuation of the zandelisib program outside of Japan, this clinical collaboration was terminated on September 28, 2023. During the fiscal year ended June 30, 2025, we did not recognize cost reimbursements as a reduction of research and development expenses. Cost reimbursements recorded as a reduction of research and development expenses, in the consolidated statements of operations, during the fiscal year ended June 30, 2024, was approximately $0.1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lease agreement for approximately 32,800 square feet of office space in San Diego, California. The lease agreement contained rent escalations over the lease term and was originally scheduled to expire in March 2028. We accounted for the lease agreement as an operating lease. The lease agreement contained an option to renew and extend the lease term, which was not included in the determination of the ROU asset and operating lease liability, as it was not reasonably certain to be exercised. In July 2022, we amended the lease to extend the lease termination date from March 2028 to November 30, 2029 and to add an additional 12,300 square feet of office space adjacent to our current office in San Diego (the Amended Lease). Upon commencement of the Amended Lease, we recognized an additional ROU asset and a corresponding operating lease liability of $4.3 million. The Amended Lease includes variable non-lease components (e.g., common area maintenance, maintenance, etc.) that are not included in the ROU asset and operating lease liability and are reflected as an expense in the period incurred as a component of the lease cost.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Termination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June 18, 2024 (the Agreement Date), we entered into a lease termination agreement (Agreement) with our landlord pursuant to which the parties agreed to terminate, as of September 30, 2024, the lease for our existing office space. The original (as amended) scheduled expiration date was November 30, 2029. As consideration for the Agreement, we agreed to pay the landlord a termination fee of approximately $11.1 million (the Termination Fee) and to prepay the remaining rent due under the Agreement in the amount of approximately $0.2 million (the Remaining Rent) and sell all the furniture and fixtures to the landlord for $1.00 (see </w:t>
      </w:r>
      <w:r>
        <w:rPr>
          <w:rFonts w:ascii="Times New Roman" w:cs="Times New Roman" w:eastAsia="Times New Roman" w:hAnsi="Times New Roman"/>
          <w:sz w:val="18"/>
          <w:szCs w:val="18"/>
          <w:i w:val="1"/>
          <w:iCs w:val="1"/>
          <w:u w:val="single" w:color="auto"/>
          <w:color w:val="0000FF"/>
        </w:rPr>
        <w:t>Property and Equipment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u w:val="single" w:color="auto"/>
          <w:color w:val="0000FF"/>
        </w:rPr>
        <w:t>Note 3. Balance Sheet Details</w:t>
      </w:r>
      <w:r>
        <w:rPr>
          <w:rFonts w:ascii="Times New Roman" w:cs="Times New Roman" w:eastAsia="Times New Roman" w:hAnsi="Times New Roman"/>
          <w:sz w:val="18"/>
          <w:szCs w:val="18"/>
          <w:color w:val="auto"/>
        </w:rPr>
        <w:t xml:space="preserve"> for further discussion on the impact of the Agreement on our property and equipment). During fiscal year 2025, we received our security deposit from the landlord, which was previously classified as a component of prepaid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-305435</wp:posOffset>
            </wp:positionV>
            <wp:extent cx="28460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Agreement was accounted for as a lease modification of the original contract. As a result of the Agreement, we reduced both the remaining ROU asset and lease liability by approximately $22,000, resulting in no impact to our consolidated statements of operations. We reassessed the lease classification, as of the Agreement Date, noting the current classification as an operating lease remained appropriate. Both the Termination Fee and the Remaining Rent were paid prior to June 30, 2025. Subsequent to the payment of both the Termination Fee and the Remaining Rent, our lease liability was relieved and the balance was reduced to zero.</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incurred direct costs of approximately $0.2 million in connection with the Agreement which accordingly was recorded to the ROU assets as a direct cost of modifying the Agreement. As of the Agreement Date, we determined a triggering event, in accordance with ASC 360, had occurred and therefore completed an impairment analysis on its ROU asset resulting in an impairment charge of approximately $10.4 million being recorded in our consolidated statements of operations for the fiscal year ended June 30, 2024.</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operating lease costs for the Amended Lease were as follows for the periods presented,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0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r>
      <w:tr>
        <w:trPr>
          <w:trHeight w:val="210"/>
        </w:trPr>
        <w:tc>
          <w:tcPr>
            <w:tcW w:w="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68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4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 included in operating expenses</w:t>
            </w:r>
          </w:p>
        </w:tc>
        <w:tc>
          <w:tcPr>
            <w:tcW w:w="368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2,557</w:t>
            </w:r>
          </w:p>
        </w:tc>
        <w:tc>
          <w:tcPr>
            <w:tcW w:w="560" w:type="dxa"/>
            <w:vAlign w:val="bottom"/>
          </w:tcPr>
          <w:p>
            <w:pPr>
              <w:spacing w:after="0"/>
              <w:rPr>
                <w:sz w:val="21"/>
                <w:szCs w:val="21"/>
                <w:color w:val="auto"/>
              </w:rPr>
            </w:pPr>
          </w:p>
        </w:tc>
      </w:tr>
      <w:tr>
        <w:trPr>
          <w:trHeight w:val="628"/>
        </w:trPr>
        <w:tc>
          <w:tcPr>
            <w:tcW w:w="580" w:type="dxa"/>
            <w:vAlign w:val="bottom"/>
          </w:tcPr>
          <w:p>
            <w:pPr>
              <w:spacing w:after="0"/>
              <w:rPr>
                <w:sz w:val="24"/>
                <w:szCs w:val="24"/>
                <w:color w:val="auto"/>
              </w:rPr>
            </w:pPr>
          </w:p>
        </w:tc>
        <w:tc>
          <w:tcPr>
            <w:tcW w:w="4200" w:type="dxa"/>
            <w:vAlign w:val="bottom"/>
            <w:tcBorders>
              <w:top w:val="single" w:sz="8" w:color="CFF0FC"/>
            </w:tcBorders>
          </w:tcPr>
          <w:p>
            <w:pPr>
              <w:spacing w:after="0"/>
              <w:rPr>
                <w:sz w:val="24"/>
                <w:szCs w:val="24"/>
                <w:color w:val="auto"/>
              </w:rPr>
            </w:pPr>
          </w:p>
        </w:tc>
        <w:tc>
          <w:tcPr>
            <w:tcW w:w="2460" w:type="dxa"/>
            <w:vAlign w:val="bottom"/>
            <w:tcBorders>
              <w:top w:val="single" w:sz="8" w:color="CFF0FC"/>
            </w:tcBorders>
          </w:tcPr>
          <w:p>
            <w:pPr>
              <w:jc w:val="right"/>
              <w:ind w:right="1430"/>
              <w:spacing w:after="0"/>
              <w:rPr>
                <w:sz w:val="20"/>
                <w:szCs w:val="20"/>
                <w:color w:val="auto"/>
              </w:rPr>
            </w:pPr>
            <w:r>
              <w:rPr>
                <w:rFonts w:ascii="Times New Roman" w:cs="Times New Roman" w:eastAsia="Times New Roman" w:hAnsi="Times New Roman"/>
                <w:sz w:val="18"/>
                <w:szCs w:val="18"/>
                <w:color w:val="auto"/>
              </w:rPr>
              <w:t>54</w:t>
            </w:r>
          </w:p>
        </w:tc>
        <w:tc>
          <w:tcPr>
            <w:tcW w:w="1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-933450</wp:posOffset>
            </wp:positionV>
            <wp:extent cx="59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-916305</wp:posOffset>
            </wp:positionV>
            <wp:extent cx="59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2025, we had no supplemental cash flow activity. Supplemental cash flow information related to our operating leases for the year ended June 30, 2024 was as follows, in thousands:</w:t>
      </w:r>
    </w:p>
    <w:p>
      <w:pPr>
        <w:spacing w:after="0" w:line="5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 included in the measurement</w:t>
            </w:r>
          </w:p>
        </w:tc>
        <w:tc>
          <w:tcPr>
            <w:tcW w:w="29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lease liabilities:</w:t>
            </w:r>
          </w:p>
        </w:tc>
        <w:tc>
          <w:tcPr>
            <w:tcW w:w="29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9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we had no remaining future minimum rental payments for our operating leases and the remaining ROU asset balance was $0.2 million. During fiscal year 2024, the ROU asset balance was increased by approximately $0.2 million related to direct costs associated with the Agreement. Additionally, the ROU asset balance was decreased by: (1) approximately $22,000 associated with our reassessment of the lease liability as of the Agreement date and (2) $10.4 million associated with the impairment of the ROU asset, as discussed above. As of September 30, 2024, we had vacated the facility and the leased property reverted to the landlord. In addition, the ROU asset has been fully amortized.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a shelf registration statement (February 2024 Shelf Registration Statement) that permits us to sell, from time to time, up to $100.0 million of common stock, preferred stock, warrants rights and units. The February 2024 Shelf Registration Statement was filed February 20, 2024 and declared effective February 28, 2024.</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February 20, 2024, we entered into a capital on demand sales agreement (the On Demand Sales Agreement) with JonesTrading Institution Services LLC, pursuant to which we can offer and sell shares having an aggregate offering price of up to $25.0 million (the ATM Program). As of January 2, 2024, the date used under applicable rules of the SEC to determine our public float at the commencement of the offering, one-third of our public float was equal to approximately $9.9 million. We did not offer or sell any shares of our Common Stock (as defined below) under the On Demand Sales Agreement. Effective July 21, 2025, we terminated the On Demand Sales Agreement. On July 22, 2025, we entered a new Sales Agreement (as defined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000000"/>
        </w:rPr>
        <w:t>), in conjunction with the closing of the Offering (as defined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000000"/>
        </w:rPr>
        <w:t>), see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u w:val="single" w:color="auto"/>
          <w:color w:val="0000FF"/>
        </w:rPr>
        <w:t>Entry into a New Sales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u w:val="single" w:color="auto"/>
          <w:color w:val="0000FF"/>
        </w:rPr>
        <w:t>Agreement</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discussion within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 details related to the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2757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-168275</wp:posOffset>
            </wp:positionV>
            <wp:extent cx="26206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20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4946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4665" cy="8255"/>
                    </a:xfrm>
                    <a:prstGeom prst="rect">
                      <a:avLst/>
                    </a:prstGeom>
                    <a:noFill/>
                  </pic:spPr>
                </pic:pic>
              </a:graphicData>
            </a:graphic>
          </wp:anchor>
        </w:drawing>
        <w:drawing>
          <wp:anchor simplePos="0" relativeHeight="251657728" behindDoc="1" locked="0" layoutInCell="0" allowOverlap="1">
            <wp:simplePos x="0" y="0"/>
            <wp:positionH relativeFrom="column">
              <wp:posOffset>1353820</wp:posOffset>
            </wp:positionH>
            <wp:positionV relativeFrom="paragraph">
              <wp:posOffset>-31115</wp:posOffset>
            </wp:positionV>
            <wp:extent cx="12757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59"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 discussed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between the SPA Closing date (as defined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and September 19, 2025, we issued and sold 882,924 shares of our Common Stock (as defined below) for aggregate proceeds, net of the underwriter's commission of $4.6 million, through our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-313690</wp:posOffset>
            </wp:positionV>
            <wp:extent cx="12757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571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-313690</wp:posOffset>
            </wp:positionV>
            <wp:extent cx="12757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Cooperation Agreement, among other non-financial related items, provided for a capital return to stockholders in the form of a dividend in the amount of $1.75 per share of Common Stock (as defined below) that was declared on November 6, 2023 to stockholders of record at the close of business on November 17, 2023. The total dividend of $11.7 million was paid on December 6, 2023 and was recorded as a reduction of additional paid-in capital in the consolidated statements of stockholders' equity, as we have an accumulated deficit, rather than retained earnings. Effective July 22, 2025, in conjunction with the closing of the Offering (as defined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the parties to the Cooperation Agreement mutually agreed to terminate such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-168910</wp:posOffset>
            </wp:positionV>
            <wp:extent cx="12757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Rights Agreement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(as defined below), par value $0.00000002 (each a Common Share and collectively, the Common Shares). The Rights were distributable to stockholders of record as of the close of business on October 12, 2023. The Rights and the Rights Agreement expired at the close of business on September 30, 2024. No rights were redeemed or exchanged under the Rights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520"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we have outstanding warrants to purchase 102,513 shares of our Common Stock (as defined below) issued to Torreya Partners LLC. The warrants are fully vested, exercisable at a price of $6.80 per share and expire in October 2027. During the fiscal years ended June 30, 2025 and 2024, no warrants were exercised.</w:t>
      </w:r>
    </w:p>
    <w:p>
      <w:pPr>
        <w:spacing w:after="0" w:line="66" w:lineRule="exact"/>
        <w:rPr>
          <w:sz w:val="20"/>
          <w:szCs w:val="20"/>
          <w:color w:val="auto"/>
        </w:rPr>
      </w:pPr>
    </w:p>
    <w:p>
      <w:pPr>
        <w:ind w:left="520" w:right="5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On July 22, 2025, in conjunction with the closing of the Offering (as defined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we issued the following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-186055</wp:posOffset>
            </wp:positionV>
            <wp:extent cx="12757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6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0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8"/>
                <w:szCs w:val="18"/>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Initial Exercise</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38"/>
        </w:trPr>
        <w:tc>
          <w:tcPr>
            <w:tcW w:w="2820" w:type="dxa"/>
            <w:vAlign w:val="bottom"/>
          </w:tcPr>
          <w:p>
            <w:pPr>
              <w:spacing w:after="0"/>
              <w:rPr>
                <w:sz w:val="20"/>
                <w:szCs w:val="20"/>
                <w:color w:val="auto"/>
              </w:rPr>
            </w:pPr>
          </w:p>
        </w:tc>
        <w:tc>
          <w:tcPr>
            <w:tcW w:w="2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Warrants Outstanding</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00" w:type="dxa"/>
            <w:vAlign w:val="bottom"/>
          </w:tcPr>
          <w:p>
            <w:pPr>
              <w:spacing w:after="0"/>
              <w:rPr>
                <w:sz w:val="20"/>
                <w:szCs w:val="20"/>
                <w:color w:val="auto"/>
              </w:rPr>
            </w:pPr>
          </w:p>
        </w:tc>
        <w:tc>
          <w:tcPr>
            <w:tcW w:w="1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24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Manager Warrants</w:t>
            </w:r>
          </w:p>
        </w:tc>
        <w:tc>
          <w:tcPr>
            <w:tcW w:w="2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Tranche 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584,795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18"/>
                <w:szCs w:val="18"/>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July 22, 2025</w:t>
            </w:r>
          </w:p>
        </w:tc>
        <w:tc>
          <w:tcPr>
            <w:tcW w:w="100" w:type="dxa"/>
            <w:vAlign w:val="bottom"/>
          </w:tcPr>
          <w:p>
            <w:pPr>
              <w:spacing w:after="0"/>
              <w:rPr>
                <w:sz w:val="18"/>
                <w:szCs w:val="18"/>
                <w:color w:val="auto"/>
              </w:rPr>
            </w:pPr>
          </w:p>
        </w:tc>
        <w:tc>
          <w:tcPr>
            <w:tcW w:w="24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Tranche 2</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8"/>
              </w:rPr>
              <w:t>July 22, 2025</w:t>
            </w:r>
          </w:p>
        </w:tc>
        <w:tc>
          <w:tcPr>
            <w:tcW w:w="100" w:type="dxa"/>
            <w:vAlign w:val="bottom"/>
            <w:shd w:val="clear" w:color="auto" w:fill="CFF0FC"/>
          </w:tcPr>
          <w:p>
            <w:pPr>
              <w:spacing w:after="0"/>
              <w:rPr>
                <w:sz w:val="18"/>
                <w:szCs w:val="18"/>
                <w:color w:val="auto"/>
              </w:rPr>
            </w:pPr>
          </w:p>
        </w:tc>
        <w:tc>
          <w:tcPr>
            <w:tcW w:w="24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Tranche 3</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Pr>
          <w:p>
            <w:pPr>
              <w:spacing w:after="0"/>
              <w:rPr>
                <w:sz w:val="18"/>
                <w:szCs w:val="18"/>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July 22, 2025</w:t>
            </w:r>
          </w:p>
        </w:tc>
        <w:tc>
          <w:tcPr>
            <w:tcW w:w="100" w:type="dxa"/>
            <w:vAlign w:val="bottom"/>
          </w:tcPr>
          <w:p>
            <w:pPr>
              <w:spacing w:after="0"/>
              <w:rPr>
                <w:sz w:val="18"/>
                <w:szCs w:val="18"/>
                <w:color w:val="auto"/>
              </w:rPr>
            </w:pPr>
          </w:p>
        </w:tc>
        <w:tc>
          <w:tcPr>
            <w:tcW w:w="24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Tranche 4</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292,398</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8"/>
              </w:rPr>
              <w:t>July 22, 2025</w:t>
            </w:r>
          </w:p>
        </w:tc>
        <w:tc>
          <w:tcPr>
            <w:tcW w:w="100" w:type="dxa"/>
            <w:vAlign w:val="bottom"/>
            <w:shd w:val="clear" w:color="auto" w:fill="CFF0FC"/>
          </w:tcPr>
          <w:p>
            <w:pPr>
              <w:spacing w:after="0"/>
              <w:rPr>
                <w:sz w:val="18"/>
                <w:szCs w:val="18"/>
                <w:color w:val="auto"/>
              </w:rPr>
            </w:pPr>
          </w:p>
        </w:tc>
        <w:tc>
          <w:tcPr>
            <w:tcW w:w="24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Strategic Advisor Warrants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438,597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8"/>
                <w:szCs w:val="18"/>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July 22, 2025</w:t>
            </w:r>
          </w:p>
        </w:tc>
        <w:tc>
          <w:tcPr>
            <w:tcW w:w="100" w:type="dxa"/>
            <w:vAlign w:val="bottom"/>
          </w:tcPr>
          <w:p>
            <w:pPr>
              <w:spacing w:after="0"/>
              <w:rPr>
                <w:sz w:val="18"/>
                <w:szCs w:val="18"/>
                <w:color w:val="auto"/>
              </w:rPr>
            </w:pPr>
          </w:p>
        </w:tc>
        <w:tc>
          <w:tcPr>
            <w:tcW w:w="24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July 22, 2030</w:t>
            </w:r>
          </w:p>
        </w:tc>
      </w:tr>
      <w:tr>
        <w:trPr>
          <w:trHeight w:val="216"/>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Placement Agent Warrants</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1,169,591</w:t>
            </w:r>
          </w:p>
        </w:tc>
        <w:tc>
          <w:tcPr>
            <w:tcW w:w="3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8"/>
              </w:rPr>
              <w:t>July 22, 2025</w:t>
            </w:r>
          </w:p>
        </w:tc>
        <w:tc>
          <w:tcPr>
            <w:tcW w:w="100" w:type="dxa"/>
            <w:vAlign w:val="bottom"/>
            <w:tcBorders>
              <w:bottom w:val="single" w:sz="8" w:color="CFF0FC"/>
            </w:tcBorders>
            <w:shd w:val="clear" w:color="auto" w:fill="CFF0FC"/>
          </w:tcPr>
          <w:p>
            <w:pPr>
              <w:spacing w:after="0"/>
              <w:rPr>
                <w:sz w:val="18"/>
                <w:szCs w:val="18"/>
                <w:color w:val="auto"/>
              </w:rPr>
            </w:pPr>
          </w:p>
        </w:tc>
        <w:tc>
          <w:tcPr>
            <w:tcW w:w="2440" w:type="dxa"/>
            <w:vAlign w:val="bottom"/>
            <w:tcBorders>
              <w:bottom w:val="single" w:sz="8" w:color="CFF0FC"/>
            </w:tcBorders>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July 22, 2030</w:t>
            </w: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warrants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3,070,177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-170815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Pre-Funded Warrants</w:t>
      </w:r>
    </w:p>
    <w:p>
      <w:pPr>
        <w:spacing w:after="0" w:line="115" w:lineRule="exact"/>
        <w:rPr>
          <w:sz w:val="20"/>
          <w:szCs w:val="20"/>
          <w:color w:val="auto"/>
        </w:rPr>
      </w:pPr>
    </w:p>
    <w:p>
      <w:pPr>
        <w:ind w:left="520" w:right="2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conjunction with the closing of the Offering (as defined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xml:space="preserve">), we issued 6,022,869 Pre-Funded Warrants (as defined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xml:space="preserve">) to an investor that participated in the Offering. The Pre-Funded Warrants are immediately exercisable and have an exercise price of $0.0001. In July 2025, Pre-Funded Warrants for the purchase of 2,084,509 shares of Common Stock (as defined below) were exercised for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proceeds. As of September 23, 2025, we issued 2,807,967 shares of Common Stock (as defined below) upon cashless exercises of 2,808,070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-581660</wp:posOffset>
            </wp:positionV>
            <wp:extent cx="12757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5715" cy="8890"/>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-444500</wp:posOffset>
            </wp:positionV>
            <wp:extent cx="12757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On September 24, 2025, as payment of the annual Asset-based Fee under the Asset Management Agreement, we issued to GSR, 546,348 Pre-</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Funded Warrants with an exercise price of $0.0001 per share. Subject to the limitations on exercise set forth in the warrant agreement, the Pre-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Funded Warrants may be exercised at any time until they are exercised in full.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$0.00000002 par value per share (Common Stock) and 100,000 shares of preferred stock, $0.01 par value per share.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73" w:lineRule="exact"/>
        <w:rPr>
          <w:sz w:val="20"/>
          <w:szCs w:val="20"/>
          <w:color w:val="auto"/>
        </w:rPr>
      </w:pPr>
    </w:p>
    <w:p>
      <w:pPr>
        <w:ind w:right="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 conjunction with the closing of the Offering (as defined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Subsequent Events</w:t>
      </w:r>
      <w:r>
        <w:rPr>
          <w:rFonts w:ascii="Times New Roman" w:cs="Times New Roman" w:eastAsia="Times New Roman" w:hAnsi="Times New Roman"/>
          <w:sz w:val="18"/>
          <w:szCs w:val="18"/>
          <w:color w:val="auto"/>
        </w:rPr>
        <w:t>), we issued 23,216,898 shares of Common Stock at $3.42 per share, for net cash proceeds of $92.1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-186055</wp:posOffset>
            </wp:positionV>
            <wp:extent cx="12757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June 30, 2025 and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Share-based Compensation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use equity-based compensation programs to provide long-term performance incentives for our employees. These incentives consist primarily of stock options and RSUs. In December 2008, we adopted the MEI Pharma, Inc. 2008 Stock Omnibus Equity Compensation Plan (the Omnibus Plan), as amended and restated from time to time, under which 1,850,739 shares of Common Stock are authorized for issuance. The Omnibus Plan provides for the grant of options and/or other stock-based or stock-denominated awards to our non-employee directors, officers, employees and advisors. As of June 30, 2025, there were 920,737 shares available for future grant under the Omnibus Plan.</w:t>
      </w:r>
    </w:p>
    <w:p>
      <w:pPr>
        <w:spacing w:after="0" w:line="75"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In May 2021, we adopted the 2021 Inducement Plan (Inducement Plan, together with the Omnibus Plan, the Equity Plans), under which 125,000 shares of Common Stock were authorized for issuance. On June 9, 2023 our Board approved an amendment and restatement of the Inducement Plan to increase the aggregate number of shares of Common Stock authorized for issuance by 92,000 shares.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June 30, 2025, there were 163,698 shares available for future grant under the Inducement Plan.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share-based compensation expense for all stock awards consists of the following,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r>
      <w:tr>
        <w:trPr>
          <w:trHeight w:val="209"/>
        </w:trPr>
        <w:tc>
          <w:tcPr>
            <w:tcW w:w="6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FF0FC"/>
          </w:tcPr>
          <w:p>
            <w:pPr>
              <w:spacing w:after="0"/>
              <w:rPr>
                <w:sz w:val="19"/>
                <w:szCs w:val="19"/>
                <w:color w:val="auto"/>
              </w:rPr>
            </w:pP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-25400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Stock options granted to employees vest 25% one year from the date of grant and ratably each month thereafter for a period of 36 months and expire ten years from the date of grant. Stock options granted to directors vest ratably each month for a period of 12 months from the date of grant and expire ten years from the date of grant. As of June 30, 2025, there were a total of 869,148 options outstanding of which 815,846 were granted under the Omnibus Plan and 53,302 were granted under the Inducement Plan.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our stock option activity and related data follows: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5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June 30, 2024</w:t>
            </w: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1,357,213</w:t>
            </w: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31.60</w:t>
            </w:r>
          </w:p>
        </w:tc>
        <w:tc>
          <w:tcPr>
            <w:tcW w:w="180" w:type="dxa"/>
            <w:vAlign w:val="bottom"/>
            <w:shd w:val="clear" w:color="auto" w:fill="CFF0FC"/>
          </w:tcPr>
          <w:p>
            <w:pPr>
              <w:spacing w:after="0"/>
              <w:rPr>
                <w:sz w:val="12"/>
                <w:szCs w:val="12"/>
                <w:color w:val="auto"/>
              </w:rPr>
            </w:pPr>
          </w:p>
        </w:tc>
        <w:tc>
          <w:tcPr>
            <w:tcW w:w="15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(488,065)</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25.64</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Outstanding at June 30, 2025</w:t>
            </w:r>
          </w:p>
        </w:tc>
        <w:tc>
          <w:tcPr>
            <w:tcW w:w="13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869,148</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32.90</w:t>
            </w:r>
          </w:p>
        </w:tc>
        <w:tc>
          <w:tcPr>
            <w:tcW w:w="176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28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gridSpan w:val="2"/>
            <w:shd w:val="clear" w:color="auto" w:fill="CFF0FC"/>
          </w:tcPr>
          <w:p>
            <w:pPr>
              <w:ind w:left="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45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Vested and expected to vest at June 30, 2025</w:t>
            </w:r>
          </w:p>
        </w:tc>
        <w:tc>
          <w:tcPr>
            <w:tcW w:w="1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869,148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5.8</w:t>
            </w:r>
          </w:p>
        </w:tc>
        <w:tc>
          <w:tcPr>
            <w:tcW w:w="2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-145415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-128270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aggregate intrinsic value of outstanding options is calculated as the difference between the exercise price of the underlying options and the closing price of our Common Stock of $2.47 on that date.</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stock options totaled $0.1 million as of June 30, 2025. Such compensation expense is expected to be recognized over a weighted-average period of 1.17 years. As of June 30, 2025, we expect all outstanding options to vest.</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use a Black-Scholes valuation model to estimate the grant date fair value of stock options. During the year ended June 30, 2025, we did not grant any stock options. During the fiscal year ended June 30, 2024, the following weighted-average assumptions were used to calculate these fair values: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98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49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49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5.20</w:t>
            </w:r>
          </w:p>
        </w:tc>
        <w:tc>
          <w:tcPr>
            <w:tcW w:w="56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80" w:type="dxa"/>
            <w:vAlign w:val="bottom"/>
          </w:tcPr>
          <w:p>
            <w:pPr>
              <w:jc w:val="right"/>
              <w:ind w:right="3630"/>
              <w:spacing w:after="0"/>
              <w:rPr>
                <w:sz w:val="20"/>
                <w:szCs w:val="20"/>
                <w:color w:val="auto"/>
              </w:rPr>
            </w:pPr>
            <w:r>
              <w:rPr>
                <w:rFonts w:ascii="Times New Roman" w:cs="Times New Roman" w:eastAsia="Times New Roman" w:hAnsi="Times New Roman"/>
                <w:sz w:val="18"/>
                <w:szCs w:val="18"/>
                <w:color w:val="auto"/>
              </w:rPr>
              <w:t>57</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regularly evaluated by the CODM, which is our Acting Chief Executive Officer and Chief Financial Officer, in deciding how to allocate resources and assess performance. Our CODM evaluates our financial information including year over year profit and loss comparisons and cash projections on an aggregate basis when assessing performance for allocating financial and personnel resources. We are not organized by market and are managed and operated as one business.</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identify our operating segments based on our business activities. We operate within a single operating segment, the development of pharmaceutical products. During fiscal 2025, we did not generate any revenue. During fiscal 2024, all revenues were generated in the United States. Our administrative functions including finance, business development and information systems, support the development of pharmaceutical products segment. We operate in one geographic area, the United States. The CODM allocates resources (inclusive of both capital and personnel) based upon our net loss, which is utilized to monitor year over year variances on a quarterly basis.</w:t>
      </w:r>
    </w:p>
    <w:p>
      <w:pPr>
        <w:spacing w:after="0" w:line="181"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accounting policies of the development of pharmaceutical products segment are the same as those described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Accounting Policies</w:t>
      </w:r>
      <w:r>
        <w:rPr>
          <w:rFonts w:ascii="Times New Roman" w:cs="Times New Roman" w:eastAsia="Times New Roman" w:hAnsi="Times New Roman"/>
          <w:sz w:val="18"/>
          <w:szCs w:val="18"/>
          <w:color w:val="000000"/>
        </w:rPr>
        <w:t>. All our assets are in the United States. The measure of segment assets is reported on the balance sheets as total assets. We do not have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intra-entity sales or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5617210</wp:posOffset>
            </wp:positionH>
            <wp:positionV relativeFrom="paragraph">
              <wp:posOffset>-313690</wp:posOffset>
            </wp:positionV>
            <wp:extent cx="14662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62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9169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5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years ended, June 30, 2025 and 2024, we had no transactions denominated in foreign currencies nor any intangible property for which we recognized amortization expense. During the years ended June 30, 2025 and 2024, we did recognize depreciation expense which we have included in "other expenses" within the table below. Depreciation expense is reported in our statements of cash flows and is expected to be zero during fiscal 2026. Non-cash expenses such as depreciating assets and share-based compensation are not part of the CODM's evaluation or decision-making process.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financial data for the development of pharmaceutical products segment: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r>
      <w:tr>
        <w:trPr>
          <w:trHeight w:val="209"/>
        </w:trPr>
        <w:tc>
          <w:tcPr>
            <w:tcW w:w="69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9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00" w:type="dxa"/>
            <w:vAlign w:val="bottom"/>
            <w:shd w:val="clear" w:color="auto" w:fill="CFF0FF"/>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Operating and other (income) expense</w:t>
            </w:r>
          </w:p>
        </w:tc>
        <w:tc>
          <w:tcPr>
            <w:tcW w:w="120" w:type="dxa"/>
            <w:vAlign w:val="bottom"/>
            <w:shd w:val="clear" w:color="auto" w:fill="CFF0FF"/>
          </w:tcPr>
          <w:p>
            <w:pPr>
              <w:spacing w:after="0"/>
              <w:rPr>
                <w:sz w:val="18"/>
                <w:szCs w:val="18"/>
                <w:color w:val="auto"/>
              </w:rPr>
            </w:pPr>
          </w:p>
        </w:tc>
        <w:tc>
          <w:tcPr>
            <w:tcW w:w="1280" w:type="dxa"/>
            <w:vAlign w:val="bottom"/>
            <w:shd w:val="clear" w:color="auto" w:fill="CFF0FF"/>
          </w:tcPr>
          <w:p>
            <w:pPr>
              <w:spacing w:after="0"/>
              <w:rPr>
                <w:sz w:val="18"/>
                <w:szCs w:val="18"/>
                <w:color w:val="auto"/>
              </w:rPr>
            </w:pPr>
          </w:p>
        </w:tc>
        <w:tc>
          <w:tcPr>
            <w:tcW w:w="1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10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expenses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100" w:type="dxa"/>
            <w:vAlign w:val="bottom"/>
          </w:tcPr>
          <w:p>
            <w:pPr>
              <w:spacing w:after="0"/>
              <w:rPr>
                <w:sz w:val="18"/>
                <w:szCs w:val="18"/>
                <w:color w:val="auto"/>
              </w:rPr>
            </w:pPr>
          </w:p>
        </w:tc>
      </w:tr>
      <w:tr>
        <w:trPr>
          <w:trHeight w:val="216"/>
        </w:trPr>
        <w:tc>
          <w:tcPr>
            <w:tcW w:w="6940" w:type="dxa"/>
            <w:vAlign w:val="bottom"/>
            <w:shd w:val="clear" w:color="auto" w:fill="CFF0FF"/>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F"/>
          </w:tcPr>
          <w:p>
            <w:pPr>
              <w:spacing w:after="0"/>
              <w:rPr>
                <w:sz w:val="18"/>
                <w:szCs w:val="18"/>
                <w:color w:val="auto"/>
              </w:rPr>
            </w:pPr>
          </w:p>
        </w:tc>
        <w:tc>
          <w:tcPr>
            <w:tcW w:w="12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shd w:val="clear" w:color="auto" w:fill="CFF0FF"/>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18"/>
                <w:szCs w:val="18"/>
                <w:color w:val="auto"/>
              </w:rPr>
            </w:pPr>
          </w:p>
        </w:tc>
      </w:tr>
      <w:tr>
        <w:trPr>
          <w:trHeight w:val="216"/>
        </w:trPr>
        <w:tc>
          <w:tcPr>
            <w:tcW w:w="694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Legal fees</w:t>
            </w:r>
          </w:p>
        </w:tc>
        <w:tc>
          <w:tcPr>
            <w:tcW w:w="120" w:type="dxa"/>
            <w:vAlign w:val="bottom"/>
            <w:shd w:val="clear" w:color="auto" w:fill="CFF0FF"/>
          </w:tcPr>
          <w:p>
            <w:pPr>
              <w:spacing w:after="0"/>
              <w:rPr>
                <w:sz w:val="18"/>
                <w:szCs w:val="18"/>
                <w:color w:val="auto"/>
              </w:rPr>
            </w:pPr>
          </w:p>
        </w:tc>
        <w:tc>
          <w:tcPr>
            <w:tcW w:w="12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shd w:val="clear" w:color="auto" w:fill="CFF0FF"/>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tcPr>
          <w:p>
            <w:pPr>
              <w:spacing w:after="0"/>
              <w:rPr>
                <w:sz w:val="18"/>
                <w:szCs w:val="18"/>
                <w:color w:val="auto"/>
              </w:rPr>
            </w:pPr>
          </w:p>
        </w:tc>
      </w:tr>
      <w:tr>
        <w:trPr>
          <w:trHeight w:val="216"/>
        </w:trPr>
        <w:tc>
          <w:tcPr>
            <w:tcW w:w="694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Fees paid on behalf of a related party</w:t>
            </w:r>
          </w:p>
        </w:tc>
        <w:tc>
          <w:tcPr>
            <w:tcW w:w="120" w:type="dxa"/>
            <w:vAlign w:val="bottom"/>
            <w:shd w:val="clear" w:color="auto" w:fill="CFF0FF"/>
          </w:tcPr>
          <w:p>
            <w:pPr>
              <w:spacing w:after="0"/>
              <w:rPr>
                <w:sz w:val="18"/>
                <w:szCs w:val="18"/>
                <w:color w:val="auto"/>
              </w:rPr>
            </w:pPr>
          </w:p>
        </w:tc>
        <w:tc>
          <w:tcPr>
            <w:tcW w:w="1440" w:type="dxa"/>
            <w:vAlign w:val="bottom"/>
            <w:gridSpan w:val="2"/>
            <w:shd w:val="clear" w:color="auto" w:fill="CFF0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FF0FF"/>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voruciclib</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18"/>
                <w:szCs w:val="18"/>
                <w:color w:val="auto"/>
              </w:rPr>
            </w:pPr>
          </w:p>
        </w:tc>
      </w:tr>
      <w:tr>
        <w:trPr>
          <w:trHeight w:val="216"/>
        </w:trPr>
        <w:tc>
          <w:tcPr>
            <w:tcW w:w="694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ME-344</w:t>
            </w:r>
          </w:p>
        </w:tc>
        <w:tc>
          <w:tcPr>
            <w:tcW w:w="120" w:type="dxa"/>
            <w:vAlign w:val="bottom"/>
            <w:shd w:val="clear" w:color="auto" w:fill="CFF0FF"/>
          </w:tcPr>
          <w:p>
            <w:pPr>
              <w:spacing w:after="0"/>
              <w:rPr>
                <w:sz w:val="18"/>
                <w:szCs w:val="18"/>
                <w:color w:val="auto"/>
              </w:rPr>
            </w:pPr>
          </w:p>
        </w:tc>
        <w:tc>
          <w:tcPr>
            <w:tcW w:w="12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FF0FF"/>
          </w:tcPr>
          <w:p>
            <w:pPr>
              <w:spacing w:after="0"/>
              <w:rPr>
                <w:sz w:val="18"/>
                <w:szCs w:val="18"/>
                <w:color w:val="auto"/>
              </w:rPr>
            </w:pPr>
          </w:p>
        </w:tc>
        <w:tc>
          <w:tcPr>
            <w:tcW w:w="10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shd w:val="clear" w:color="auto" w:fill="CFF0FF"/>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 non-financial asset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FF0FF"/>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shd w:val="clear" w:color="auto" w:fill="CFF0FF"/>
          </w:tcPr>
          <w:p>
            <w:pPr>
              <w:spacing w:after="0"/>
              <w:rPr>
                <w:sz w:val="18"/>
                <w:szCs w:val="18"/>
                <w:color w:val="auto"/>
              </w:rPr>
            </w:pPr>
          </w:p>
        </w:tc>
        <w:tc>
          <w:tcPr>
            <w:tcW w:w="144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FF0FF"/>
          </w:tcPr>
          <w:p>
            <w:pPr>
              <w:spacing w:after="0"/>
              <w:rPr>
                <w:sz w:val="18"/>
                <w:szCs w:val="18"/>
                <w:color w:val="auto"/>
              </w:rPr>
            </w:pPr>
          </w:p>
        </w:tc>
        <w:tc>
          <w:tcPr>
            <w:tcW w:w="300" w:type="dxa"/>
            <w:vAlign w:val="bottom"/>
            <w:shd w:val="clear" w:color="auto" w:fill="CFF0FF"/>
          </w:tcPr>
          <w:p>
            <w:pPr>
              <w:spacing w:after="0"/>
              <w:rPr>
                <w:sz w:val="18"/>
                <w:szCs w:val="18"/>
                <w:color w:val="auto"/>
              </w:rPr>
            </w:pPr>
          </w:p>
        </w:tc>
        <w:tc>
          <w:tcPr>
            <w:tcW w:w="1200" w:type="dxa"/>
            <w:vAlign w:val="bottom"/>
            <w:gridSpan w:val="2"/>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(3,277)</w:t>
            </w:r>
          </w:p>
        </w:tc>
      </w:tr>
      <w:tr>
        <w:trPr>
          <w:trHeight w:val="209"/>
        </w:trPr>
        <w:tc>
          <w:tcPr>
            <w:tcW w:w="6940" w:type="dxa"/>
            <w:vAlign w:val="bottom"/>
            <w:tcBorders>
              <w:top w:val="single" w:sz="8" w:color="CFF0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and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60" w:type="dxa"/>
            <w:vAlign w:val="bottom"/>
            <w:tcBorders>
              <w:top w:val="single" w:sz="8" w:color="CFF0FF"/>
            </w:tcBorders>
          </w:tcPr>
          <w:p>
            <w:pPr>
              <w:spacing w:after="0"/>
              <w:rPr>
                <w:sz w:val="18"/>
                <w:szCs w:val="18"/>
                <w:color w:val="auto"/>
              </w:rPr>
            </w:pPr>
          </w:p>
        </w:tc>
        <w:tc>
          <w:tcPr>
            <w:tcW w:w="100" w:type="dxa"/>
            <w:vAlign w:val="bottom"/>
            <w:tcBorders>
              <w:top w:val="single" w:sz="8" w:color="CFF0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47,519</w:t>
            </w:r>
          </w:p>
        </w:tc>
        <w:tc>
          <w:tcPr>
            <w:tcW w:w="100" w:type="dxa"/>
            <w:vAlign w:val="bottom"/>
            <w:tcBorders>
              <w:top w:val="single" w:sz="8" w:color="CFF0FF"/>
            </w:tcBorders>
          </w:tcPr>
          <w:p>
            <w:pPr>
              <w:spacing w:after="0"/>
              <w:rPr>
                <w:sz w:val="18"/>
                <w:szCs w:val="18"/>
                <w:color w:val="auto"/>
              </w:rPr>
            </w:pPr>
          </w:p>
        </w:tc>
      </w:tr>
      <w:tr>
        <w:trPr>
          <w:trHeight w:val="250"/>
        </w:trPr>
        <w:tc>
          <w:tcPr>
            <w:tcW w:w="6940" w:type="dxa"/>
            <w:vAlign w:val="bottom"/>
            <w:shd w:val="clear" w:color="auto" w:fill="CFF0FF"/>
          </w:tcPr>
          <w:p>
            <w:pPr>
              <w:spacing w:after="0"/>
              <w:rPr>
                <w:sz w:val="20"/>
                <w:szCs w:val="20"/>
                <w:color w:val="auto"/>
              </w:rPr>
            </w:pPr>
            <w:r>
              <w:rPr>
                <w:rFonts w:ascii="Times New Roman" w:cs="Times New Roman" w:eastAsia="Times New Roman" w:hAnsi="Times New Roman"/>
                <w:sz w:val="18"/>
                <w:szCs w:val="18"/>
                <w:color w:val="auto"/>
              </w:rPr>
              <w:t>Total segment costs (loss) income and net (loss) income</w:t>
            </w:r>
          </w:p>
        </w:tc>
        <w:tc>
          <w:tcPr>
            <w:tcW w:w="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F"/>
          </w:tcPr>
          <w:p>
            <w:pPr>
              <w:jc w:val="right"/>
              <w:ind w:right="100"/>
              <w:spacing w:after="0"/>
              <w:rPr>
                <w:sz w:val="20"/>
                <w:szCs w:val="20"/>
                <w:color w:val="auto"/>
              </w:rPr>
            </w:pPr>
            <w:r>
              <w:rPr>
                <w:rFonts w:ascii="Times New Roman" w:cs="Times New Roman" w:eastAsia="Times New Roman" w:hAnsi="Times New Roman"/>
                <w:sz w:val="18"/>
                <w:szCs w:val="18"/>
                <w:color w:val="auto"/>
              </w:rPr>
              <w:t>(15,945)</w:t>
            </w:r>
          </w:p>
        </w:tc>
        <w:tc>
          <w:tcPr>
            <w:tcW w:w="400" w:type="dxa"/>
            <w:vAlign w:val="bottom"/>
            <w:gridSpan w:val="2"/>
            <w:shd w:val="clear" w:color="auto" w:fill="CFF0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00" w:type="dxa"/>
            <w:vAlign w:val="bottom"/>
            <w:shd w:val="clear" w:color="auto" w:fill="CFF0FF"/>
          </w:tcPr>
          <w:p>
            <w:pPr>
              <w:spacing w:after="0"/>
              <w:rPr>
                <w:sz w:val="21"/>
                <w:szCs w:val="21"/>
                <w:color w:val="auto"/>
              </w:rPr>
            </w:pPr>
          </w:p>
        </w:tc>
      </w:tr>
      <w:tr>
        <w:trPr>
          <w:trHeight w:val="201"/>
        </w:trPr>
        <w:tc>
          <w:tcPr>
            <w:tcW w:w="6940" w:type="dxa"/>
            <w:vAlign w:val="bottom"/>
            <w:tcBorders>
              <w:top w:val="single" w:sz="8" w:color="CFF0FF"/>
            </w:tcBorders>
          </w:tcPr>
          <w:p>
            <w:pPr>
              <w:ind w:left="180"/>
              <w:spacing w:after="0" w:line="201" w:lineRule="exact"/>
              <w:rPr>
                <w:sz w:val="20"/>
                <w:szCs w:val="20"/>
                <w:color w:val="auto"/>
              </w:rPr>
            </w:pPr>
            <w:r>
              <w:rPr>
                <w:rFonts w:ascii="Times New Roman" w:cs="Times New Roman" w:eastAsia="Times New Roman" w:hAnsi="Times New Roman"/>
                <w:sz w:val="18"/>
                <w:szCs w:val="18"/>
                <w:color w:val="auto"/>
              </w:rPr>
              <w:t>________</w:t>
            </w: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F"/>
            </w:tcBorders>
          </w:tcPr>
          <w:p>
            <w:pPr>
              <w:spacing w:after="0"/>
              <w:rPr>
                <w:sz w:val="17"/>
                <w:szCs w:val="17"/>
                <w:color w:val="auto"/>
              </w:rPr>
            </w:pPr>
          </w:p>
        </w:tc>
        <w:tc>
          <w:tcPr>
            <w:tcW w:w="100" w:type="dxa"/>
            <w:vAlign w:val="bottom"/>
            <w:tcBorders>
              <w:top w:val="single" w:sz="8" w:color="CFF0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F"/>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-456565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-456565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-165100</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-147955</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-165100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-147955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960" w:right="180" w:hanging="203"/>
        <w:spacing w:after="0" w:line="275" w:lineRule="auto"/>
        <w:tabs>
          <w:tab w:leader="none" w:pos="9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product development costs associated with zandelisib determined to be immaterial for both periods presented, occupancy costs (including rent and utilities), share-based compensation costs, depreciation expense, administrative costs, travel and business taxes.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Disposition of a Non-Financial Asset</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October 22, 2024 (the Closing Date), we and Aardvark Therapeutics, Inc. (the Purchaser), entered into an Asset Purchase Agreement (the Asset Purchase Agreement), whereby we sold to the Purchaser our rights, title and interest in and to certain assets related to ME-344, including relevant intellectual property rights, technology and contracts (the ME-344 Sale). Pursuant to the Asset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Purchase Agreement, the Purchaser paid us an initial payment of $0.5 million in cash plus a reimbursement amount of $55,000 at the closing of the transaction. The Purchaser may also make future milestone payments up to $62.0 million after the Closing Date, payable upon the achievement of certain regulatory and revenue milestones. The Purchaser also assumed certain of our liabilities after the Closing Date, including liabilities arising under the contracts transferred under the Asset Purchase Agreement. During the fiscal year ended June 30, 2025, no milestone were met.</w:t>
      </w:r>
    </w:p>
    <w:p>
      <w:pPr>
        <w:spacing w:after="0" w:line="180"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ME-344 Sale did not trigger a discontinued operation as the intellectual property sold did not represent a component of our business. Additionally, we concluded the ME-344 Sale met all the criteria to be derecognized on the Closing Date. Variable consideration, such as future potential regulatory and revenue milestones have been fully constrained. As such, as of the Closing Date and December 31, 2024, we determined the transaction price to be the initial payment of $0.5 million. Accordingly, we recognized a gain, upon satisfaction of our obligations under the Asset Purchase Agreement, of $0.5 million as a separate component of other income (expense), net in the consolidated statements of operations. The $55,000 reimbursement by the Purchaser represented work performed at the Purchaser's request prior to the Closing Date, which they agreed to reimburse. The reimbursement did not represent a liability assumed or relieved by the Purchaser and was, therefore, not included in the calculation of the gain on the disposition of the ME-344 asset. The $55,000 reimbursement was recognized as contra research and development expense in accordance with our reimbursement policy for pass through services.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Pre-tax loss consists of the following jurisdictions, in thousands: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r>
      <w:tr>
        <w:trPr>
          <w:trHeight w:val="142"/>
        </w:trPr>
        <w:tc>
          <w:tcPr>
            <w:tcW w:w="4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(15,945)</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17,778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(loss) income</w:t>
            </w:r>
          </w:p>
        </w:tc>
        <w:tc>
          <w:tcPr>
            <w:tcW w:w="2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(15,945)</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17,778</w:t>
            </w: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2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rates to income tax expense is as follows, in thousands:</w:t>
      </w:r>
    </w:p>
    <w:p>
      <w:pPr>
        <w:spacing w:after="0" w:line="11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(benefit) expense at U.S. statutory rates</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(3,349)</w:t>
            </w:r>
          </w:p>
        </w:tc>
        <w:tc>
          <w:tcPr>
            <w:tcW w:w="280" w:type="dxa"/>
            <w:vAlign w:val="bottom"/>
            <w:shd w:val="clear" w:color="auto" w:fill="CFF0FC"/>
          </w:tcPr>
          <w:p>
            <w:pPr>
              <w:spacing w:after="0"/>
              <w:rPr>
                <w:sz w:val="18"/>
                <w:szCs w:val="18"/>
                <w:color w:val="auto"/>
              </w:rPr>
            </w:pPr>
          </w:p>
        </w:tc>
        <w:tc>
          <w:tcPr>
            <w:tcW w:w="16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  $</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 expense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(2,733)</w:t>
            </w: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Section 162(m) limitation</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  $</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0" w:type="dxa"/>
            <w:vAlign w:val="bottom"/>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78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w w:val="99"/>
              </w:rPr>
              <w:t>Deferred tax liabilities and assets are comprised of the following, in thousands: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6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42"/>
        </w:trPr>
        <w:tc>
          <w:tcPr>
            <w:tcW w:w="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45,721</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Capitalization of R&amp;D costs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11,456</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and intangible assets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8,058</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payments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69,918</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(73,700)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(69,918)</w:t>
            </w:r>
          </w:p>
        </w:tc>
      </w:tr>
      <w:tr>
        <w:trPr>
          <w:trHeight w:val="20"/>
        </w:trPr>
        <w:tc>
          <w:tcPr>
            <w:tcW w:w="60" w:type="dxa"/>
            <w:vAlign w:val="bottom"/>
          </w:tcPr>
          <w:p>
            <w:pPr>
              <w:spacing w:after="0" w:line="20" w:lineRule="exact"/>
              <w:rPr>
                <w:sz w:val="1"/>
                <w:szCs w:val="1"/>
                <w:color w:val="auto"/>
              </w:rPr>
            </w:pPr>
          </w:p>
        </w:tc>
        <w:tc>
          <w:tcPr>
            <w:tcW w:w="35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-1988185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-1971040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-1988185</wp:posOffset>
            </wp:positionV>
            <wp:extent cx="1454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-1971040</wp:posOffset>
            </wp:positionV>
            <wp:extent cx="1454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-1988185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-1971040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-1988185</wp:posOffset>
            </wp:positionV>
            <wp:extent cx="1460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-1971040</wp:posOffset>
            </wp:positionV>
            <wp:extent cx="1460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-453390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596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evaluate the recoverability of the deferred tax assets and the amount of the required valuation allowance. Due to the uncertainty surrounding the realization of the tax deductions in future tax returns, we have recorded a valuation allowance against our net deferred tax assets as of June 30, 2025 and 2024. At such time as it is determined that it is more likely than not that the deferred tax assets will be realized, the valuation allowance would be reduced.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had federal and state net operating loss carryforwards of approximately $246.1 million and $23.8 million as of June 30, 2025. The federal net operating loss will carry forward indefinitely subject to an 80% taxable income limitation. The state net operating loss carryforwards will begin to expire in 2031 unless previously utilized.</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may be substantially limited due to ownership changes that have occurred or that could occur in the future under Section 382 of the Internal Revenue Code (Section 382) and similar state laws. A Section 382 study was completed through December 31, 2021, to analyze whether one or more ownership changes had occurred and determined that two such ownership changes did occur. We have not completed a Section 382 study through June 30, 2025. If an ownership change occurred our ability to utilize our net operating loss carryforwards and other tax attributes to offset future taxable income or tax liabilities may be limited as a result of ownership changes.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None of our prior income tax returns have been selected for examination by a major taxing jurisdiction; however, the statutes of limitations for various filings remain open. The oldest filings subject to potential examination for federal and state purposes are 2021 and 2020, respectively. If we utilize a net operating loss related to a closed tax year, the tax year in which the loss was incurred is subject to adjustment up to the amount of the net operating loss.</w:t>
      </w:r>
    </w:p>
    <w:p>
      <w:pPr>
        <w:spacing w:after="0" w:line="7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have not reduced any tax benefit on our consolidated financial statements due to uncertain tax positions as of June 30, 2025 and we are not aware of any circumstance that would significantly change this result through the end of fiscal year 2026. To the extent we incur income-tax related penalties or interest, we will recognize them as additional income tax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Securities Purchase Agreements</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July 17, 2025, we entered into securities purchase agreements (the Securities Purchase Agreements) with certain investors (the Purchasers) pursuant to which we agreed to sell and issue to the Purchasers in a private placement offering (the Offering or the PIPE) an aggregate of (i) 23,216,898 shares of our Common Stock, at an offering price of $3.42 per share and (ii) Pre-Funded Warrants, to purchase up to an aggregate of 6,022,869 shares of Common Stock at an offering price of $3.4199 per Pre-Funded Warrant in exchange for net proceeds of $92.1 million. Each Pre-Funded Warrant is immediately exercisable for one share of Common Stock at the exercise price of $0.0001 per Pre-Funded Warrant Share and may be exercised at any time until all the Pre-Funded Warrants issued in the Offering are exercised in full. Each Purchaser’s ability to exercise its Pre-Funded Warrants in exchange for shares of Common Stock is subject to certain beneficial ownership limitations set forth therein. The Offering closed on July 22, 2025 (the SPA Closing Date). On July 24, 2025, Pre-Funded Warrants for the purchase of 2,084,509 shares of Common Stock were exercised, respectively, for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proceeds. As of September 23, 2025, we issued 2,807,967 shares of Common Stock upon cashless exercises of 2,808,070 Pre-Funded Warrants.</w:t>
      </w:r>
    </w:p>
    <w:p>
      <w:pPr>
        <w:spacing w:after="0" w:line="86"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On August 5, 2025, we announced the commencement of our primary reserve asset and implementation strategy built on a digital asset infrastructure and long-term capital innovation (a Litecoin Treasury Strategy) through our acquisition of Litecoin (LTC) tokens, reflecting the full deployment of the net proceeds of the PIPE.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Placement Agency Agreement</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17, 2025, we also entered into a Placement Agency Agreement (the Placement Agency Agreement) with Titan Partners Group LLC, a division of American Capital Partners, LLC (Titan), pursuant to which Titan agreed to serve as the exclusive placement agent for us in connection with the Offering. We agreed to pay Titan a cash fee equal to 7.0% of the aggregate gross cash proceeds received in the Offering (or $7.0 million). We also agreed to issue Titan warrants (the Placement Agent Warrants) to purchase up to 1,169,591 shares of Common Stock (equal to 4.0% of the Securities sold in the Offering) (the Placement Agent Warrant Shares), at an exercise price per share equal to $4.10, exercisable, in whole or in part, at any time and from time to time, for a period of five years from the date of issuance. In addition, we agreed to reimburse Titan for reasonable accountable expenses in an amount of $150,000, including legal fees in connection with the Offering.</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Asset Management Agreement (the Asset Management Agreement)</w:t>
      </w:r>
    </w:p>
    <w:p>
      <w:pPr>
        <w:spacing w:after="0" w:line="22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July 22, 2025, we and GSR Strategies LLC (GSR or the Asset Manager) entered into the Asset Management Agreement. The Asset Manager shall provide discretionary investment management services with respect to, among other assets, our proceeds from the Offering (the Account Assets) in accordance with the terms of the Asset Management Agreement. The Asset Manager will pursue a long-only investment strategy investing primarily in LTC. The custodians under the Asset Management Agreement will consist of Coinbase and other cryptocurrency wallet providers agreed to by us and the Asset Manager.</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shall pay the Asset Manager an asset-based fee (the Asset-based Fee) equal to 1.75% per annum of the Account Assets under management. The Asset-based Fee shall be paid in shares of Common Stock until the Asset Manager owns 4.99% of our issued</w:t>
      </w:r>
    </w:p>
    <w:p>
      <w:pPr>
        <w:sectPr>
          <w:pgSz w:w="11900" w:h="16838" w:orient="portrait"/>
          <w:cols w:equalWidth="0" w:num="1">
            <w:col w:w="11200"/>
          </w:cols>
          <w:pgMar w:left="320" w:top="117" w:right="379" w:bottom="1440" w:gutter="0" w:footer="0" w:header="0"/>
        </w:sectPr>
      </w:pP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and outstanding Common Stock and thereafter, the Asset-based Fee shall be paid in Pre-Funded Warrants (the GSR Pre-Funded Warrants) to purchase shares of Common Stock (the GSR Pre-Funded Warrant Shares). The number of shares of Common Stock or GSR Pre-Funded Warrants will be issued to be equal to the dollar amount of the Asset-based Fee being paid, divided by the average volume-weighted average price (VWAP) of the Common Stock for the 30 trading days ending with the trading day prior to the date that is the applicable 12-month anniversary of the SPA Closing Date (the Fee Reference Date).</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compensation for services rendered by the Asset Manager under the Asset Management Agreement, we issued warrants (the GSR Warrants) to the Asset Manager on the SPA Closing Date to purchase 1,461,989 shares of Common Stock (the GSR Warrant Shares) at various exercise prices per share of Common Stock as follows: (i) 584,795 shares of Common Stock at an exercise price of $3.42 per share; (ii) 292,398 shares of Common Stock at an exercise price of $3.93 per share; (iii) 292,398 shares of Common Stock at an exercise price of $4.62 per share; and (iv) 292,398 shares of Common Stock at an exercise price of $5.13 per share. The GSR Warrants are exercisable, in whole or in part, at any time for a period of five years from the date of issuance.</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Asset Management Agreement will, unless terminated earlier in accordance with its terms, remain in effect until the tenth anniversary of the date of the Asset Management Agreement. Beginning on the first anniversary of the AMA Effective Date (as defined below), the Asset Management Agreement may be terminated upon at least 90 days prior written notice to the other party (i) by us upon a determination of the Board to end the Lite Treasury Strategy, or (ii) by the Asset Manager for any reason. Additionally, the Asset Management Agreement may be terminated for cause (i) by us upon at least 30 days prior written notice to the Asset Manager or (ii) by the Asset Manager upon at least 60 days prior written notice to us.</w:t>
      </w:r>
    </w:p>
    <w:p>
      <w:pPr>
        <w:spacing w:after="0" w:line="75"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September 24, 2025, as payment of the annual Asset-based Fee under the Asset Management Agreement, we issued to GSR, 546,348 Pre-Funded Warrants with an exercise price of $0.0001 per share. Subject to the limitations on exercise set forth in the warrant agreement, the Pre-Funded Warrants may be exercised at any time until they are exercised in full.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Advisory Agreement</w:t>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July 22, 2025 (the AMA Effective Date), we also entered into an Advisory Agreement (the Advisory Agreement) with Green Dragon Investments LLC (Green Dragon). Pursuant to the Advisory Agreement, Green Dragon will provide us with asset management services with respect to the Account Assets.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shall pay Green Dragon an asset-based fee (the Annual Advisory Fee) in warrants (the Advisory Warrants) to purchase a number of shares of the Common Stock (Advisory Warrant Shares) equal to 0.75% per annum of the Account Assets for such year, as calculated in accordance with the Asset Management Agreement. The number of Advisory Warrants to be issued for any given year shall be equal to the dollar amount of the Annual Advisory Fee for such year, divided by the average VWAP of the Common Stock for the 30 trading days ending with the trading day prior to the associated Fee Reference Date. The exercise price per share of the Advisory Warrants shall be set at a price equal to $0.0001. The Advisory Warrants shall be exercisable, in whole or in part, at any time for a period of five years from the date of issuance. The Advisory Warrants issued each year shall vest in four equal installments on the Fee Reference Date on which they are issued and then the succeeding three month anniversaries thereof.</w:t>
      </w:r>
    </w:p>
    <w:p>
      <w:pPr>
        <w:spacing w:after="0" w:line="18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Advisory Agreement will, unless terminated earlier in accordance with its terms, remain in effect until the tenth anniversary of the Advisory Agreement. Either party may terminate the Advisory Agreement, with or without reason, by written notice to the other.</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Advisor Agreement</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22, 2025, we also entered into a Strategic Advisor Agreement (the Strategic Advisor Agreement) with Green Grass Ventures (GGV). Pursuant to the Strategic Advisor Agreement, GGV provides us with strategic advice and guidance relating to the private placement of equity and equity-linked securities in connection with a proposed cryptocurrency asset management strategy, as well as with the Offering. As compensation for services rendered by GGV under the Strategic Advisor Agreement, upon the closing of the Offering, we issued warrants (the Strategic Advisor Warrants) to GGV to purchase 438,597 shares of Common Stock (the Strategic Advisor Warrant Shares). The exercise price per share of the Strategic Advisor Warrants is equal to $4.10. The Warrants shall be exercisable, in whole or in part, at any time for a period of five years from the date of issuance. The Strategic Advisor Agreement terminated in accordance with its terms on the SPA Closing Date.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Termination of the Cooperation Agreement</w:t>
      </w:r>
    </w:p>
    <w:p>
      <w:pPr>
        <w:spacing w:after="0" w:line="22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Effective July 22, 2025, upon closing of the Offering, the parties to the Cooperation Agreement mutually agreed to terminate such Cooperation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Board of Directors Composition</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July 22, 2025, in accordance with the certain Cooperation Agreement, Taheer Datoo and James Flynn tendered their resignations from the Board upon the Investors (as defined in the Cooperation Agreement) ceasing to own the Minimum Ownership Amount (as defined in the Cooperation Agreement). The Board accepted the resignation of Taheer Datoo and rejected the resignation of James Flynn. Upon closing of the Offering, the Board elected Charlie Lee to the Board. Mr. Lee is the creator of LTC and Director of the Litecoin Foundation.</w:t>
      </w:r>
    </w:p>
    <w:p>
      <w:pPr>
        <w:spacing w:after="0" w:line="11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On August 5, 2025, Steven D. Wood informed the Board of his decision to resign from the Board, effective immediately. On August 5, 2025, the Board elected Joshua Riezman to the Board. Mr. Riezman is Managing Director and Head of U.S. Legal and Compliance for GSR.</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Entry into a New Sales Agreement</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entered into a Sales Agreement (the Sales Agreement) with Titan (in such capacity, the Agent), pursuant to which we may sell, from time to time, at its option, up to $100.0 million in aggregate principal amount of an indeterminate amount of shares (the ATM Shares) of Common Stock, through the Agent, as our sales agent. We will pay the Agent a commission of 3.5% of the gross sales price of the ATM Shares sold pursuant to the Sales Agreement, if any.</w:t>
      </w:r>
    </w:p>
    <w:p>
      <w:pPr>
        <w:spacing w:after="0" w:line="11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ATM Shares to be offered and sold under the Sales Agreement will be issued and sold (i) by methods deemed to be an at-the-market offering as defined in Rule 415(a)(4) promulgated under the Securities Act of 1933, as amended, or in negotiated transactions, if authorized by us and (ii) pursuant to the Registration Statement on Form S-3 filed by us with the SEC on February 20, 2024 for an offering of up to $100,000,000 of various securities, including shares of our Common Stock, preferred stock, warrants, rights and/or units for sale to the public in one or more public offerings, which became effective on February 28, 2024 (the Registration Statement).</w:t>
      </w:r>
    </w:p>
    <w:p>
      <w:pPr>
        <w:spacing w:after="0" w:line="11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offering of the ATM Shares will terminate upon the earliest of (a) the issuance and sale of all of the ATM Shares by the Agent on the terms and subject to the conditions set forth in the Sales Agreement and (b) the termination of the Sales Agreement by either of the parties thereto.</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Option Grants</w:t>
      </w:r>
    </w:p>
    <w:p>
      <w:pPr>
        <w:spacing w:after="0" w:line="16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July 15, 2025, our Board approved option grants for the purchase of 124,250 options to members of our Board and employees, with an exercise price of $3.07 per share.</w:t>
      </w:r>
    </w:p>
    <w:p>
      <w:pPr>
        <w:spacing w:after="0" w:line="94" w:lineRule="exact"/>
        <w:rPr>
          <w:sz w:val="20"/>
          <w:szCs w:val="20"/>
          <w:color w:val="auto"/>
        </w:rPr>
      </w:pPr>
    </w:p>
    <w:p>
      <w:pPr>
        <w:ind w:right="160" w:firstLine="554"/>
        <w:spacing w:after="0" w:line="282" w:lineRule="auto"/>
        <w:rPr>
          <w:sz w:val="20"/>
          <w:szCs w:val="20"/>
          <w:color w:val="auto"/>
        </w:rPr>
      </w:pPr>
      <w:r>
        <w:rPr>
          <w:rFonts w:ascii="Times New Roman" w:cs="Times New Roman" w:eastAsia="Times New Roman" w:hAnsi="Times New Roman"/>
          <w:sz w:val="18"/>
          <w:szCs w:val="18"/>
          <w:color w:val="auto"/>
        </w:rPr>
        <w:t>On August 8, 2025, commensurate with Mr. Riezman's appointment to our Board, our Board approved an initial option grant for Mr. Riezman for the purchase of up to 10,000 shares of our Common Stock with an exercise price of $5.19 per share.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under our ATM Program</w:t>
      </w:r>
    </w:p>
    <w:p>
      <w:pPr>
        <w:spacing w:after="0" w:line="16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Between the SPA Closing Date and September 23, 2025, we issued and sold 882,924 shares of our Common Stock at an average selling price of $5.4484 per share for gross proceeds of $4.8 million, less underwriter's commission and expenses of approximately $0.2 million, for net proceeds of $4.6 million, through our ATM Program.</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Master Loan Agreement</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September 3, 2025, we entered into a master loan agreement (the Loan Agreement) with BitGo Prime, LLC (Lender). The Loan Agreement creates a framework under which we may borrow any digital assets or cash from Lender from time to time. Each loan is documented in a separate loan request agreed to by the parties setting for the specific terms, including principal amount, fees, collateral requirements and the date on which the loan is to commence and mature.</w:t>
      </w:r>
    </w:p>
    <w:p>
      <w:pPr>
        <w:spacing w:after="0" w:line="7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loan fee, effectively the interest rate on the borrowed amounts, is to be determined for each loan and is calculated on a daily basis at the annualized rate specified in each confirmation.</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Each loan may have a fixed term, or may include a call option or prepayment option, as specified in each loan request. In general, either party can terminate a loan by providing notice within the time frame set forth in the Loan Agreement. Upon termination, the borrowed digital assets or cash must be returned and the related collateral released.</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Borrowings under the Loan Agreement are secured by collateral in favor of the Lender. Collateral may include cash or other forms agreed upon by the Parties. The collateral’s required value is typically higher than the borrowed amount, subject to margin calls as set forth in the Loan Agreement. If the value of posted collateral falls below the margin call threshold, the Company must promptly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post additional collateral. Failure to maintain sufficient collateral can result in an event of default and remedies available to the Lender, including the right to liquidate pledged collateral.</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Loan Agreement contains representations and warranties and affirmative and negative covenants customary for financings of this type, as well as customary events of default.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As of the end of the period covered by this Annual Report, or June 30, 2025, our management, with the participation of our principal executive officer and principal financial officer, has evaluated the effectiveness of our disclosure controls and procedures as defined in Rules 13a-15(e) and 15d-15(e) under the Exchange Act as of June 30, 2025. Based on such evaluation, our principal executive officer and principal financial officer have concluded that, as of such date, our disclosure controls and procedures were effective.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consolidated financial statements for external purposes in accordance with accounting principles generally accepted in the United States of America. Management conducted an assessment of the effectiveness of our internal control over financial reporting based on the criteria set forth by the Committee of Sponsoring Organizations of the Treadway Commission in Internal Control—Integrated Framework (2013). Based on this assessment, our management concluded that, as of June 30, 2025, our internal control over financial reporting was effective based on those criteria.</w:t>
      </w:r>
    </w:p>
    <w:p>
      <w:pPr>
        <w:spacing w:after="0" w:line="6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that occurred during the quarter ended June 30, 2025, that have materially affected, or are reasonably likely to materially affect, our internal control over financial reporting.</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Our management, including our Acting Chief Executive Officer and Chief Financial Officer,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of the Exchange Act) and directors may enter into Rule 10b5-1 or non-Rule 10b5-1 trading arrangements (as each such term is defined in Item 408 of Regulation S-K). During the three months ended June 30, 2025 none of our officers or directors adopted, modified or terminated any contract, instruction or written plan for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purchase or sale of our securities that was intended to satisfy the affirmative defense conditions of Rule 10b5-1(c) or any non-Rule 10b5-1 trading arrangement.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17" w:right="10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Set forth below are the names, ages and certain biographical information as of the date of filing of this Annual Report on Form 10-K (Annual Report) regarding our directors.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5"/>
                <w:szCs w:val="15"/>
                <w:color w:val="auto"/>
              </w:rPr>
            </w:pPr>
          </w:p>
        </w:tc>
        <w:tc>
          <w:tcPr>
            <w:tcW w:w="22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60" w:type="dxa"/>
            <w:vAlign w:val="bottom"/>
          </w:tcPr>
          <w:p>
            <w:pPr>
              <w:spacing w:after="0"/>
              <w:rPr>
                <w:sz w:val="15"/>
                <w:szCs w:val="15"/>
                <w:color w:val="auto"/>
              </w:rPr>
            </w:pPr>
          </w:p>
        </w:tc>
        <w:tc>
          <w:tcPr>
            <w:tcW w:w="39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Expiration of Term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Thomas C. Reynolds, M.D., Ph.D.</w:t>
            </w: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66</w:t>
            </w:r>
          </w:p>
        </w:tc>
        <w:tc>
          <w:tcPr>
            <w:tcW w:w="2380" w:type="dxa"/>
            <w:vAlign w:val="bottom"/>
            <w:gridSpan w:val="2"/>
            <w:shd w:val="clear" w:color="auto" w:fill="CFF0FC"/>
          </w:tcPr>
          <w:p>
            <w:pPr>
              <w:ind w:left="180"/>
              <w:spacing w:after="0" w:line="142" w:lineRule="exact"/>
              <w:rPr>
                <w:sz w:val="20"/>
                <w:szCs w:val="20"/>
                <w:color w:val="auto"/>
              </w:rPr>
            </w:pPr>
            <w:r>
              <w:rPr>
                <w:rFonts w:ascii="Times New Roman" w:cs="Times New Roman" w:eastAsia="Times New Roman" w:hAnsi="Times New Roman"/>
                <w:sz w:val="14"/>
                <w:szCs w:val="14"/>
                <w:color w:val="auto"/>
              </w:rPr>
              <w:t>Director</w:t>
            </w:r>
          </w:p>
        </w:tc>
        <w:tc>
          <w:tcPr>
            <w:tcW w:w="160" w:type="dxa"/>
            <w:vAlign w:val="bottom"/>
            <w:shd w:val="clear" w:color="auto" w:fill="CFF0FC"/>
          </w:tcPr>
          <w:p>
            <w:pPr>
              <w:spacing w:after="0"/>
              <w:rPr>
                <w:sz w:val="12"/>
                <w:szCs w:val="12"/>
                <w:color w:val="auto"/>
              </w:rPr>
            </w:pPr>
          </w:p>
        </w:tc>
        <w:tc>
          <w:tcPr>
            <w:tcW w:w="39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Fiscal 2026 Annual Meeting of 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Joshua Riezman</w:t>
            </w:r>
          </w:p>
        </w:tc>
        <w:tc>
          <w:tcPr>
            <w:tcW w:w="128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w w:val="99"/>
              </w:rPr>
              <w:t>42</w:t>
            </w:r>
          </w:p>
        </w:tc>
        <w:tc>
          <w:tcPr>
            <w:tcW w:w="2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Fiscal 2026 Annual Meeting of 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James Flynn</w:t>
            </w:r>
          </w:p>
        </w:tc>
        <w:tc>
          <w:tcPr>
            <w:tcW w:w="1280" w:type="dxa"/>
            <w:vAlign w:val="bottom"/>
            <w:gridSpan w:val="2"/>
            <w:shd w:val="clear" w:color="auto" w:fill="CFF0FC"/>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w w:val="99"/>
              </w:rPr>
              <w:t>45</w:t>
            </w:r>
          </w:p>
        </w:tc>
        <w:tc>
          <w:tcPr>
            <w:tcW w:w="238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160" w:type="dxa"/>
            <w:vAlign w:val="bottom"/>
            <w:shd w:val="clear" w:color="auto" w:fill="CFF0FC"/>
          </w:tcPr>
          <w:p>
            <w:pPr>
              <w:spacing w:after="0"/>
              <w:rPr>
                <w:sz w:val="12"/>
                <w:szCs w:val="12"/>
                <w:color w:val="auto"/>
              </w:rPr>
            </w:pPr>
          </w:p>
        </w:tc>
        <w:tc>
          <w:tcPr>
            <w:tcW w:w="3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Fiscal 2027 Annual Meeting of 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Charles B. Lee</w:t>
            </w:r>
          </w:p>
        </w:tc>
        <w:tc>
          <w:tcPr>
            <w:tcW w:w="128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w w:val="99"/>
              </w:rPr>
              <w:t>48</w:t>
            </w:r>
          </w:p>
        </w:tc>
        <w:tc>
          <w:tcPr>
            <w:tcW w:w="2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Fiscal 2027 Annual Meeting of 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Nicholas R. Glover, Ph.D.</w:t>
            </w:r>
          </w:p>
        </w:tc>
        <w:tc>
          <w:tcPr>
            <w:tcW w:w="1280" w:type="dxa"/>
            <w:vAlign w:val="bottom"/>
            <w:gridSpan w:val="2"/>
            <w:shd w:val="clear" w:color="auto" w:fill="CFF0FC"/>
          </w:tcPr>
          <w:p>
            <w:pPr>
              <w:jc w:val="center"/>
              <w:ind w:left="108"/>
              <w:spacing w:after="0" w:line="149" w:lineRule="exact"/>
              <w:rPr>
                <w:sz w:val="20"/>
                <w:szCs w:val="20"/>
                <w:color w:val="auto"/>
              </w:rPr>
            </w:pPr>
            <w:r>
              <w:rPr>
                <w:rFonts w:ascii="Times New Roman" w:cs="Times New Roman" w:eastAsia="Times New Roman" w:hAnsi="Times New Roman"/>
                <w:sz w:val="14"/>
                <w:szCs w:val="14"/>
                <w:color w:val="auto"/>
                <w:w w:val="99"/>
              </w:rPr>
              <w:t>56</w:t>
            </w:r>
          </w:p>
        </w:tc>
        <w:tc>
          <w:tcPr>
            <w:tcW w:w="238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160" w:type="dxa"/>
            <w:vAlign w:val="bottom"/>
            <w:shd w:val="clear" w:color="auto" w:fill="CFF0FC"/>
          </w:tcPr>
          <w:p>
            <w:pPr>
              <w:spacing w:after="0"/>
              <w:rPr>
                <w:sz w:val="12"/>
                <w:szCs w:val="12"/>
                <w:color w:val="auto"/>
              </w:rPr>
            </w:pPr>
          </w:p>
        </w:tc>
        <w:tc>
          <w:tcPr>
            <w:tcW w:w="3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Fiscal 2028 Annual Meeting of Stockholders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Frederick W. Driscoll</w:t>
            </w:r>
          </w:p>
        </w:tc>
        <w:tc>
          <w:tcPr>
            <w:tcW w:w="12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74</w:t>
            </w:r>
          </w:p>
        </w:tc>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Fiscal 2028 Annual Meeting of Stockholders</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Thomas C. Reynolds, M.D., Ph.D., age 66, Director</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Dr. Reynolds has been a director of Lite Strategy since February 2013. He is President of Two Paddles Consulting LLC since December 2013, providing consulting services to biotechnology and pharmaceutical companies. Dr. Reynolds served as an independent director of Trillium Therapeutics Inc. (NASDAQ: TRIL; TSX: TR), an immuno-oncology company, from March 2014 to April 2021. Previously, he served as Chief Medical Officer of Seattle Genetics, a biotechnology company, from March 2007 until his retirement in February 2013. While at Seattle Genetics, he was responsible for building and leading an integrated clinical development, regulatory and medical affairs organization, highlighted by the development and approval of ADCETRIS®. From 2002 to 2007, Dr. Reynolds served at ZymoGenetics (acquired by BMS in 2010), most recently as Vice President, Medical Affairs, where he oversaw the clinical development and regulatory filing of RECOTHROM®. Previously, he was Vice President, Clinical Affairs at Targeted Genetics and before that was at Somatix Therapy (acquired by Cell Genesys in 1997). Dr. Reynolds received his M.D. and Ph.D. in Biophysics from Stanford University and a B.A. in Chemistry from Dartmouth College.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Joshua Riezman, age 42, Director</w:t>
      </w:r>
    </w:p>
    <w:p>
      <w:pPr>
        <w:spacing w:after="0" w:line="121"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Joshua Riezman was appointed as a director of Lite Strategy on August 5, 2025 pursuant to a Side Letter with GSR Strategies LLC entered into in connection with the PIPE on July 22, 2025. Mr. Riezman currently serves as Chief Strategy Officer – US and Global Deputy General Counsel at GSR Services US LLC, a global digital asset trading and investment firm. He leads U.S. business strategy and regulatory initiatives, while also overseeing the firm’s US legal and compliance functions. Prior to GSR Services USA LLC, Mr. Riezman was Assistant General Counsel – Head of Product and Regulatory Legal at Circle, a global digital currency fintech firm, where he led the product and regulatory legal function and advised on complex global financial regulatory matters. Before Circle, he served as Director and Counsel – Head of Prime Services and Clearing Legal (Americas) at Société Générale and previously held legal roles at Deutsche Bank and Teigland-Hunt LLP, with expertise in U.S. and international derivatives, clearing and financial regulation. Mr. Riezman received his J.D. from Fordham University School of Law, where he served as Senior Articles Editor for the Environmental Law Review and earned his B.A. in International Affairs from The George Washington University.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Flynn, age 45, Director</w:t>
      </w:r>
    </w:p>
    <w:p>
      <w:pPr>
        <w:spacing w:after="0" w:line="121" w:lineRule="exact"/>
        <w:rPr>
          <w:sz w:val="20"/>
          <w:szCs w:val="20"/>
          <w:color w:val="auto"/>
        </w:rPr>
      </w:pPr>
    </w:p>
    <w:p>
      <w:pPr>
        <w:ind w:right="80" w:firstLine="562"/>
        <w:spacing w:after="0" w:line="255" w:lineRule="auto"/>
        <w:rPr>
          <w:sz w:val="20"/>
          <w:szCs w:val="20"/>
          <w:color w:val="auto"/>
        </w:rPr>
      </w:pPr>
      <w:r>
        <w:rPr>
          <w:rFonts w:ascii="Times New Roman" w:cs="Times New Roman" w:eastAsia="Times New Roman" w:hAnsi="Times New Roman"/>
          <w:sz w:val="18"/>
          <w:szCs w:val="18"/>
          <w:color w:val="auto"/>
        </w:rPr>
        <w:t>Mr. Flynn has been a director of Lite Strategy since October 2023. Mr. Flynn is currently a Managing Member and Portfolio Manager of Nerium Capital LLC, an investment adviser he founded in 2021. Mr. Flynn also currently serves on the board of directors of Synlogic, Inc. (NASDAQ: SYBX), a biopharmaceutical company with a focus on rare metabolic disorders and RiceBran Technologies, an innovative specialty ingredients company, both since 2024. Previously, Mr. Flynn served on the board of directors of ARCA Biopharma and Axiom Health, Inc. Prior to that, Mr. Flynn worked in various investment management roles at Aptigon Capital (a division of Citadel LLC), Amici Capital, LLC and Putnam Investments LLC. Mr. Flynn earned a S.B. degree in Management Science with a concentration in Finance and a minor in Economic Science from the Massachusetts Institute of Technology. Mr. Flynn is a Chartered Financial Analyst (CFA) charterholder.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Charles B. Lee, age 48, Director</w:t>
      </w:r>
    </w:p>
    <w:p>
      <w:pPr>
        <w:spacing w:after="0" w:line="121" w:lineRule="exact"/>
        <w:rPr>
          <w:sz w:val="20"/>
          <w:szCs w:val="20"/>
          <w:color w:val="auto"/>
        </w:rPr>
      </w:pPr>
    </w:p>
    <w:p>
      <w:pPr>
        <w:ind w:right="80" w:firstLine="562"/>
        <w:spacing w:after="0" w:line="256" w:lineRule="auto"/>
        <w:rPr>
          <w:sz w:val="20"/>
          <w:szCs w:val="20"/>
          <w:color w:val="auto"/>
        </w:rPr>
      </w:pPr>
      <w:r>
        <w:rPr>
          <w:rFonts w:ascii="Times New Roman" w:cs="Times New Roman" w:eastAsia="Times New Roman" w:hAnsi="Times New Roman"/>
          <w:sz w:val="18"/>
          <w:szCs w:val="18"/>
          <w:color w:val="auto"/>
        </w:rPr>
        <w:t>Charles B. Lee was appointed as a director of Lite Strategy on July 22, 2025. Mr. Lee also currently serves on the board of BTCS, Inc (NASDAQ: BTCS), a digital asset and blockchain technology focused company since 2021. Mr. Lee is the creator of Litecoin and Director of the Litecoin Foundation. Mr. Lee attended MIT where he graduated in 2000 with a bachelor’s and master’s degree in electrical engineering and computer science. Prior to creating Litecoin, Mr. Lee was a Software Engineer at Google. In 2011, Mr. Lee created Litecoin in an effort to improve upon Bitcoin’s high fees, slower transaction times and scalability issues. Mr. Lee went on to work for Coinbase where he became Director of Engineering before leaving the company in 2017 to focus on supporting the development of Litecoin full time.</w:t>
      </w:r>
    </w:p>
    <w:p>
      <w:pPr>
        <w:sectPr>
          <w:pgSz w:w="11900" w:h="16838" w:orient="portrait"/>
          <w:cols w:equalWidth="0" w:num="1">
            <w:col w:w="11220"/>
          </w:cols>
          <w:pgMar w:left="320" w:top="117" w:right="3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Nicholas R. Glover, Ph.D., age 56, Director</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Dr. Glover has been a director of Lite Strategy since June 2013. He is currently Chief Executive Officer of MycRx Holdings Inc., a privately held drug discovery company and serves as a consultant to the biotech industry. Previously, he served as President and Chief Executive Officer of Sierra Oncology (NASDAQ: SRRA), a drug development company focused on advancing targeted therapeutics for the treatment of patients with cancer, from July 2014 through May 2020. Prior to joining Sierra, he served as President and Chief Executive Officer of YM Biosciences, an oncology drug development company, from November 2010 until its acquisition by Gilead Sciences in February 2013. Previously, Dr. Glover was President and Chief Executive Officer of Viventia Biotech, a biopharmaceutical company involved in the discovery and development of monoclonal antibody-based technologies for the treatment of cancer, which he joined after serving as an investment manager for MDS Capital, a life sciences venture capital firm. Dr. Glover holds a B.Sc. (Hons) in Chemistry from the University of East Anglia, U.K., a M.Sc. in Chemistry from the University of British Columbia, Canada and a Ph.D. in Chemistry from Simon Fraser University, Canada.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Frederick W. Driscoll, age 74, Chair</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Mr. Driscoll has been a director of Lite Strategy since February 2018 and was appointed as chairperson of the board of directors on July 22, 2024. He currently serves on the board of directors of Cellectar Biosciences, Inc., a clinical-stage biopharmaceutical company and Adipo Therapeutics, a private preclinical stage biopharmaceutical company. He served as interim Chief Financial Officer at Invivyd, Inc. from September 2022 to May 2023. He served as Chief Financial Officer of Renovacor, Inc., a leading late-stage biotechnology company, from March to June 2022. He served as the Chief Financial Officer of Flexion Therapeutics, Inc., a commercial-stage biopharmaceutical company, from 2013 to 2017 and rejoined in June 2021 as Chief Financial Officer until it was sold to Pacira BioScience. Prior to joining Flexion, he was the Chief Financial Officer at Novavax, Inc. from 2009 to 2013. From 2008 to 2009, Mr. Driscoll served as the Chief Executive Officer at Genelabs Technologies, Inc. and from 2007 to 2008 he served as its Chief Financial Officer. He was also the Chief Executive Officer of OXiGENE, Inc. from 2000 to 2006. Mr. Driscoll also served as the chairman of the board and audit committee chair at OXiGENE and as a member of the audit committee for Cynapsus Therapeutics, Inc. Mr. Driscoll earned a bachelor’s degree in Accounting and Finance from Bentley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Board of Directors and its Committees</w:t>
      </w:r>
    </w:p>
    <w:p>
      <w:pPr>
        <w:spacing w:after="0" w:line="121"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Board has responsibility for the overall corporate governance of Lite Strategy. During the fiscal year ended June 30, 2025, a majority of the members of the Board were and as of the date of this Annual Report are, independent within the meaning of the Nasdaq Stock Market (Nasdaq) rules.</w:t>
      </w:r>
    </w:p>
    <w:p>
      <w:pPr>
        <w:spacing w:after="0" w:line="3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Board has established an Audit Committee to oversee Lite Strategy’s financial matters, a Compensation Committee to oversee our compensation policies, plans and programs and a Nominating and Governance Committee to assist the Board in nominating board members to be elected by the stockholders at the Annual Meeting, to fill vacancies and newly created directorships and to evaluate and monitor all matters with respect to governance of Lite Strategy and oversee compliance by Lite Strategy with its legal and regulatory obligations. As of the date of this Annual Report, our schedule of committee members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80" w:type="dxa"/>
            <w:vAlign w:val="bottom"/>
            <w:shd w:val="clear" w:color="auto" w:fill="CFF0FC"/>
          </w:tcPr>
          <w:p>
            <w:pPr>
              <w:spacing w:after="0"/>
              <w:rPr>
                <w:sz w:val="16"/>
                <w:szCs w:val="16"/>
                <w:color w:val="auto"/>
              </w:rPr>
            </w:pPr>
          </w:p>
        </w:tc>
        <w:tc>
          <w:tcPr>
            <w:tcW w:w="2680" w:type="dxa"/>
            <w:vAlign w:val="bottom"/>
            <w:shd w:val="clear" w:color="auto" w:fill="CFF0FC"/>
          </w:tcPr>
          <w:p>
            <w:pPr>
              <w:spacing w:after="0"/>
              <w:rPr>
                <w:sz w:val="16"/>
                <w:szCs w:val="16"/>
                <w:color w:val="auto"/>
              </w:rPr>
            </w:pPr>
          </w:p>
        </w:tc>
        <w:tc>
          <w:tcPr>
            <w:tcW w:w="2940" w:type="dxa"/>
            <w:vAlign w:val="bottom"/>
            <w:shd w:val="clear" w:color="auto" w:fill="CFF0FC"/>
          </w:tcPr>
          <w:p>
            <w:pPr>
              <w:spacing w:after="0"/>
              <w:rPr>
                <w:sz w:val="16"/>
                <w:szCs w:val="16"/>
                <w:color w:val="auto"/>
              </w:rPr>
            </w:pPr>
          </w:p>
        </w:tc>
        <w:tc>
          <w:tcPr>
            <w:tcW w:w="2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b w:val="1"/>
                <w:bCs w:val="1"/>
                <w:color w:val="auto"/>
              </w:rPr>
              <w:t>Nominating &amp; Governance</w:t>
            </w:r>
          </w:p>
        </w:tc>
      </w:tr>
      <w:tr>
        <w:trPr>
          <w:trHeight w:val="227"/>
        </w:trPr>
        <w:tc>
          <w:tcPr>
            <w:tcW w:w="278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7"/>
                <w:szCs w:val="17"/>
                <w:b w:val="1"/>
                <w:bCs w:val="1"/>
                <w:color w:val="auto"/>
              </w:rPr>
              <w:t>Board Member</w:t>
            </w:r>
          </w:p>
        </w:tc>
        <w:tc>
          <w:tcPr>
            <w:tcW w:w="268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7"/>
                <w:szCs w:val="17"/>
                <w:b w:val="1"/>
                <w:bCs w:val="1"/>
                <w:color w:val="auto"/>
              </w:rPr>
              <w:t>Audit Committee</w:t>
            </w:r>
          </w:p>
        </w:tc>
        <w:tc>
          <w:tcPr>
            <w:tcW w:w="294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7"/>
                <w:szCs w:val="17"/>
                <w:b w:val="1"/>
                <w:bCs w:val="1"/>
                <w:color w:val="auto"/>
              </w:rPr>
              <w:t>Compensation Committee</w:t>
            </w:r>
          </w:p>
        </w:tc>
        <w:tc>
          <w:tcPr>
            <w:tcW w:w="28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b w:val="1"/>
                <w:bCs w:val="1"/>
                <w:color w:val="auto"/>
              </w:rPr>
              <w:t>Committee</w:t>
            </w:r>
          </w:p>
        </w:tc>
      </w:tr>
      <w:tr>
        <w:trPr>
          <w:trHeight w:val="217"/>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Frederick W. Driscoll</w:t>
            </w:r>
          </w:p>
        </w:tc>
        <w:tc>
          <w:tcPr>
            <w:tcW w:w="2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-140335</wp:posOffset>
            </wp:positionV>
            <wp:extent cx="30035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0355" cy="1371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-140335</wp:posOffset>
            </wp:positionV>
            <wp:extent cx="10287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James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274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Nick Glover, PhD.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Thomas C. Reynolds,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Charles B. Lee*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Joshua Riezman*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7" w:lineRule="exact"/>
        <w:rPr>
          <w:sz w:val="20"/>
          <w:szCs w:val="20"/>
          <w:color w:val="auto"/>
        </w:rPr>
      </w:pPr>
    </w:p>
    <w:p>
      <w:pPr>
        <w:ind w:right="7520" w:firstLine="517"/>
        <w:spacing w:after="0" w:line="400" w:lineRule="auto"/>
        <w:tabs>
          <w:tab w:leader="none" w:pos="63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Is not an independent member of the Board </w:t>
      </w:r>
      <w:r>
        <w:rPr>
          <w:rFonts w:ascii="Times New Roman" w:cs="Times New Roman" w:eastAsia="Times New Roman" w:hAnsi="Times New Roman"/>
          <w:sz w:val="1"/>
          <w:szCs w:val="1"/>
          <w:color w:val="auto"/>
        </w:rPr>
        <w:drawing>
          <wp:inline distT="0" distB="0" distL="0" distR="0">
            <wp:extent cx="102870" cy="1371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 Committee Member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
          <w:szCs w:val="1"/>
          <w:color w:val="auto"/>
        </w:rPr>
        <w:drawing>
          <wp:inline distT="0" distB="0" distL="0" distR="0">
            <wp:extent cx="111125" cy="1371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 Committee Chair</w:t>
      </w:r>
    </w:p>
    <w:p>
      <w:pPr>
        <w:spacing w:after="0" w:line="1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
          <w:szCs w:val="1"/>
          <w:color w:val="auto"/>
        </w:rPr>
        <w:drawing>
          <wp:inline distT="0" distB="0" distL="0" distR="0">
            <wp:extent cx="154305" cy="1371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Financial Expert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has been established in accordance with Section 3(a)(58)(A) of the Securities Exchange Act of 1934, as amended (the Exchange Act). The Audit Committee’s responsibilities include:</w:t>
      </w:r>
    </w:p>
    <w:p>
      <w:pPr>
        <w:spacing w:after="0" w:line="54" w:lineRule="exact"/>
        <w:rPr>
          <w:sz w:val="20"/>
          <w:szCs w:val="20"/>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financial and accounting activities;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the annual appointment of independent auditors;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scope of audit and non-audit assignments and related fees;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annually Lite Strategy’s major financial risks and exposures;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performance of the independent auditors: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accounting principles used in financial reporting;</w:t>
      </w:r>
    </w:p>
    <w:p>
      <w:pPr>
        <w:spacing w:after="0" w:line="117" w:lineRule="exact"/>
        <w:rPr>
          <w:rFonts w:ascii="Times New Roman" w:cs="Times New Roman" w:eastAsia="Times New Roman" w:hAnsi="Times New Roman"/>
          <w:sz w:val="18"/>
          <w:szCs w:val="18"/>
          <w:color w:val="auto"/>
        </w:rPr>
      </w:pPr>
    </w:p>
    <w:p>
      <w:pPr>
        <w:ind w:left="1260" w:right="280" w:hanging="503"/>
        <w:spacing w:after="0" w:line="282"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our financial reporting activities and disclosures included in our periodic reports and the accounting standards and principles followed;</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over financial reporting;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party transactions.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Mr. Driscoll has served as Chairman of the Audit Committee since August 29, 2019. The other members of the Audit Committee are Dr. Glover and Mr. Flynn. Mr. Driscoll has been determined by the Board to be an audit committee financial expert as defined by the SEC.</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each of the Audit Committee members is independent, as defined in accordance with Nasdaq and SEC rules. We have adopted an Audit Committee Charter, which is posted on its website at https://litestrategy.com. The Audit Committee met four times during the fiscal year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-175895</wp:posOffset>
            </wp:positionV>
            <wp:extent cx="2857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acts on behalf of the Board to fulfill the Board’s responsibilities to:</w:t>
      </w:r>
    </w:p>
    <w:p>
      <w:pPr>
        <w:spacing w:after="0" w:line="117" w:lineRule="exact"/>
        <w:rPr>
          <w:sz w:val="20"/>
          <w:szCs w:val="20"/>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review, modify and approve our compensation strategy and policies;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independence of compensation consultants and legal advisors prior to engagement;</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sole power to retain compensation consultants and advisors and to determine the scope of the associated engagements;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annual corporate performance goals;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Chief Executive Officer’s and executive officers’ performance;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determine the compensation to be paid to our executive officers, including the allocation of equity related grants;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compensation and terms of appointment of non-executive directors to the Board for review and approval;</w:t>
      </w:r>
    </w:p>
    <w:p>
      <w:pPr>
        <w:spacing w:after="0" w:line="117" w:lineRule="exact"/>
        <w:rPr>
          <w:rFonts w:ascii="Times New Roman" w:cs="Times New Roman" w:eastAsia="Times New Roman" w:hAnsi="Times New Roman"/>
          <w:sz w:val="18"/>
          <w:szCs w:val="18"/>
          <w:color w:val="auto"/>
        </w:rPr>
      </w:pPr>
    </w:p>
    <w:p>
      <w:pPr>
        <w:ind w:left="1260" w:right="200" w:hanging="503"/>
        <w:spacing w:after="0" w:line="282"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Lite Strategy meets the reporting requirements promulgated by the SEC regarding compensation and disclosure of compensation and compensation related practices;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potential compensation related risks;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ensure compliance with Say-on-Pay requirements.</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Compensation Committee also consults with and considers the recommendations of the Acting Chief Executive Officer and Chief Financial Officer with respect to the appropriate level and mix of the various compensation components, focused primarily on the particular goals of applicable executives and employees in a particular year. The Board has adopted a written charter for the Compensation Committee, which is available on our website at https://litestrategy.com. Dr. Glover has served as the Chairman of the Compensation Committee since December 16, 2021. The other members of the Compensation Committee during the fiscal year ended June 30, 2025, were Dr. Reynolds and Mr. Wood. On August 5, 2025, Mr. Wood resigned his position on the Board and his position on the Compensation Committee and the position was subsequently filled by Mr. Flynn upon approval of the Board on August 8, 2025. The Board has determined that each member of the Compensation Committee is independent in accordance with the applicable Nasdaq and SEC rules. The Compensation Committee met one time during the fiscal year ended June 30, 2025.</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Nominating and Governance Committee is responsible for assisting the Board in:</w:t>
      </w:r>
    </w:p>
    <w:p>
      <w:pPr>
        <w:spacing w:after="0" w:line="117" w:lineRule="exact"/>
        <w:rPr>
          <w:sz w:val="20"/>
          <w:szCs w:val="20"/>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qualified individuals who possess the desired experience and skills to serve on the Board;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chairpersons and members on committees to the Board;</w:t>
      </w:r>
    </w:p>
    <w:p>
      <w:pPr>
        <w:spacing w:after="0" w:line="117" w:lineRule="exact"/>
        <w:rPr>
          <w:rFonts w:ascii="Times New Roman" w:cs="Times New Roman" w:eastAsia="Times New Roman" w:hAnsi="Times New Roman"/>
          <w:sz w:val="18"/>
          <w:szCs w:val="18"/>
          <w:color w:val="auto"/>
        </w:rPr>
      </w:pPr>
    </w:p>
    <w:p>
      <w:pPr>
        <w:ind w:left="1260" w:right="280" w:hanging="503"/>
        <w:spacing w:after="0" w:line="312" w:lineRule="auto"/>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all qualified director candidates identified by the Nominating and Governance Committee, or by stockholders, in the event any member of the Board does not wish to continue in service or if the Board decides not to re-nominate a member for re-election;</w:t>
      </w:r>
    </w:p>
    <w:p>
      <w:pPr>
        <w:spacing w:after="0" w:line="31" w:lineRule="exact"/>
        <w:rPr>
          <w:rFonts w:ascii="Times New Roman" w:cs="Times New Roman" w:eastAsia="Times New Roman" w:hAnsi="Times New Roman"/>
          <w:sz w:val="17"/>
          <w:szCs w:val="17"/>
          <w:color w:val="auto"/>
        </w:rPr>
      </w:pPr>
    </w:p>
    <w:p>
      <w:pPr>
        <w:ind w:left="1260" w:hanging="503"/>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Board evaluation process and evaluating the size and composition of the Board; and</w:t>
      </w:r>
    </w:p>
    <w:p>
      <w:pPr>
        <w:spacing w:after="0" w:line="117" w:lineRule="exact"/>
        <w:rPr>
          <w:rFonts w:ascii="Times New Roman" w:cs="Times New Roman" w:eastAsia="Times New Roman" w:hAnsi="Times New Roman"/>
          <w:sz w:val="18"/>
          <w:szCs w:val="18"/>
          <w:color w:val="auto"/>
        </w:rPr>
      </w:pPr>
    </w:p>
    <w:p>
      <w:pPr>
        <w:ind w:left="1260" w:right="540" w:hanging="503"/>
        <w:spacing w:after="0" w:line="282"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any stockholder proposal and whether to recommend to the Board and whether Lite Strategy shall support or oppose the proposal.</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Dr. Reynolds has served as Chairman of the Nominating and Governance Committee since January 2023. The other members of the Nominating and Governance Committee for the fiscal year ended June 30, 2025 were Mr. Flynn and Mr. Datoo. On July 22, 2025, Mr. Datoo resigned his position on the Board and his position on the Nominating and Governance Committee and the position was subsequently filled by Mr. Driscoll upon approval of the Board on August 5, 2025. Lite Strategy’s Nominating and Governance Committee Charter is posted on its website at https://litestrategy.com. The Board has determined that Dr. Reynolds, Mr. Flynn and Mr. Driscoll are independent members of the Nominating and Governance Committee in accordance with applicable Nasdaq and SEC rules and Mr. Datoo was not considered independent in accordance with the applicable Nasdaq and SEC rules. The Nominating and Governance Committee met one time during the fiscal year ended June 30, 2025.</w:t>
      </w:r>
    </w:p>
    <w:p>
      <w:pPr>
        <w:spacing w:after="0" w:line="8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Stockholders who would like to propose an independent director candidate for consideration for nomination by the Board at next year’s annual meeting of stockholders may do so by submitting the candidate’s name, resume and biographical information to the attention of Justin J. File, Secretary, Lite Strategy, Inc., 9920 Pacific Heights Blvd, Suite 150, San Diego, California 92121. All stockholder nominations received by the Secretary, which comply with the advance notice provisions of MEI Pharma's Amended and Restated Bylaws, will be presented to the Nominating and Governance Committee for the same consideration as individuals identified by the Nominating and Governance Committee through other means.</w:t>
      </w:r>
    </w:p>
    <w:p>
      <w:pPr>
        <w:spacing w:after="0" w:line="7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While we have no minimum qualifications for director nominees, the Nominating and Governance Committee reviews the prospective candidate’s biographical information and assesses each candidate’s independence, diversity, skills and expertise based on a variety of factors, including the following criteria:</w:t>
      </w:r>
    </w:p>
    <w:p>
      <w:pPr>
        <w:spacing w:after="0" w:line="68" w:lineRule="exact"/>
        <w:rPr>
          <w:sz w:val="20"/>
          <w:szCs w:val="20"/>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has exhibited behavior that indicates he or she is committed to the highest ethical standards;</w:t>
      </w:r>
    </w:p>
    <w:p>
      <w:pPr>
        <w:spacing w:after="0" w:line="117"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has had broad business, governmental, non-profit or professional experience that indicates that the candidate will be able to make a significant and immediate contribution to the Board's discussion and decision-making; and</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will be able to devote sufficient time and energy to the performance of his or her duties as a director.</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Application of these factors requires the exercise of judgment by members of the Nominating and Governance Committee when the Committee makes recommendations to the Board and cannot be measured in a quantitative way. The Nominating and Governance Committee and the Board generally value the broad business experience and independent business judgment in the health care, life sciences and other fields of each member. Specifically, Mr. Driscoll is qualified for the Board based on his business experience in the pharmaceutical industry, the area of finance and his status as an audit committee financial expert. Dr. Glover is qualified for the Board based on his business experience and his drug development experience in the oncology field. Dr. Reynolds is qualified for the Board based on his medical experience and experience in clinical development and regulatory and medical affairs. Mr. Flynn is qualified for the Board based on his business experience in the pharmaceutical industry and his business development experience. Mr. Lee is qualified for the Board based on his knowledge of Litecoin and his experience in the cryptocurrency industry. Mr. Riezman is qualified for the Board based on his experience in the cryptocurrency industry. Mr. Datoo was qualified for the Board based on his business development experience. Mr. Wood was qualified for the Board based on his business development experience.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In addition, the Nominating and Governance Committee oversees compliance by Lite Strategy with its legal and regulatory obligations and periodically reviews our:</w:t>
      </w:r>
    </w:p>
    <w:p>
      <w:pPr>
        <w:spacing w:after="0" w:line="54" w:lineRule="exact"/>
        <w:rPr>
          <w:sz w:val="20"/>
          <w:szCs w:val="20"/>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Disclosure Policy;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certificate of incorporation;</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bylaws;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status of our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Board has determined the independence of each director in accordance with the elements of independence set forth in the Nasdaq listing standards. Based upon information solicited from each director, the Board has determined that each of Mr. Driscoll, Dr. Glover, Dr. Reynolds, Mr. Flynn, Mr. Wood during his service on the Board, had no material relationship with Lite Strategy and is independent within the meaning of Nasdaq’s director independence standards as currently in effect. Mr. Datoo was not considered independent within the meaning of Nasdaq’s director independence standards as currently in effect and Messrs. Lee and Riezman are not considered independent within the meaning of Nasdaq's director independence standards currently in effect. In making the foregoing determinations, the Board has considered both the objective tests set forth in the Nasdaq independence standards and subjective measures with respect to each director necessary to determine that no relationships exist that would interfere with the exercise of independent judgment by each such director in carrying out responsibilities of a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Mr. Driscoll has served as the Chair of our Board since July 2024. The Board does not have a policy addressing whether the same person should serve as both the Chief Executive Officer and Chair of the Board or if the roles should be separate. Our Board believes that it should have the flexibility to make its determination based upon what it considers to be the appropriate leadership structure for Lite Strategy at the time. The Board believes that its current leadership structure is appropriate for Lite Strategy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Risk is an integral part of the Board and Committee deliberations throughout the year. While the Board has the ultimate oversight responsibility for the risk management process, various committees of the Board also have responsibility for risk management. In particular, the Audit Committee focuses on financial risk, including internal controls and receives financial risk assessment reports from management. Risks related to the compensation programs are reviewed by the Compensation Committee. The Nominating and Governance Committee exercises oversight of governance risks, including succession planning and legal compliance. The Board is advised by these committees of significant risks and management’s response through periodic updates.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Pledging Policies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our Insider Trading Policy, all directors, officers, employees and consultants of Lite Strategy are subject to restrictions on hedging of securities of Lite Strategy. These restrictions apply to securities of Lite Strategy owned by such persons, regardless of whether such securities were granted by us to such persons as compensatory awards. Our Insider Trading Policy prohibits such persons from engaging in short sales of securities of Lite Strategy or in transactions in publicly traded options with respect to our securities. In addition, our Insider Trading Policy permits, but discourages, such persons from holding our securities in a margin account or pledging securities of Lite Strategy as collateral for a loan and from entering standing orders with respect to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stockholders may communicate with the Board, including non-executive directors or officers, by sending written communications addressed to such person or persons in care of Lite Strategy, Inc., Attention: Secretary, 9920 Pacific Heights Blvd., Suite 150, San Diego, California, 92121. All communications will be compiled by the Secretary and submitted to the addressee. If the Board modifies this process, the revised process will be posted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number of directors will be set by resolution of the board, but shall be between two and nine. We currently have six directors.</w:t>
      </w:r>
    </w:p>
    <w:p>
      <w:pPr>
        <w:sectPr>
          <w:pgSz w:w="11900" w:h="16838" w:orient="portrait"/>
          <w:cols w:equalWidth="0" w:num="1">
            <w:col w:w="11220"/>
          </w:cols>
          <w:pgMar w:left="320" w:top="117"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and amended and restated by-laws, directors are to be elected at each annual meeting of stockholders for a term of three years unless the director is removed, retires or the office is vacated earlier. The board is divided into three classes with respect to the term of office, with the terms of office of one class expiring each successive year. This classified board provision could discourage a third-party from making a tender offer for Lite Strategy's shares or attempting to obtain control of Lite Strategy. It could also delay stockholders who do not agree with the policies of the Board from removing a majority of the Board for two years.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director may resign at any time. The resignation is effective upon receipt of notice. Any or all directors may be removed with cause by a resolution of stockholders entitled to vote to elect directors. Vacancies from resignation or removal or expansion of the size of the board may be filled by resolution of a majority of directors then in office or by a sole remaining director and any director so appointed shall serve for the remainder of the full term of the class of directors in which the vacancy occurred.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of Directors at Board Meetings and Stockholder Meetings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year ended June 30, 2025, the Board held a total of 46 meetings and each director attended at least 75% of the total number of meetings of the Board and of the meetings of each committee of the Board on which such director served.</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All directors are expected to attend our annual meetings of stockholders. Four of six of our directors then in the office attended the annual meeting of stockholders held in January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and Ethics policy that applies to our directors and employees (including our principal executive officer and our principal financial officer) and have posted the text of our policy on our website (https://litestrategy.com), under Investors – Governance Documents. In addition, we intend to promptly disclose (i) the nature of any amendment to the policy that applies to our principal executive officer and principal financial officer and (ii) the nature of any waiver, including an implicit waiver, from a provision of the policy that is granted to one of these specified individuals, the name of such person who is granted the waiver and the date of the waiver on our website in the future. Except as expressly stated herein, information contained on our website is not incorporated by reference herein and shall not be deemed a part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the Board. Set forth below is the name and certain biographical information regarding Lite Strategy’s executive officer as of the date of filing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Justin J. File, age 55, Acting Chief Executive Officer, Chief Financial Officer and Secretary</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Mr. File has been our Acting Chief Executive Officer since August 1, 2024 and our Chief Financial Officer since August 1, 2023. Mr. File has over 30 years of experience in accounting and finance, working in both public and private companies. He has a diverse range of experience, having worked in various industries, including the life sciences industry for the past 17 years. From 2015 to 2023, Mr. File was the Chief Financial Officer and Corporate Secretary of Evofem Biosciences, Inc., a women's health company that developed and commercialized Phexxi®, a nonhormonal contraceptive for women. While at Evofem he helped bring the company public through a reverse merger and was responsible for overseeing corporate finance and accounting, information technology and investor relations. Previously, Mr. File provided executive financial and accounting oversight consulting services to biotechnology companies and before that led accounting operations and reporting at Sequenom, Inc., a molecular diagnostic company. He additionally served as Treasurer of Sequenom’s diagnostic subsidiary. Before joining industry, Mr. File worked for approximately ten years in public accounting, primarily with Arthur Andersen LLP. Mr. File graduated from Central Washington University with a Bachelor of Science in Accounting and Business Administration. He is a Certified Public Accountant (inactive).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With respect to Item 408(b)of Regulation S-K, we have an insider trading policy governing the purchase, sale and other dispositions of our securities that applies to us and our personnel, including officers, directors, employees and agents, and other covered persons (the Insider Trading Policy). The Company believes that the Insider Trading Policy is reasonably designed to promote compliance with insider trading laws, rules and regulations, and listing standards applicable to us. A copy of the Insider Trading Policy is filed as Exhibit 19.1 to this Annual Report on Form 10-K.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compensation strategy, policies, programs and practices for the named executive officers identified in the Summary Compensation Table. For fiscal year 2025, the named executive officers consist of Justin J. File, Acting Chief Executive Officer, Chief Financial Officer and Secretary, David M. Urso, Chief Executive Officer and General Counsel and Richard G. Ghalie, M.D., Chief Medical Officer, to whom we collectively refer in this Compensation Discussion and Analysis as our named executive officers. Mr. Urso and Dr. Ghalie resigned their respective positions as of August 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We believe that the performance of our executive officers significantly impacts our ability to achieve our corporate goals. We, therefore, place considerable importance on the design and administration of our executive officer compensation program. This program is intended to enhance stockholder value by attracting, motivating and retaining qualified individuals to perform at the highest levels and to contribute to our growth and success. Our executive officer compensation program is designed to provide compensation opportunities that are tied to individual and corporate performance.</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overall compensation philosophy has been to pay our executive officers an annual base salary and to provide opportunities, through cash and equity incentives, to deliver higher compensation if certain key performance goals are satisfied or exceeded. However, for fiscal year 2025, we realigned our compensation philosophy in connection with the July 22, 2024, announcement that the Board was beginning an evaluation of our strategic alternatives, including potential transactions or an orderly wind-down of operations, if necessary with a goal of maximizing the value of our assets for our shareholders. The new fiscal year 2025 compensation approach focused on the retention of key employees and our remaining executive officer in order to effectively conduct daily operating activities while pursuing strategic alternatives.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Committee’s Process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Compensation Committee acts on behalf of the Board with respect to fulfilling the Board’s responsibilities to oversee our compensation policies, plans and programs and reviewing and determining, as appropriate, the compensation to be paid to executive officers and directors. To achieve this task, the Compensation Committee (i) reviews and approves corporate performance goals and objectives that support and reinforce our long-term strategic goals and compensation plans; (ii) reviews the individual performance of the executive officers; (iii) establishes policies with respect to equity compensation arrangements, timing and pricing of equity awards for newly hired employees, promotions and annual grants for executive and non-executive employees and directors; (iv) reviews regional and industry-wide compensation practices and trends to assess the propriety, adequacy and competitiveness of our executive compensation programs among comparable companies in our industry; (v) reviews and approves the terms of any employment agreements, severance agreements, change-of-control protections and any other compensation arrangements of the executive officers; (vi) performs and considers a compensation risk assessment; and (vii) considers stockholder feedback and Say-on-Pay voting results. The Compensation Committee also makes recommendations to the Board with respect to this Compensation Discussion and Analysis section and recommends that such section be included in any of our annual reports on Form 10-K, registration statements, Proxy statements or information statements.</w:t>
      </w:r>
    </w:p>
    <w:p>
      <w:pPr>
        <w:spacing w:after="0" w:line="84"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Compensation Committee meets at least once a year or more frequently as its members deem necessary or appropriate. Under its charter, the Compensation Committee has the authority, in its sole discretion, to retain or obtain the advice of a compensation consultant, legal counsel or other advisors as the Compensation Committee may determine to assist in the performance of the Compensation Committee’s duties and responsibilities, only after taking into consideration the factors prescribed by the SEC and Nasdaq that bear upon the adviser’s independence.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considers peer group analysis as a component of its overall executive compensation decision process, but it does not attempt to set executive compensation to a specific benchmark level or percentile as compared to executive compensation levels at other companies and determines the mix of compensation based on its review of such competitive data. We believe our approach to compensation does not encourage excessive risk-taking by our executives as it is not a market outlier, is based on a typical mix of short- and long-term compensation tied to both internal objectives and to stockholder value and reflects the importance of the retention of our remaining executive employee throughout our strategic alternative phase of operations during fiscal year 2025.</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peer group of companies used for context when setting fiscal year 2025 officer compensation consisted of the same 20 publicly traded drug development companies that were approved by the Compensation Committee with input from management and F. W. Cook, our compensation consultant, for fiscal year 2024 decisions. The peer group is composed of drug development companies with a broadly similar market cap at the time, (median peer market cap at the time the peer data were reviewed by the Committee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firstLine="45"/>
        <w:spacing w:after="0" w:line="266" w:lineRule="auto"/>
        <w:rPr>
          <w:sz w:val="20"/>
          <w:szCs w:val="20"/>
          <w:color w:val="auto"/>
        </w:rPr>
      </w:pPr>
      <w:r>
        <w:rPr>
          <w:rFonts w:ascii="Times New Roman" w:cs="Times New Roman" w:eastAsia="Times New Roman" w:hAnsi="Times New Roman"/>
          <w:sz w:val="18"/>
          <w:szCs w:val="18"/>
          <w:color w:val="auto"/>
        </w:rPr>
        <w:t>June 2023 was $111 million), generally without material revenue from commercial products and with emphasis on oncology drug development companies and was used as context for setting fiscal year 2025 executive officer compensation in light of our strategic alternative operations. This peer group was as follows:</w:t>
      </w:r>
    </w:p>
    <w:p>
      <w:pPr>
        <w:spacing w:after="0" w:line="2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Aeglea BioTherapeutics</w:t>
            </w:r>
          </w:p>
        </w:tc>
        <w:tc>
          <w:tcPr>
            <w:tcW w:w="696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14"/>
                <w:szCs w:val="14"/>
                <w:color w:val="auto"/>
              </w:rPr>
              <w:t>Kronos Bio</w:t>
            </w: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BioAtla</w:t>
            </w:r>
          </w:p>
        </w:tc>
        <w:tc>
          <w:tcPr>
            <w:tcW w:w="6960" w:type="dxa"/>
            <w:vAlign w:val="bottom"/>
          </w:tcPr>
          <w:p>
            <w:pPr>
              <w:ind w:left="2080"/>
              <w:spacing w:after="0" w:line="149" w:lineRule="exact"/>
              <w:rPr>
                <w:sz w:val="20"/>
                <w:szCs w:val="20"/>
                <w:color w:val="auto"/>
              </w:rPr>
            </w:pPr>
            <w:r>
              <w:rPr>
                <w:rFonts w:ascii="Times New Roman" w:cs="Times New Roman" w:eastAsia="Times New Roman" w:hAnsi="Times New Roman"/>
                <w:sz w:val="14"/>
                <w:szCs w:val="14"/>
                <w:color w:val="auto"/>
              </w:rPr>
              <w:t>Leap Therapeutics</w:t>
            </w:r>
          </w:p>
        </w:tc>
      </w:tr>
      <w:tr>
        <w:trPr>
          <w:trHeight w:val="149"/>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Cardiff Oncology</w:t>
            </w:r>
          </w:p>
        </w:tc>
        <w:tc>
          <w:tcPr>
            <w:tcW w:w="6960" w:type="dxa"/>
            <w:vAlign w:val="bottom"/>
            <w:shd w:val="clear" w:color="auto" w:fill="CFF0FC"/>
          </w:tcPr>
          <w:p>
            <w:pPr>
              <w:ind w:left="2080"/>
              <w:spacing w:after="0" w:line="149" w:lineRule="exact"/>
              <w:rPr>
                <w:sz w:val="20"/>
                <w:szCs w:val="20"/>
                <w:color w:val="auto"/>
              </w:rPr>
            </w:pPr>
            <w:r>
              <w:rPr>
                <w:rFonts w:ascii="Times New Roman" w:cs="Times New Roman" w:eastAsia="Times New Roman" w:hAnsi="Times New Roman"/>
                <w:sz w:val="14"/>
                <w:szCs w:val="14"/>
                <w:color w:val="auto"/>
              </w:rPr>
              <w:t>Molecular Templates</w:t>
            </w: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CEL-SCI Corporation</w:t>
            </w:r>
          </w:p>
        </w:tc>
        <w:tc>
          <w:tcPr>
            <w:tcW w:w="6960" w:type="dxa"/>
            <w:vAlign w:val="bottom"/>
          </w:tcPr>
          <w:p>
            <w:pPr>
              <w:ind w:left="2080"/>
              <w:spacing w:after="0" w:line="149" w:lineRule="exact"/>
              <w:rPr>
                <w:sz w:val="20"/>
                <w:szCs w:val="20"/>
                <w:color w:val="auto"/>
              </w:rPr>
            </w:pPr>
            <w:r>
              <w:rPr>
                <w:rFonts w:ascii="Times New Roman" w:cs="Times New Roman" w:eastAsia="Times New Roman" w:hAnsi="Times New Roman"/>
                <w:sz w:val="14"/>
                <w:szCs w:val="14"/>
                <w:color w:val="auto"/>
              </w:rPr>
              <w:t>Oncternal Therapeutics</w:t>
            </w:r>
          </w:p>
        </w:tc>
      </w:tr>
      <w:tr>
        <w:trPr>
          <w:trHeight w:val="148"/>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CytomX Therapeutics</w:t>
            </w:r>
          </w:p>
        </w:tc>
        <w:tc>
          <w:tcPr>
            <w:tcW w:w="6960" w:type="dxa"/>
            <w:vAlign w:val="bottom"/>
            <w:shd w:val="clear" w:color="auto" w:fill="CFF0FC"/>
          </w:tcPr>
          <w:p>
            <w:pPr>
              <w:ind w:left="2080"/>
              <w:spacing w:after="0" w:line="149" w:lineRule="exact"/>
              <w:rPr>
                <w:sz w:val="20"/>
                <w:szCs w:val="20"/>
                <w:color w:val="auto"/>
              </w:rPr>
            </w:pPr>
            <w:r>
              <w:rPr>
                <w:rFonts w:ascii="Times New Roman" w:cs="Times New Roman" w:eastAsia="Times New Roman" w:hAnsi="Times New Roman"/>
                <w:sz w:val="14"/>
                <w:szCs w:val="14"/>
                <w:color w:val="auto"/>
              </w:rPr>
              <w:t>Pieris Pharmaceuticals</w:t>
            </w: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ESSA Pharma</w:t>
            </w:r>
          </w:p>
        </w:tc>
        <w:tc>
          <w:tcPr>
            <w:tcW w:w="6960" w:type="dxa"/>
            <w:vAlign w:val="bottom"/>
          </w:tcPr>
          <w:p>
            <w:pPr>
              <w:ind w:left="2080"/>
              <w:spacing w:after="0" w:line="149" w:lineRule="exact"/>
              <w:rPr>
                <w:sz w:val="20"/>
                <w:szCs w:val="20"/>
                <w:color w:val="auto"/>
              </w:rPr>
            </w:pPr>
            <w:r>
              <w:rPr>
                <w:rFonts w:ascii="Times New Roman" w:cs="Times New Roman" w:eastAsia="Times New Roman" w:hAnsi="Times New Roman"/>
                <w:sz w:val="14"/>
                <w:szCs w:val="14"/>
                <w:color w:val="auto"/>
              </w:rPr>
              <w:t>Rigel Pharmaceuticals</w:t>
            </w:r>
          </w:p>
        </w:tc>
      </w:tr>
      <w:tr>
        <w:trPr>
          <w:trHeight w:val="148"/>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Fusion Pharma</w:t>
            </w:r>
          </w:p>
        </w:tc>
        <w:tc>
          <w:tcPr>
            <w:tcW w:w="6960" w:type="dxa"/>
            <w:vAlign w:val="bottom"/>
            <w:shd w:val="clear" w:color="auto" w:fill="CFF0FC"/>
          </w:tcPr>
          <w:p>
            <w:pPr>
              <w:ind w:left="2080"/>
              <w:spacing w:after="0" w:line="149" w:lineRule="exact"/>
              <w:rPr>
                <w:sz w:val="20"/>
                <w:szCs w:val="20"/>
                <w:color w:val="auto"/>
              </w:rPr>
            </w:pPr>
            <w:r>
              <w:rPr>
                <w:rFonts w:ascii="Times New Roman" w:cs="Times New Roman" w:eastAsia="Times New Roman" w:hAnsi="Times New Roman"/>
                <w:sz w:val="14"/>
                <w:szCs w:val="14"/>
                <w:color w:val="auto"/>
              </w:rPr>
              <w:t>Surface Oncology</w:t>
            </w: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G1 Therapeutics</w:t>
            </w:r>
          </w:p>
        </w:tc>
        <w:tc>
          <w:tcPr>
            <w:tcW w:w="6960" w:type="dxa"/>
            <w:vAlign w:val="bottom"/>
          </w:tcPr>
          <w:p>
            <w:pPr>
              <w:ind w:left="2080"/>
              <w:spacing w:after="0" w:line="149" w:lineRule="exact"/>
              <w:rPr>
                <w:sz w:val="20"/>
                <w:szCs w:val="20"/>
                <w:color w:val="auto"/>
              </w:rPr>
            </w:pPr>
            <w:r>
              <w:rPr>
                <w:rFonts w:ascii="Times New Roman" w:cs="Times New Roman" w:eastAsia="Times New Roman" w:hAnsi="Times New Roman"/>
                <w:sz w:val="14"/>
                <w:szCs w:val="14"/>
                <w:color w:val="auto"/>
              </w:rPr>
              <w:t>Syros Pharmaceuticals</w:t>
            </w:r>
          </w:p>
        </w:tc>
      </w:tr>
      <w:tr>
        <w:trPr>
          <w:trHeight w:val="148"/>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Glycomimetics</w:t>
            </w:r>
          </w:p>
        </w:tc>
        <w:tc>
          <w:tcPr>
            <w:tcW w:w="6960" w:type="dxa"/>
            <w:vAlign w:val="bottom"/>
            <w:shd w:val="clear" w:color="auto" w:fill="CFF0FC"/>
          </w:tcPr>
          <w:p>
            <w:pPr>
              <w:ind w:left="2080"/>
              <w:spacing w:after="0" w:line="149" w:lineRule="exact"/>
              <w:rPr>
                <w:sz w:val="20"/>
                <w:szCs w:val="20"/>
                <w:color w:val="auto"/>
              </w:rPr>
            </w:pPr>
            <w:r>
              <w:rPr>
                <w:rFonts w:ascii="Times New Roman" w:cs="Times New Roman" w:eastAsia="Times New Roman" w:hAnsi="Times New Roman"/>
                <w:sz w:val="14"/>
                <w:szCs w:val="14"/>
                <w:color w:val="auto"/>
              </w:rPr>
              <w:t>UroGen Pharma Ltd.</w:t>
            </w: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Karyopharm Therapeutics</w:t>
            </w:r>
          </w:p>
        </w:tc>
        <w:tc>
          <w:tcPr>
            <w:tcW w:w="696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Verastem</w:t>
            </w: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Stockholder Say-on-Pay Votes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At our annual meeting of stockholders held in January 2025, approximately 66% of the shares voted at the meeting approved, on an advisory basis, the compensation of our named executive officers. The Compensation Committee considers input from stockholders, its compensation consultant and proxy advisors, when assessing its compensation philosophy and the components of its compensation program, giving further consideration to the level of attainment of corporate goals and to the compensation data of our peer group so that compensation decisions are broadly consistent with market practice. The Compensation Committee did not change the compensation program for fiscal 2025 as a result of the Say on Pay vote in January 2025 because principal executive officer had changed in the meantime, and CEO compensation during fiscal year 2025 had a relatively low value in recognition of the strategic alternatives review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Acting Chief Executive Officer and Chief Financial Officer’s compensation has three key elements: (i) base salary, (ii) performance-based cash incentives and (iii) equity-based compensation. These elements of executive compensation are intended to align the interests of our executive officers with those of our stockholders.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Base salaries serve to provide a fixed amount of compensation to our executive officers for successfully fulfilling their responsibilities. We establish base salaries for our executive officers when they join us or upon promotion. Base salaries for executive officers are reviewed and determined by the Compensation Committee annually during the first fiscal quarter, or upon promotion, following consultation with our compensation consultant. In connection with the Board's appointment of Justin J. File, our then current Chief Financial Officer, to serve in the additional capacity of Acting Chief Executive Officer, the Compensation Committee increased Mr. File's salary from $450,000 to $550,000, effective August 1, 2024.</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Mr. Urso’s and Mr. Ghalie’s employment terminated after approximately one month of service during fiscal year 2025. They were not provided a salary increase during that time and most of their compensation reported in the Summary Compensation Table reflects severance provided upon their termination.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Cash Incentives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Compensation Committee believes that allocating a meaningful amount of our executive officers’ total cash compensation to the achievement of corporate goals and objectives aligns their interests with those of our stockholders. The Compensation Committee establishes annual corporate incentive bonus targets for each of our executive officers, expressed as a percent of base salary. Fiscal year 2025 bonus targets as a percent of base salary were set at the start of the fiscal year at 50% for Mr. Urso and 40% for Dr. Ghalie and Mr. File. In connection with the Board's appointment of Justin J. File, our then current Chief Financial Officer, to serve in the additional capacity of Acting Chief Executive Officer, the Compensation Committee increased Mr. File's annual corporate incentive bonus target from 40% to 50%. The corporate goals and objectives are generally critical activities or strategic initiatives designed to move forward the clinical and operating activities and enhance stockholder return. However, in light of the strategic alternatives announcement and potential cessation of operations during the year Mr. File’s, the Acting Chief Executive Officer, performance-based cash incentive for fiscal year 2025 was based on his 50% target bonuses as Acting Chief Executive Officer, and he was also provided a </w:t>
      </w:r>
      <w:r>
        <w:rPr>
          <w:rFonts w:ascii="Times New Roman" w:cs="Times New Roman" w:eastAsia="Times New Roman" w:hAnsi="Times New Roman"/>
          <w:sz w:val="16"/>
          <w:szCs w:val="16"/>
          <w:color w:val="auto"/>
        </w:rPr>
        <w:t>$96,000 Success Fee related to retention of cash in excess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the forecast during the nine months ending March 31, 2025.</w:t>
      </w:r>
      <w:r>
        <w:rPr>
          <w:rFonts w:ascii="Times New Roman" w:cs="Times New Roman" w:eastAsia="Times New Roman" w:hAnsi="Times New Roman"/>
          <w:sz w:val="17"/>
          <w:szCs w:val="17"/>
          <w:color w:val="auto"/>
        </w:rPr>
        <w:t>. The Committee viewed preserving the Company’s cash as the most important metric for measuring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Mr. File’s success as it directly benefited shareholders in the event that the strategic review had resulted in liquidation of the Company. Mr. Urso and Mr, Ghalie terminated employment after approximately one month of fiscal 2025 service and did not participate in the cash bonus plan for fiscal 2025.</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long-term value creation is achieved through an ownership culture that encourages performance by our executive officers through stock and stock-based awards. This potential reward for stockholder value creation is also key to our retention strategy. Under our Amended and Restated MEI Pharma, Inc. 2008 Omnibus Equity Compensation Plan (the 2008 Equity Plan), we may award incentive and non-qualified stock options, stock appreciation rights, restricted stock, restricted stock units and performance shares and units. Stock options expire after 10 years, have an exercise price equal to the fair market value at grant, typically vest 25% after one year and in equal monthly installments thereafter over the next 36 months and have a three-month post-termination exercise period.</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Due to our strategic alternatives announcement during the first quarter of fiscal year 2025, we did not conduct our regular annual equity grant cycle and no equity compensation grants were awarded to our executive officers or employees during our fiscal year ended June 30, 2025. All options granted before and during fiscal year 2024 are currently underwater as of the date of the filing of this Annual Report and do not provide any value at our current share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Benefits and Perquisites</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We offer benefit programs to our employees, including named executive officers, which include paid time off, health insurance and a company sponsored 401(k) plan. Our executive officers generally do not receive any supplemental retirement benefits or perquisites and participate in the above listed benefit programs on the same basis as other full-time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Agreements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Each of Messrs File, Urso and Dr. Ghalie’s employment agreements provide or provided for certain severance payments upon the applicable employee’s termination by us, other than for cause or by the applicable employee for good reason, as such terms are defined in the respective employment agreement. Upon such a termination of employment, the employment agreements require us to: (i) make a payment to the applicable employee in lieu of notice in an amount equal to twelve months of such employee’s base salary (as in effect at the time of such employee’s termination from employment) and</w:t>
      </w:r>
    </w:p>
    <w:p>
      <w:pPr>
        <w:spacing w:after="0" w:line="3" w:lineRule="exact"/>
        <w:rPr>
          <w:sz w:val="20"/>
          <w:szCs w:val="20"/>
          <w:color w:val="auto"/>
        </w:rPr>
      </w:pPr>
    </w:p>
    <w:p>
      <w:pPr>
        <w:ind w:right="20" w:firstLine="8"/>
        <w:spacing w:after="0" w:line="252"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the applicable employee’s options so that such employee will be vested in the same number of shares of common stock subject to the options as if such employee had continued to be employed by us for an additional twelve months. Such payment and additional option vesting are conditional upon the execution of a customary release of claims in favor of us and our affiliates, in a form prescribed by us. The payment in lieu of notice will be paid to the applicable employee in a single lump sum payment as soon as administratively practicable after the maximum review and revocation period for the release agreement as may be required under applicable law, if any, or such earlier date as determined in our sole discretion, but in no event more than 60 days after the applicable employee’s termination of employment.</w:t>
      </w:r>
    </w:p>
    <w:p>
      <w:pPr>
        <w:spacing w:after="0" w:line="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Mr. Urso's and Dr. Ghalie's last day as CEO and CMO was on August 1, 2024. Mr. Urso and Dr. Ghalie’s severance was paid pursuant to their employment agreements dated June 2, 2023 and January 16, 2024, respectively, (and as further documented in their respective separation and release agreements dated August 4, 2024 and August 3, 2024, respectively) with 12 months base salary and accelerated vesting of the portion of their stock options that would have vested over the next 12 months, plus their pro-rata fiscal year 2025 bonus as calculated from their last day of employment. Further, a total of 61,646 options accelerated for Mr. Urso and 18,861 for Dr. Ghalie, reflecting the number of shares which would have vested during the next 12 months, respectively. Mr. Urso’s and Dr. Ghalie’s vested options may be exercised after separation of service for one year until August 1, 2025, not to exceed their original term, if applicable. If their respective consulting agreements remain in place after August 1, 2025, their vested option grants will continue to be exercisable until 90 days post termination of their respective consulting agreements, as provided for in our equity compensation plan. As of the fiscal year ended June 30, 2025, only Dr. Ghalie’s consulting agreement continues to be active and his vested options exercisable.</w:t>
      </w:r>
    </w:p>
    <w:p>
      <w:pPr>
        <w:spacing w:after="0" w:line="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Mr. File’s employment would have been terminated as of June 30, 2025, he would have been entitled to receive payments in accordance with this Amended and Restated Employment Agreement dated March 30, 2025. Additionally, he would have been entitled to 12 months of options vesting that aggregated 13,326 as of June 30, 2025. There was no intrinsic value of the option vesting acceleration as of June 30, 2025, because all options were underwater.</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as defined in the 2008 Equity Plan, unless the Compensation Committee of the Board determines otherwise, all options granted to Mr. File will accelerate and become fully exercisable effective upon the date of the change in control. There was no intrinsic value of unvested stock options as of June 30, 2025, upon a change in control, because all options were underwater.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Retention Bonus</w:t>
      </w:r>
    </w:p>
    <w:p>
      <w:pPr>
        <w:spacing w:after="0" w:line="121" w:lineRule="exact"/>
        <w:rPr>
          <w:sz w:val="20"/>
          <w:szCs w:val="20"/>
          <w:color w:val="auto"/>
        </w:rPr>
      </w:pPr>
    </w:p>
    <w:p>
      <w:pPr>
        <w:ind w:right="20" w:firstLine="554"/>
        <w:spacing w:after="0" w:line="261" w:lineRule="auto"/>
        <w:rPr>
          <w:sz w:val="20"/>
          <w:szCs w:val="20"/>
          <w:color w:val="auto"/>
        </w:rPr>
      </w:pPr>
      <w:r>
        <w:rPr>
          <w:rFonts w:ascii="Times New Roman" w:cs="Times New Roman" w:eastAsia="Times New Roman" w:hAnsi="Times New Roman"/>
          <w:sz w:val="18"/>
          <w:szCs w:val="18"/>
          <w:color w:val="auto"/>
        </w:rPr>
        <w:t>As provided for in Mr. File’s Amended and Restated Employment Agreement, he is entitled to receive a retention bonus equal to $412,500 that will be payable as a lump sum payment within 30 days of the Retention Date (defined below), provided that through the Retention Date, Mr. File (i) remains actively employed by the Company in good standing and has not provided notice of his resignation from the Company, (ii) continues to perform his regular job duties and other duties specifically assigned to him by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Board, and (iii) continues to comply with the Company’s policies and agreements (as defined in the Amended and Restated Employment Agreement). The “Retention Date” means the first to occur of (i) the closing date of a change in control, (ii) the date of Mr. File’s termination of employment by the Company without cause, termination for good reason, or termination due to death or disability, (iii) the date that is 30 days after the date on which the Board of the Company approves the dissolution, wind down, liquidation or other winding-up of the Company, or (iv)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tax and accounting consequences to us of certain compensation elements are important considerations for the Compensation Committee when evaluating and recommending compensation packages for our executive officers. Generally, the Compensation Committee seeks to balance its objective to create an effective compensation program that attracts, retains and rewards executives in order to maximize the return to stockholders with the need for appropriate tax and accounting consequences of such compensation.</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considering the tax consequences, the Compensation Committee considers the accounting consequences of its decisions, including the impact of expenses being recognized in connection with equity-based awards, in determining the size and form of different equity-based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SEC rules require us to disclose the total annual compensation of our principal executive officer for fiscal year 2025, who was Justin J. File, our Acting Chief Executive Officer and Chief Financial Officer, the median of the total annual compensation of all employees other than our principal executive officer, as well as their ratio to each other (the CEO Pay Ratio). Total annual compensation for our principal executive officer and for the median of the total annual compensation of all employees is calculated in accordance with SEC rules applicable to the Summary Compensation Table. For fiscal year 2025, these amounts were as follows:</w:t>
      </w:r>
    </w:p>
    <w:p>
      <w:pPr>
        <w:spacing w:after="0" w:line="75"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executive officer’s total annual compensation: $912,667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employee’s total annual compensation: $350,117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Pay Ratio: 2.61 to 1</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determining the median compensated employee, we chose June 30, 2025, as the determination date. As of this date, we had three employees, excluding our principal executive officer. In determining our median compensated employee and calculating the CEO Pay Ratio, we did not use any of the exemptions permitted under SEC rules, nor did we rely upon any material assumptions, adjustments or estimates.</w:t>
      </w:r>
    </w:p>
    <w:p>
      <w:pPr>
        <w:spacing w:after="0" w:line="68"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CEO Pay Ratio set forth above is a reasonable estimate for fiscal year 2025, determined in a manner consistent with SEC rules. The SEC rules for identifying the median compensated employee and calculating the CEO Pay Ratio based on that employee’s total annual compensation permit companies to adopt a variety of methodologies, to apply certain exemptions and to make certain assumptions, adjustments or estimates that reflect their compensation policies. Accordingly, the CEO Pay Ratio may not be comparable to the pay ratios reported by other companies, which may have used different methodologies, assumptions, adjustments or estimates in calculating their pay ratios.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Compensation Committee has reviewed and discussed the Compensation Discussion and Analysis required by Item 402(b) of Regulation S-K and contained within this Proxy Statement with management. Based on such review and discussions, our Compensation Committee recommended to our Board that the Compensation Discussion and Analysis be included as of the date of filing for this Annual Report, by the members of the Compensation Committee of the Board: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Dr. Nicholas R. Glover</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Dr. Thomas C. Reynolds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Mr. James Flynn</w:t>
      </w:r>
    </w:p>
    <w:p>
      <w:pPr>
        <w:spacing w:after="0" w:line="223"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is not soliciting material, is not deemed filed with the SEC and is not to be incorporated by reference in any filing of our under the Exchange Act or the Securities Act, other than in our Annual Report on Form 10-K where it shall be deemed to be furnished, whether made before or after the date hereof and irrespective of any general incorporation language in any such filing.</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June 30, 2025, were:</w:t>
      </w:r>
    </w:p>
    <w:p>
      <w:pPr>
        <w:spacing w:after="0" w:line="333"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J. File, Acting Chief Financial Officer, Chief Financial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 Urso, former President and Chief Executive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G. Ghalie, former Chief Medical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table below sets forth for the fiscal years ended June 30, 2025 and 2024, the compensation of our named executive officers.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2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1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2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tcPr>
          <w:p>
            <w:pPr>
              <w:spacing w:after="0"/>
              <w:rPr>
                <w:sz w:val="12"/>
                <w:szCs w:val="12"/>
                <w:color w:val="auto"/>
              </w:rPr>
            </w:pPr>
          </w:p>
        </w:tc>
        <w:tc>
          <w:tcPr>
            <w:tcW w:w="11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Total ($) (3)</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Justin J. File (4)</w:t>
            </w:r>
          </w:p>
        </w:tc>
        <w:tc>
          <w:tcPr>
            <w:tcW w:w="6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16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541,667</w:t>
            </w:r>
          </w:p>
        </w:tc>
        <w:tc>
          <w:tcPr>
            <w:tcW w:w="3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5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371,000</w:t>
            </w:r>
          </w:p>
        </w:tc>
        <w:tc>
          <w:tcPr>
            <w:tcW w:w="580" w:type="dxa"/>
            <w:vAlign w:val="bottom"/>
            <w:shd w:val="clear" w:color="auto" w:fill="CCEEFF"/>
          </w:tcPr>
          <w:p>
            <w:pPr>
              <w:ind w:left="140"/>
              <w:spacing w:after="0" w:line="118" w:lineRule="exact"/>
              <w:rPr>
                <w:sz w:val="20"/>
                <w:szCs w:val="20"/>
                <w:color w:val="auto"/>
              </w:rPr>
            </w:pPr>
            <w:r>
              <w:rPr>
                <w:rFonts w:ascii="Times New Roman" w:cs="Times New Roman" w:eastAsia="Times New Roman" w:hAnsi="Times New Roman"/>
                <w:sz w:val="13"/>
                <w:szCs w:val="13"/>
                <w:color w:val="auto"/>
              </w:rPr>
              <w:t>(5)</w:t>
            </w:r>
          </w:p>
        </w:tc>
        <w:tc>
          <w:tcPr>
            <w:tcW w:w="320" w:type="dxa"/>
            <w:vAlign w:val="bottom"/>
            <w:gridSpan w:val="2"/>
            <w:shd w:val="clear" w:color="auto" w:fill="CCEEFF"/>
          </w:tcPr>
          <w:p>
            <w:pPr>
              <w:ind w:left="2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20"/>
              <w:spacing w:after="0" w:line="118"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912,667</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Acting Chief Executive Officer, Chief</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164,700</w:t>
            </w:r>
          </w:p>
        </w:tc>
        <w:tc>
          <w:tcPr>
            <w:tcW w:w="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3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614,700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Financial Officer</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David M. Urso (7)</w:t>
            </w: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53,528</w:t>
            </w:r>
          </w:p>
        </w:tc>
        <w:tc>
          <w:tcPr>
            <w:tcW w:w="3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500"/>
              <w:spacing w:after="0" w:line="124"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320" w:type="dxa"/>
            <w:vAlign w:val="bottom"/>
            <w:gridSpan w:val="2"/>
          </w:tcPr>
          <w:p>
            <w:pPr>
              <w:ind w:left="2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812,730</w:t>
            </w:r>
          </w:p>
        </w:tc>
        <w:tc>
          <w:tcPr>
            <w:tcW w:w="480" w:type="dxa"/>
            <w:vAlign w:val="bottom"/>
          </w:tcPr>
          <w:p>
            <w:pPr>
              <w:ind w:left="140"/>
              <w:spacing w:after="0" w:line="124"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866,258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Former President and Chief Executive</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614,000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280,905</w:t>
            </w: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(8)</w:t>
            </w:r>
          </w:p>
        </w:tc>
        <w:tc>
          <w:tcPr>
            <w:tcW w:w="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894,905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2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Richard G. Ghalie (10)</w:t>
            </w:r>
          </w:p>
        </w:tc>
        <w:tc>
          <w:tcPr>
            <w:tcW w:w="6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43,866</w:t>
            </w:r>
          </w:p>
        </w:tc>
        <w:tc>
          <w:tcPr>
            <w:tcW w:w="32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500"/>
              <w:spacing w:after="0" w:line="124"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633,796</w:t>
            </w:r>
          </w:p>
        </w:tc>
        <w:tc>
          <w:tcPr>
            <w:tcW w:w="48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677,662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Former Chief Medical Officer</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503,165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184,158</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847,123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100" w:hanging="502"/>
        <w:spacing w:after="0" w:line="281"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 date fair value of restricted stock unit awards (RSUs) granted in accordance with Financial Accounting Standards Board, Accounting Standards Codification, Topic 718, Stock Compensation (ASC Topic 718), calculated based on the closing market price of our common stock on the date of grant.</w:t>
      </w:r>
    </w:p>
    <w:p>
      <w:pPr>
        <w:spacing w:after="0" w:line="69" w:lineRule="exact"/>
        <w:rPr>
          <w:rFonts w:ascii="Times New Roman" w:cs="Times New Roman" w:eastAsia="Times New Roman" w:hAnsi="Times New Roman"/>
          <w:sz w:val="16"/>
          <w:szCs w:val="16"/>
          <w:color w:val="auto"/>
        </w:rPr>
      </w:pPr>
    </w:p>
    <w:p>
      <w:pPr>
        <w:ind w:left="660" w:right="120" w:hanging="502"/>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 date fair value of options granted in accordance with ASC Topic 718. There we no equity awards granted to our named executive officers during fiscal year 2025.</w:t>
      </w:r>
    </w:p>
    <w:p>
      <w:pPr>
        <w:spacing w:after="0" w:line="56" w:lineRule="exact"/>
        <w:rPr>
          <w:rFonts w:ascii="Times New Roman" w:cs="Times New Roman" w:eastAsia="Times New Roman" w:hAnsi="Times New Roman"/>
          <w:sz w:val="16"/>
          <w:szCs w:val="16"/>
          <w:color w:val="auto"/>
        </w:rPr>
      </w:pPr>
    </w:p>
    <w:p>
      <w:pPr>
        <w:ind w:left="660" w:right="220" w:hanging="502"/>
        <w:spacing w:after="0" w:line="281"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SEC rules, the compensation described in this table does not include various health and welfare or other benefits received by our named executive officers that were generally available to all our regular, full-time employees, as well as certain perquisites and other benefits received by our name executive officers that, in the aggregated, were less than $10,000 for any officer.</w:t>
      </w:r>
    </w:p>
    <w:p>
      <w:pPr>
        <w:spacing w:after="0" w:line="69"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August 1, 2024, Mr. File became our Acting Chief Executive Officer, in addition to his Chief Financial Officer role that was effective August 1, 2023.</w:t>
      </w:r>
    </w:p>
    <w:p>
      <w:pPr>
        <w:spacing w:after="0" w:line="126" w:lineRule="exact"/>
        <w:rPr>
          <w:rFonts w:ascii="Times New Roman" w:cs="Times New Roman" w:eastAsia="Times New Roman" w:hAnsi="Times New Roman"/>
          <w:sz w:val="16"/>
          <w:szCs w:val="16"/>
          <w:color w:val="auto"/>
        </w:rPr>
      </w:pPr>
    </w:p>
    <w:p>
      <w:pPr>
        <w:ind w:left="660" w:right="100" w:hanging="502"/>
        <w:spacing w:after="0" w:line="281"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terms of his Amended and Restated Employment Agreement dated March 30, 2025, during fiscal year 2025 Mr. File was paid a $275,000 annual incentive bonus, which represented 50% of his base salary and a $96,000 Success Fee related to the net absolute cash retention from operations as compared to forecasted cash usage through the nine months ending March 31, 2025.</w:t>
      </w:r>
    </w:p>
    <w:p>
      <w:pPr>
        <w:spacing w:after="0" w:line="69" w:lineRule="exact"/>
        <w:rPr>
          <w:rFonts w:ascii="Times New Roman" w:cs="Times New Roman" w:eastAsia="Times New Roman" w:hAnsi="Times New Roman"/>
          <w:sz w:val="16"/>
          <w:szCs w:val="16"/>
          <w:color w:val="auto"/>
        </w:rPr>
      </w:pPr>
    </w:p>
    <w:p>
      <w:pPr>
        <w:ind w:left="660" w:right="300" w:hanging="502"/>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year 2024, Mr. File received a bonus of 37% of his base salary for fiscal year 2024 upon the Compensation Committee's determination to award bonuses at 91.5% of target levels.</w:t>
      </w:r>
    </w:p>
    <w:p>
      <w:pPr>
        <w:spacing w:after="0" w:line="5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Urso resigned as our President and chief Executive Officer on August 1, 2024.</w:t>
      </w:r>
    </w:p>
    <w:p>
      <w:pPr>
        <w:spacing w:after="0" w:line="126" w:lineRule="exact"/>
        <w:rPr>
          <w:rFonts w:ascii="Times New Roman" w:cs="Times New Roman" w:eastAsia="Times New Roman" w:hAnsi="Times New Roman"/>
          <w:sz w:val="16"/>
          <w:szCs w:val="16"/>
          <w:color w:val="auto"/>
        </w:rPr>
      </w:pPr>
    </w:p>
    <w:p>
      <w:pPr>
        <w:ind w:left="660" w:hanging="502"/>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year 2024, Mr. Urso received a bonus of 46% of his base salary for the fiscal year 2024 upon the Compensation Committee's determination to award bonuses at 91.5% of target levels.</w:t>
      </w:r>
    </w:p>
    <w:p>
      <w:pPr>
        <w:spacing w:after="0" w:line="56" w:lineRule="exact"/>
        <w:rPr>
          <w:rFonts w:ascii="Times New Roman" w:cs="Times New Roman" w:eastAsia="Times New Roman" w:hAnsi="Times New Roman"/>
          <w:sz w:val="16"/>
          <w:szCs w:val="16"/>
          <w:color w:val="auto"/>
        </w:rPr>
      </w:pPr>
    </w:p>
    <w:p>
      <w:pPr>
        <w:ind w:left="660" w:right="320" w:hanging="502"/>
        <w:spacing w:after="0" w:line="275"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terms of Mr. Urso's Separation and Release Agreement, dated August 4, 2024 (Mr. Urso's Separation and Release Agreement), during fiscal year 2025, he received a bonus of $25,583, which represented 48% of his base salary and reflected his pro-rata bonus through the date of resignation. Additionally, per the terms of Mr. Urso's Separation and Release Agreement, he received $614,000 in severance, $95,639 for his paid time off benefits accumulated as of his resignation date and $77,358 for COBRA.</w:t>
      </w:r>
    </w:p>
    <w:p>
      <w:pPr>
        <w:spacing w:after="0" w:line="74"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Ghalie resigned as our Chief Medical Officer on August 1, 2024.</w:t>
      </w:r>
    </w:p>
    <w:p>
      <w:pPr>
        <w:spacing w:after="0" w:line="126" w:lineRule="exact"/>
        <w:rPr>
          <w:rFonts w:ascii="Times New Roman" w:cs="Times New Roman" w:eastAsia="Times New Roman" w:hAnsi="Times New Roman"/>
          <w:sz w:val="16"/>
          <w:szCs w:val="16"/>
          <w:color w:val="auto"/>
        </w:rPr>
      </w:pPr>
    </w:p>
    <w:p>
      <w:pPr>
        <w:ind w:left="660" w:right="160" w:hanging="502"/>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year 2024, Dr. Ghalie received a bonus of 37% of his base salary for fiscal year 2024 upon the Compensation Committee's determination to award bonuses at 91.5% of target levels.</w:t>
      </w:r>
    </w:p>
    <w:p>
      <w:pPr>
        <w:spacing w:after="0" w:line="56" w:lineRule="exact"/>
        <w:rPr>
          <w:rFonts w:ascii="Times New Roman" w:cs="Times New Roman" w:eastAsia="Times New Roman" w:hAnsi="Times New Roman"/>
          <w:sz w:val="16"/>
          <w:szCs w:val="16"/>
          <w:color w:val="auto"/>
        </w:rPr>
      </w:pPr>
    </w:p>
    <w:p>
      <w:pPr>
        <w:ind w:left="660" w:right="140" w:hanging="502"/>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terms of Dr. Ghalie's Separation and Release Agreement, dated August 3, 2024 (Dr. Ghalie's Separation and Release Agreement), during fiscal year, he received a bonus of $16,772, which represented 38% of his base salary and reflected his pro-rata bonus</w:t>
      </w:r>
    </w:p>
    <w:p>
      <w:pPr>
        <w:sectPr>
          <w:pgSz w:w="11900" w:h="16838" w:orient="portrait"/>
          <w:cols w:equalWidth="0" w:num="1">
            <w:col w:w="11200"/>
          </w:cols>
          <w:pgMar w:left="320" w:top="117" w:right="379" w:bottom="1440" w:gutter="0" w:footer="0" w:header="0"/>
        </w:sectPr>
      </w:pP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right="60"/>
        <w:spacing w:after="0" w:line="298" w:lineRule="auto"/>
        <w:rPr>
          <w:sz w:val="20"/>
          <w:szCs w:val="20"/>
          <w:color w:val="auto"/>
        </w:rPr>
      </w:pPr>
      <w:r>
        <w:rPr>
          <w:rFonts w:ascii="Times New Roman" w:cs="Times New Roman" w:eastAsia="Times New Roman" w:hAnsi="Times New Roman"/>
          <w:sz w:val="16"/>
          <w:szCs w:val="16"/>
          <w:color w:val="auto"/>
        </w:rPr>
        <w:t>through the date of his resignation. Additionally, per the terms of Dr. Ghalie's Separation and Release Agreement, he received $503,165 in severance, $78,375 for his paid time off benefits accumulated as of his resignation date and $35,334 for COBRA.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the named executive officers, which set forth the terms of their respective employments.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Employment Agreement between Justin J. File and Lite Strategy</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Mr. File’s appointment as Chief Financial Officer, Mr. File and Lite Strategy entered into an employment agreement (the CFO Employment Agreement), effective as of June 12, 2023. The CFO Employment Agreement provides for an annual base salary of $450,000, with a target annual bonus opportunity of 40% of base salary. Mr. File is also eligible to participate in Lite Strategy’s health, retirement, expense reimbursement and other benefit plans.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CFO Employment Agreement provides for a grant as of June 12, 2023 of an option to purchase a number of shares of Lite Strategy’s common stock, under Lite Strategy’s equity compensation plan, equal to 0.8% of Lite Strategy’s outstanding shares as of the date of grant, with vesting over a 4-year period, full vesting on a change in control and other terms and conditions consistent with the CFO Employment Agreement and grants made to other senior executives. The exercise price of the CFO Initial Grant was equal to the Nasdaq closing price per share of Lite Strategy’s stock on the date of grant. For 2024 and subsequent years, Mr. File will be eligible to receive equity awards on similar terms as other senior executives of Lite Strategy.</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CFO Employment Agreement, if Mr. File’s employment is terminated by Lite Strategy without cause or Mr. File resigns for good reason, Mr. File will be eligible to receive the following severance benefits if he signs an effective release of claims: (i) lump sum payment equal to 12 months of his base salary, (ii) if he elects COBRA health care continuation coverage, Lite Strategy will pay the monthly COBRA premium for 12 months, (iii) payment of a pro-rata annual bonus, if any, for the year of termination and (iv) accelerated vesting of a portion of Mr. File’s outstanding stock options equal to the number of options that would have vested if he had continued to be employed by Lite Strategy for 12 months following termination. The CFO Employment Agreement also provides that if, within three months before a change in control, Lite Strategy terminates Mr. File’s employment without cause at the request of the other party to the change in control transaction, or if, upon or within two years following a change in control, Mr. File’s employment is terminated by Lite Strategy without cause or Mr. File resigns for good reason, Mr. File’s outstanding stock options will fully vest and become exercisable as of his termination date, provided that he signs an effective release.</w:t>
      </w:r>
    </w:p>
    <w:p>
      <w:pPr>
        <w:spacing w:after="0" w:line="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Mr. File’s employment is terminated due to his death or disability, vesting of a portion of Mr. File’s outstanding stock options will accelerate equal to the number of options that would have vested if he had continued to be employed by Lite Strategy for 12 months following termination, subject to his execution of an effective release in the event of disability.</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our announcement on July 22, 2024 to pursue strategic alternatives, Mr. File and Lite Strategy entered into an addendum to his employment agreement effective August 1, 2024. Under the addendum, Mr. File was appointed by the Board to serve in the additional capacity of Acting Chief Executive Officer and provided an increase in his annual base salary to $550,000 and an increase in his target annual bonus opportunity to 50% of base salary. In addition, Mr. File was eligible to receive a success fee if the closing cash balance exceeds a specified amount determined by the Board as of the first to occur of (i) December 31, 2024 or (ii) the closing date of a change in control (the Measurement Date). The success fee will equal 10% of the closing cash balance in excess of the specified amount as of the Measurement Date and will be paid in a lump sum cash payment on the first to occur of (i) June 30, 2025, or (ii) Mr. File’s termination of employment by us without cause, subject to Mr. File remaining employed by us through the payment date of the success fee.</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Subsequently, on March 3, 2025, Mr. File and Lite Strategy entered into an amendment and restatement of the addendum (the Amended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File Employment Agreement), whereby he would receive:</w:t>
      </w:r>
    </w:p>
    <w:p>
      <w:pPr>
        <w:spacing w:after="0" w:line="9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retention bonus equal to $412,500 if certain conditions were met within 30 days of the Retention Date (as defined therein);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fee was redefined to be 10% of our net absolute cash retention as compared to our forecasted cash usage, measured as of March 31,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If Mr. File’s employment is terminated by us other than for cause or Mr. File resigns for “good reason” (as defined), Mr. File would be eligible to receive the following severance benefits:</w:t>
      </w:r>
    </w:p>
    <w:p>
      <w:pPr>
        <w:spacing w:after="0" w:line="54" w:lineRule="exact"/>
        <w:rPr>
          <w:sz w:val="20"/>
          <w:szCs w:val="20"/>
          <w:color w:val="auto"/>
        </w:rPr>
      </w:pPr>
    </w:p>
    <w:p>
      <w:pPr>
        <w:ind w:left="1260" w:hanging="369"/>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12 months of his base salary;</w:t>
      </w:r>
    </w:p>
    <w:p>
      <w:pPr>
        <w:spacing w:after="0" w:line="117" w:lineRule="exact"/>
        <w:rPr>
          <w:rFonts w:ascii="Times New Roman" w:cs="Times New Roman" w:eastAsia="Times New Roman" w:hAnsi="Times New Roman"/>
          <w:sz w:val="18"/>
          <w:szCs w:val="18"/>
          <w:color w:val="auto"/>
        </w:rPr>
      </w:pPr>
    </w:p>
    <w:p>
      <w:pPr>
        <w:ind w:left="1260" w:hanging="369"/>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$70,669;</w:t>
      </w:r>
    </w:p>
    <w:p>
      <w:pPr>
        <w:spacing w:after="0" w:line="117" w:lineRule="exact"/>
        <w:rPr>
          <w:rFonts w:ascii="Times New Roman" w:cs="Times New Roman" w:eastAsia="Times New Roman" w:hAnsi="Times New Roman"/>
          <w:sz w:val="18"/>
          <w:szCs w:val="18"/>
          <w:color w:val="auto"/>
        </w:rPr>
      </w:pPr>
    </w:p>
    <w:p>
      <w:pPr>
        <w:ind w:left="1260" w:hanging="369"/>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date is prior to June 30, 2025, a lump sum payment of a pro-rata target annual bonus for the year of termination;</w:t>
      </w:r>
    </w:p>
    <w:p>
      <w:pPr>
        <w:spacing w:after="0" w:line="117" w:lineRule="exact"/>
        <w:rPr>
          <w:rFonts w:ascii="Times New Roman" w:cs="Times New Roman" w:eastAsia="Times New Roman" w:hAnsi="Times New Roman"/>
          <w:sz w:val="18"/>
          <w:szCs w:val="18"/>
          <w:color w:val="auto"/>
        </w:rPr>
      </w:pPr>
    </w:p>
    <w:p>
      <w:pPr>
        <w:ind w:left="1260" w:hanging="369"/>
        <w:spacing w:after="0" w:line="282"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 portion of his outstanding stock options equal to the number of options that would have vested if he had continued to be employed by us for 12 months following termination;</w:t>
      </w:r>
    </w:p>
    <w:p>
      <w:pPr>
        <w:spacing w:after="0" w:line="53" w:lineRule="exact"/>
        <w:rPr>
          <w:rFonts w:ascii="Times New Roman" w:cs="Times New Roman" w:eastAsia="Times New Roman" w:hAnsi="Times New Roman"/>
          <w:sz w:val="18"/>
          <w:szCs w:val="18"/>
          <w:color w:val="auto"/>
        </w:rPr>
      </w:pPr>
    </w:p>
    <w:p>
      <w:pPr>
        <w:ind w:left="1260" w:hanging="369"/>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bonus; and</w:t>
      </w:r>
    </w:p>
    <w:p>
      <w:pPr>
        <w:spacing w:after="0" w:line="117" w:lineRule="exact"/>
        <w:rPr>
          <w:rFonts w:ascii="Times New Roman" w:cs="Times New Roman" w:eastAsia="Times New Roman" w:hAnsi="Times New Roman"/>
          <w:sz w:val="18"/>
          <w:szCs w:val="18"/>
          <w:color w:val="auto"/>
        </w:rPr>
      </w:pPr>
    </w:p>
    <w:p>
      <w:pPr>
        <w:ind w:left="1260" w:hanging="369"/>
        <w:spacing w:after="0"/>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fee.</w:t>
      </w:r>
    </w:p>
    <w:p>
      <w:pPr>
        <w:spacing w:after="0" w:line="225" w:lineRule="exact"/>
        <w:rPr>
          <w:sz w:val="20"/>
          <w:szCs w:val="20"/>
          <w:color w:val="auto"/>
        </w:rPr>
      </w:pPr>
    </w:p>
    <w:p>
      <w:pPr>
        <w:ind w:right="40" w:firstLine="469"/>
        <w:spacing w:after="0" w:line="266" w:lineRule="auto"/>
        <w:rPr>
          <w:sz w:val="20"/>
          <w:szCs w:val="20"/>
          <w:color w:val="auto"/>
        </w:rPr>
      </w:pPr>
      <w:r>
        <w:rPr>
          <w:rFonts w:ascii="Times New Roman" w:cs="Times New Roman" w:eastAsia="Times New Roman" w:hAnsi="Times New Roman"/>
          <w:sz w:val="18"/>
          <w:szCs w:val="18"/>
          <w:color w:val="auto"/>
        </w:rPr>
        <w:t>If Mr. File was employed by us through our fiscal year end of June 30, 2025, he would be eligible to receive his full year’s annual bonus opportunity of 50% of his base salary. The term of the Amended and Restated File Employment Agreement is from the date of the agreement through September 30, 2025, unless terminated earlier by us or Mr. File.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Employment Agreements between David M. Urso and Richard Ghalie and Lite Strategy</w:t>
      </w:r>
    </w:p>
    <w:p>
      <w:pPr>
        <w:spacing w:after="0" w:line="11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Effective August 1, 2024, both our former Chief Executive Officer, David Urso and our former Chief Medical Officer, Richard G. Ghalie, resigned. In accordance with the terms of Mr. Urso and Dr. Ghalie’s separation agreements, each was eligible to receive the following benefits under their respective employment agreements commensurate with a termination without cause (as defined):</w:t>
      </w:r>
    </w:p>
    <w:p>
      <w:pPr>
        <w:spacing w:after="0" w:line="68" w:lineRule="exact"/>
        <w:rPr>
          <w:sz w:val="20"/>
          <w:szCs w:val="20"/>
          <w:color w:val="auto"/>
        </w:rPr>
      </w:pPr>
    </w:p>
    <w:p>
      <w:pPr>
        <w:ind w:left="1260" w:hanging="369"/>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equal to 12 months of base salary;</w:t>
      </w:r>
    </w:p>
    <w:p>
      <w:pPr>
        <w:spacing w:after="0" w:line="117" w:lineRule="exact"/>
        <w:rPr>
          <w:rFonts w:ascii="Times New Roman" w:cs="Times New Roman" w:eastAsia="Times New Roman" w:hAnsi="Times New Roman"/>
          <w:sz w:val="18"/>
          <w:szCs w:val="18"/>
          <w:color w:val="auto"/>
        </w:rPr>
      </w:pPr>
    </w:p>
    <w:p>
      <w:pPr>
        <w:ind w:left="1260" w:hanging="369"/>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for the fiscal year ending June 30, 2025;</w:t>
      </w:r>
    </w:p>
    <w:p>
      <w:pPr>
        <w:spacing w:after="0" w:line="117" w:lineRule="exact"/>
        <w:rPr>
          <w:rFonts w:ascii="Times New Roman" w:cs="Times New Roman" w:eastAsia="Times New Roman" w:hAnsi="Times New Roman"/>
          <w:sz w:val="18"/>
          <w:szCs w:val="18"/>
          <w:color w:val="auto"/>
        </w:rPr>
      </w:pPr>
    </w:p>
    <w:p>
      <w:pPr>
        <w:ind w:left="1260" w:hanging="369"/>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monthly COBRA premiums; and</w:t>
      </w:r>
    </w:p>
    <w:p>
      <w:pPr>
        <w:spacing w:after="0" w:line="117" w:lineRule="exact"/>
        <w:rPr>
          <w:rFonts w:ascii="Times New Roman" w:cs="Times New Roman" w:eastAsia="Times New Roman" w:hAnsi="Times New Roman"/>
          <w:sz w:val="18"/>
          <w:szCs w:val="18"/>
          <w:color w:val="auto"/>
        </w:rPr>
      </w:pPr>
    </w:p>
    <w:p>
      <w:pPr>
        <w:ind w:left="1260" w:hanging="369"/>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the stock options that would have vested during the 12 months following their separation date.</w:t>
      </w:r>
    </w:p>
    <w:p>
      <w:pPr>
        <w:spacing w:after="0" w:line="225" w:lineRule="exact"/>
        <w:rPr>
          <w:sz w:val="20"/>
          <w:szCs w:val="20"/>
          <w:color w:val="auto"/>
        </w:rPr>
      </w:pPr>
    </w:p>
    <w:p>
      <w:pPr>
        <w:ind w:right="100" w:firstLine="469"/>
        <w:spacing w:after="0" w:line="282" w:lineRule="auto"/>
        <w:rPr>
          <w:sz w:val="20"/>
          <w:szCs w:val="20"/>
          <w:color w:val="auto"/>
        </w:rPr>
      </w:pPr>
      <w:r>
        <w:rPr>
          <w:rFonts w:ascii="Times New Roman" w:cs="Times New Roman" w:eastAsia="Times New Roman" w:hAnsi="Times New Roman"/>
          <w:sz w:val="18"/>
          <w:szCs w:val="18"/>
          <w:color w:val="auto"/>
        </w:rPr>
        <w:t>Additionally, the Board determined that Mr. Urso and Dr. Ghalie could exercise their vested options through the first anniversary of their separation date (until August 1, 2025), not to exceed their original term, as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 Based Awards for Fiscal Year Ended June 30, 2025</w:t>
      </w:r>
    </w:p>
    <w:p>
      <w:pPr>
        <w:spacing w:after="0" w:line="10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Option</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1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or Base</w:t>
            </w: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3"/>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Estimated Possible Payouts Under</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46"/>
        </w:trPr>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0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Price of Option</w:t>
            </w:r>
          </w:p>
        </w:tc>
        <w:tc>
          <w:tcPr>
            <w:tcW w:w="8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0" w:type="dxa"/>
            <w:vAlign w:val="bottom"/>
          </w:tcPr>
          <w:p>
            <w:pPr>
              <w:spacing w:after="0"/>
              <w:rPr>
                <w:sz w:val="1"/>
                <w:szCs w:val="1"/>
                <w:color w:val="auto"/>
              </w:rPr>
            </w:pPr>
          </w:p>
        </w:tc>
      </w:tr>
      <w:tr>
        <w:trPr>
          <w:trHeight w:val="162"/>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 Incentive Plan Awards (1)</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Stocks of Units</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2"/>
        </w:trPr>
        <w:tc>
          <w:tcPr>
            <w:tcW w:w="1860" w:type="dxa"/>
            <w:vAlign w:val="bottom"/>
            <w:vMerge w:val="continue"/>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Justin J. File</w:t>
            </w:r>
          </w:p>
        </w:tc>
        <w:tc>
          <w:tcPr>
            <w:tcW w:w="122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275,000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ind w:left="10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ind w:left="9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ind w:left="9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ind w:left="9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1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David M. Urso</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2"/>
                <w:szCs w:val="12"/>
                <w:color w:val="auto"/>
              </w:rPr>
            </w:pPr>
          </w:p>
        </w:tc>
        <w:tc>
          <w:tcPr>
            <w:tcW w:w="1160" w:type="dxa"/>
            <w:vAlign w:val="bottom"/>
          </w:tcPr>
          <w:p>
            <w:pPr>
              <w:ind w:left="10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120" w:type="dxa"/>
            <w:vAlign w:val="bottom"/>
          </w:tcPr>
          <w:p>
            <w:pPr>
              <w:ind w:left="9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14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114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1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Richard G. Ghalie, M.D.</w:t>
            </w:r>
          </w:p>
        </w:tc>
        <w:tc>
          <w:tcPr>
            <w:tcW w:w="122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16,772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ind w:left="10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ind w:left="9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ind w:left="9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1140" w:type="dxa"/>
            <w:vAlign w:val="bottom"/>
            <w:shd w:val="clear" w:color="auto" w:fill="CFF0FC"/>
          </w:tcPr>
          <w:p>
            <w:pPr>
              <w:ind w:left="9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80" w:hanging="462"/>
        <w:spacing w:after="0" w:line="298" w:lineRule="auto"/>
        <w:tabs>
          <w:tab w:leader="none" w:pos="58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disclosed in the Summary Compensation table, single bonus targets were time based pro-rata calculations as determined from Mr. File's Amended and Restated Employment Agreement, as well as Mr. Urso's and Dr. Ghalie's respective separation and release agreements.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 Award Grant Practices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had no program, plan or practice pertaining to the timing of stock option grants to named executive officers coinciding with the release of material non-public information, or MNPI. The Compensation Committee has historically approved grants of options annually each year as part of our annual compensation cycle. The timing of any equity grants to newly-hired employees, or in connection with promotions or other non-routine grants, is generally tied to the event giving rise to the award (such as an executive officer’s commencement of employment or promotion effective date). Any grants to executive officers are approved at meetings of the Compensation Committee or our board of directors.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all stock option awards, the exercise price is no less than the closing price of our common stock on the date of the grant. The following table sets forth information for certain stock options granted to our named executive officers through fiscal year 2025, which there were no grants made to our named executive officers or any employees during the fiscal year ended June 30, 2025. In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event an issuer grants stock options or option-like instruments within the period commencing four business days prior to and ending one business day following the filing by the Company of a Form 10-K, Form 10-Q or Form 8-K containing material non-public information as required under Item 402(x) of Regulation S-K, Item 402(x) of Regulation S-K requires tabular disclosure of certain information related to such awards.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June 30,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on all stock options and RSUs held by our named executive officers on June 30, 2025.</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3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0"/>
                <w:szCs w:val="10"/>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 of Stock</w:t>
            </w:r>
          </w:p>
        </w:tc>
        <w:tc>
          <w:tcPr>
            <w:tcW w:w="10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Footnote</w:t>
            </w:r>
          </w:p>
        </w:tc>
        <w:tc>
          <w:tcPr>
            <w:tcW w:w="1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73"/>
        </w:trPr>
        <w:tc>
          <w:tcPr>
            <w:tcW w:w="1480" w:type="dxa"/>
            <w:vAlign w:val="bottom"/>
            <w:gridSpan w:val="2"/>
            <w:vMerge w:val="continue"/>
          </w:tcPr>
          <w:p>
            <w:pPr>
              <w:spacing w:after="0"/>
              <w:rPr>
                <w:sz w:val="15"/>
                <w:szCs w:val="15"/>
                <w:color w:val="auto"/>
              </w:rPr>
            </w:pPr>
          </w:p>
        </w:tc>
        <w:tc>
          <w:tcPr>
            <w:tcW w:w="14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2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Justin J. File</w:t>
            </w: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26,651</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26,651</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6.01</w:t>
            </w:r>
          </w:p>
        </w:tc>
        <w:tc>
          <w:tcPr>
            <w:tcW w:w="14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6/12/2033</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ind w:left="10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David M. Urso</w:t>
            </w:r>
          </w:p>
        </w:tc>
        <w:tc>
          <w:tcPr>
            <w:tcW w:w="14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90,226</w:t>
            </w:r>
          </w:p>
        </w:tc>
        <w:tc>
          <w:tcPr>
            <w:tcW w:w="220" w:type="dxa"/>
            <w:vAlign w:val="bottom"/>
          </w:tcPr>
          <w:p>
            <w:pPr>
              <w:spacing w:after="0"/>
              <w:rPr>
                <w:sz w:val="10"/>
                <w:szCs w:val="10"/>
                <w:color w:val="auto"/>
              </w:rPr>
            </w:pPr>
          </w:p>
        </w:tc>
        <w:tc>
          <w:tcPr>
            <w:tcW w:w="13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6.16</w:t>
            </w:r>
          </w:p>
        </w:tc>
        <w:tc>
          <w:tcPr>
            <w:tcW w:w="14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8/1/2025</w:t>
            </w:r>
          </w:p>
        </w:tc>
        <w:tc>
          <w:tcPr>
            <w:tcW w:w="120" w:type="dxa"/>
            <w:vAlign w:val="bottom"/>
          </w:tcPr>
          <w:p>
            <w:pPr>
              <w:spacing w:after="0"/>
              <w:rPr>
                <w:sz w:val="10"/>
                <w:szCs w:val="10"/>
                <w:color w:val="auto"/>
              </w:rPr>
            </w:pPr>
          </w:p>
        </w:tc>
        <w:tc>
          <w:tcPr>
            <w:tcW w:w="1200" w:type="dxa"/>
            <w:vAlign w:val="bottom"/>
          </w:tcPr>
          <w:p>
            <w:pPr>
              <w:ind w:left="104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40,472</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8/1/2025</w:t>
            </w:r>
          </w:p>
        </w:tc>
        <w:tc>
          <w:tcPr>
            <w:tcW w:w="120" w:type="dxa"/>
            <w:vAlign w:val="bottom"/>
          </w:tcPr>
          <w:p>
            <w:pPr>
              <w:spacing w:after="0"/>
              <w:rPr>
                <w:sz w:val="12"/>
                <w:szCs w:val="12"/>
                <w:color w:val="auto"/>
              </w:rPr>
            </w:pPr>
          </w:p>
        </w:tc>
        <w:tc>
          <w:tcPr>
            <w:tcW w:w="120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8/1/2025</w:t>
            </w:r>
          </w:p>
        </w:tc>
        <w:tc>
          <w:tcPr>
            <w:tcW w:w="120" w:type="dxa"/>
            <w:vAlign w:val="bottom"/>
          </w:tcPr>
          <w:p>
            <w:pPr>
              <w:spacing w:after="0"/>
              <w:rPr>
                <w:sz w:val="12"/>
                <w:szCs w:val="12"/>
                <w:color w:val="auto"/>
              </w:rPr>
            </w:pPr>
          </w:p>
        </w:tc>
        <w:tc>
          <w:tcPr>
            <w:tcW w:w="120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26,250</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68.46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8/1/2025</w:t>
            </w:r>
          </w:p>
        </w:tc>
        <w:tc>
          <w:tcPr>
            <w:tcW w:w="120" w:type="dxa"/>
            <w:vAlign w:val="bottom"/>
          </w:tcPr>
          <w:p>
            <w:pPr>
              <w:spacing w:after="0"/>
              <w:rPr>
                <w:sz w:val="12"/>
                <w:szCs w:val="12"/>
                <w:color w:val="auto"/>
              </w:rPr>
            </w:pPr>
          </w:p>
        </w:tc>
        <w:tc>
          <w:tcPr>
            <w:tcW w:w="120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17,500</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8/1/2025</w:t>
            </w:r>
          </w:p>
        </w:tc>
        <w:tc>
          <w:tcPr>
            <w:tcW w:w="120" w:type="dxa"/>
            <w:vAlign w:val="bottom"/>
          </w:tcPr>
          <w:p>
            <w:pPr>
              <w:spacing w:after="0"/>
              <w:rPr>
                <w:sz w:val="12"/>
                <w:szCs w:val="12"/>
                <w:color w:val="auto"/>
              </w:rPr>
            </w:pPr>
          </w:p>
        </w:tc>
        <w:tc>
          <w:tcPr>
            <w:tcW w:w="120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11,000</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84.26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8/1/2025</w:t>
            </w:r>
          </w:p>
        </w:tc>
        <w:tc>
          <w:tcPr>
            <w:tcW w:w="120" w:type="dxa"/>
            <w:vAlign w:val="bottom"/>
          </w:tcPr>
          <w:p>
            <w:pPr>
              <w:spacing w:after="0"/>
              <w:rPr>
                <w:sz w:val="12"/>
                <w:szCs w:val="12"/>
                <w:color w:val="auto"/>
              </w:rPr>
            </w:pPr>
          </w:p>
        </w:tc>
        <w:tc>
          <w:tcPr>
            <w:tcW w:w="120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8/1/2025</w:t>
            </w:r>
          </w:p>
        </w:tc>
        <w:tc>
          <w:tcPr>
            <w:tcW w:w="120" w:type="dxa"/>
            <w:vAlign w:val="bottom"/>
          </w:tcPr>
          <w:p>
            <w:pPr>
              <w:spacing w:after="0"/>
              <w:rPr>
                <w:sz w:val="12"/>
                <w:szCs w:val="12"/>
                <w:color w:val="auto"/>
              </w:rPr>
            </w:pPr>
          </w:p>
        </w:tc>
        <w:tc>
          <w:tcPr>
            <w:tcW w:w="120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8/1/2025</w:t>
            </w:r>
          </w:p>
        </w:tc>
        <w:tc>
          <w:tcPr>
            <w:tcW w:w="120" w:type="dxa"/>
            <w:vAlign w:val="bottom"/>
          </w:tcPr>
          <w:p>
            <w:pPr>
              <w:spacing w:after="0"/>
              <w:rPr>
                <w:sz w:val="12"/>
                <w:szCs w:val="12"/>
                <w:color w:val="auto"/>
              </w:rPr>
            </w:pPr>
          </w:p>
        </w:tc>
        <w:tc>
          <w:tcPr>
            <w:tcW w:w="120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2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25.86</w:t>
            </w:r>
          </w:p>
        </w:tc>
        <w:tc>
          <w:tcPr>
            <w:tcW w:w="14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8/1/2025</w:t>
            </w:r>
          </w:p>
        </w:tc>
        <w:tc>
          <w:tcPr>
            <w:tcW w:w="120" w:type="dxa"/>
            <w:vAlign w:val="bottom"/>
          </w:tcPr>
          <w:p>
            <w:pPr>
              <w:spacing w:after="0"/>
              <w:rPr>
                <w:sz w:val="12"/>
                <w:szCs w:val="12"/>
                <w:color w:val="auto"/>
              </w:rPr>
            </w:pPr>
          </w:p>
        </w:tc>
        <w:tc>
          <w:tcPr>
            <w:tcW w:w="120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6,375</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8/1/2025</w:t>
            </w:r>
          </w:p>
        </w:tc>
        <w:tc>
          <w:tcPr>
            <w:tcW w:w="120" w:type="dxa"/>
            <w:vAlign w:val="bottom"/>
          </w:tcPr>
          <w:p>
            <w:pPr>
              <w:spacing w:after="0"/>
              <w:rPr>
                <w:sz w:val="14"/>
                <w:szCs w:val="14"/>
                <w:color w:val="auto"/>
              </w:rPr>
            </w:pPr>
          </w:p>
        </w:tc>
        <w:tc>
          <w:tcPr>
            <w:tcW w:w="1200" w:type="dxa"/>
            <w:vAlign w:val="bottom"/>
          </w:tcPr>
          <w:p>
            <w:pPr>
              <w:ind w:left="10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Richard G. Ghalie</w:t>
            </w:r>
          </w:p>
        </w:tc>
        <w:tc>
          <w:tcPr>
            <w:tcW w:w="14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15,625</w:t>
            </w:r>
          </w:p>
        </w:tc>
        <w:tc>
          <w:tcPr>
            <w:tcW w:w="220" w:type="dxa"/>
            <w:vAlign w:val="bottom"/>
            <w:shd w:val="clear" w:color="auto" w:fill="CFF0FC"/>
          </w:tcPr>
          <w:p>
            <w:pPr>
              <w:spacing w:after="0"/>
              <w:rPr>
                <w:sz w:val="10"/>
                <w:szCs w:val="10"/>
                <w:color w:val="auto"/>
              </w:rPr>
            </w:pPr>
          </w:p>
        </w:tc>
        <w:tc>
          <w:tcPr>
            <w:tcW w:w="13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center"/>
              <w:ind w:left="148"/>
              <w:spacing w:after="0" w:line="126"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FF0FC"/>
          </w:tcPr>
          <w:p>
            <w:pPr>
              <w:jc w:val="right"/>
              <w:ind w:right="8"/>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5.67</w:t>
            </w:r>
          </w:p>
        </w:tc>
        <w:tc>
          <w:tcPr>
            <w:tcW w:w="14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9/23/2033</w:t>
            </w: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ind w:left="104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21,587</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9.46</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7/5/2032</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16,000</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57.66</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7/1/2031</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69.66</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5/3/2031</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68.46</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7/2/2030</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49.06</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7/1/2029</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84.26</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7/12/2028</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56.26</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7/7/2027</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7/13/2026</w:t>
            </w:r>
          </w:p>
        </w:tc>
        <w:tc>
          <w:tcPr>
            <w:tcW w:w="120" w:type="dxa"/>
            <w:vAlign w:val="bottom"/>
            <w:shd w:val="clear" w:color="auto" w:fill="CFF0FC"/>
          </w:tcPr>
          <w:p>
            <w:pPr>
              <w:spacing w:after="0"/>
              <w:rPr>
                <w:sz w:val="12"/>
                <w:szCs w:val="12"/>
                <w:color w:val="auto"/>
              </w:rPr>
            </w:pPr>
          </w:p>
        </w:tc>
        <w:tc>
          <w:tcPr>
            <w:tcW w:w="1200" w:type="dxa"/>
            <w:vAlign w:val="bottom"/>
            <w:shd w:val="clear" w:color="auto" w:fill="CFF0FC"/>
          </w:tcPr>
          <w:p>
            <w:pPr>
              <w:ind w:left="10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22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3/6/2026</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460" w:hanging="502"/>
        <w:spacing w:after="0" w:line="298"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June 12, 2024; the remaining 75% of the options were expected to vest in equal monthly installments over the following 36 months.</w:t>
      </w:r>
    </w:p>
    <w:p>
      <w:pPr>
        <w:spacing w:after="0" w:line="56" w:lineRule="exact"/>
        <w:rPr>
          <w:rFonts w:ascii="Times New Roman" w:cs="Times New Roman" w:eastAsia="Times New Roman" w:hAnsi="Times New Roman"/>
          <w:sz w:val="16"/>
          <w:szCs w:val="16"/>
          <w:color w:val="auto"/>
        </w:rPr>
      </w:pPr>
    </w:p>
    <w:p>
      <w:pPr>
        <w:ind w:left="660" w:right="80" w:hanging="502"/>
        <w:spacing w:after="0" w:line="272"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Mr. Urso's Separation and Release Agreement, all outstanding options vested and became exercisable on an accelerated basis as of the transition date (August 1, 2024) for the same number of shares which would have vested had he continued to be employed by Lite Strategy through the first anniversary of the transition date (August 1, 2025). Additionally, the vested options could be exercised through August 1, 2025, not to exceed their original term, if applicable, or would be extended to 90 days post termination of his consulting agreement should it occur beyond August 1, 2025, as provided for in our equity compensation plans. Mr. Urso's consulting agreement terminated on February 14, 2025 and his vested options expired on August 1, 2025.</w:t>
      </w:r>
    </w:p>
    <w:p>
      <w:pPr>
        <w:spacing w:after="0" w:line="77" w:lineRule="exact"/>
        <w:rPr>
          <w:rFonts w:ascii="Times New Roman" w:cs="Times New Roman" w:eastAsia="Times New Roman" w:hAnsi="Times New Roman"/>
          <w:sz w:val="16"/>
          <w:szCs w:val="16"/>
          <w:color w:val="auto"/>
        </w:rPr>
      </w:pPr>
    </w:p>
    <w:p>
      <w:pPr>
        <w:ind w:left="660" w:right="80" w:hanging="502"/>
        <w:spacing w:after="0" w:line="272" w:lineRule="auto"/>
        <w:tabs>
          <w:tab w:leader="none" w:pos="6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Dr. Ghalie's Separation and Release Agreement, all outstanding options vested and became exercisable on an accelerated basis as of the transition date (August 1, 2024) for the same number of shares which would have vested had he continued to be employed by Lite Strategy through the first anniversary of the transition date (August 1, 2025). Additionally, the vested options could be exercised through August 1, 2025, not to exceed their original term, if applicable, or would be extended to 90 days post termination of his consulting agreement should it occur beyond August 1, 2025, as provided for in our equity compensation plans. As of fiscal year end June 30, 2025, Dr. Ghalie's consulting agreement remains active and his vested options continue to be exercisable.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Messrs. File and Urso and Dr. Ghalie did not exercise any stock options during the fiscal year ended June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Provided below is our pay versus performance disclosure as required pursuant to Item 402(v) of Regulation S-K promulgated under the Exchange Act. As required by Item 402(v), we have included: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right="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our most important measures that our Compensation Committee used in fiscal year 2025 to link a measure of pay calculated in accordance with Item 402(v) (referred to as compensation actually paid, or CAP) to our performance;</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table that compares the total compensation of our named executive officers’ (also known as NEOs) as presented in the Summary Compensation Table (SCT) to CAP and that compares CAP to specified performance measures;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Graphs that describe:</w:t>
      </w:r>
    </w:p>
    <w:p>
      <w:pPr>
        <w:spacing w:after="0" w:line="117" w:lineRule="exact"/>
        <w:rPr>
          <w:sz w:val="20"/>
          <w:szCs w:val="20"/>
          <w:color w:val="auto"/>
        </w:rPr>
      </w:pPr>
    </w:p>
    <w:p>
      <w:pPr>
        <w:ind w:left="1540" w:hanging="514"/>
        <w:spacing w:after="0" w:line="282"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relationships between CAP and our cumulative total shareholder return (TSR), GAAP Net Income and our selected measure, Total Cash (defined as all cash and cash equivalents); and</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our TSR and the TSR of the Nasdaq Biotechnology Index (Peer Group TSR).</w:t>
      </w:r>
    </w:p>
    <w:p>
      <w:pPr>
        <w:spacing w:after="0" w:line="115"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Note: pursuant to Item 402(v)(8), Lite Strategy, as a smaller reporting company (SRC), has provided the information required by 402(v) for three years, instead of five years and is not required to provide the disclosure required by 402(v)(2)(iv) or 402(v)(5) with respect to the total shareholder return of any peer group, or our-Selected Measure disclosure required by 402 (v)(2)(vi), or the Tabular List provided pursuant to 402(v)(6).</w:t>
      </w:r>
    </w:p>
    <w:p>
      <w:pPr>
        <w:spacing w:after="0" w:line="6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Given our current pay program, the only difference between the SCT and CAP amounts for our NEOs is the value of equity awards, which for purposes of the SCT is based on the grant date fair value of equity awards granted during the year and for purposes of CAP is based on the year over year change in the fair value of equity awards that are unvested as of the end of the year, or that vested, or were forfeited during the year.</w:t>
      </w:r>
    </w:p>
    <w:p>
      <w:pPr>
        <w:spacing w:after="0" w:line="172" w:lineRule="exact"/>
        <w:rPr>
          <w:sz w:val="20"/>
          <w:szCs w:val="20"/>
          <w:color w:val="auto"/>
        </w:rPr>
      </w:pPr>
    </w:p>
    <w:p>
      <w:pPr>
        <w:jc w:val="both"/>
        <w:ind w:firstLine="50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Our Most Important Metrics Used for Linking Pay and Performance. </w:t>
      </w:r>
      <w:r>
        <w:rPr>
          <w:rFonts w:ascii="Times New Roman" w:cs="Times New Roman" w:eastAsia="Times New Roman" w:hAnsi="Times New Roman"/>
          <w:sz w:val="17"/>
          <w:szCs w:val="17"/>
          <w:color w:val="auto"/>
        </w:rPr>
        <w:t>As required by Item 402(v), below are the most important metrics linking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 to performance for fiscal year 2025. Besides stock price, the only financial performance measure the Committee used to link executive compensation to performance in 2025 was Total Cash which is defined as total cash and cash equivalents on the consolidated balance sheets as of June 30, 2025.</w:t>
      </w:r>
    </w:p>
    <w:p>
      <w:pPr>
        <w:spacing w:after="0" w:line="4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Compensation decisions are made each year taking into account a number of other factors. Target pay levels are primarily set based on clinical milestones, individual performance, scope of responsibility, and an annual assessment of pay competitiveness within the market, but aside from Total Cash and stock price, no additional financial performance measures were used by the Company to link compensation actually paid to our NEOs in fiscal year 2025 to our performance.</w:t>
      </w:r>
    </w:p>
    <w:p>
      <w:pPr>
        <w:spacing w:after="0" w:line="176"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Pay Versus Performance Table</w:t>
      </w:r>
      <w:r>
        <w:rPr>
          <w:rFonts w:ascii="Times New Roman" w:cs="Times New Roman" w:eastAsia="Times New Roman" w:hAnsi="Times New Roman"/>
          <w:sz w:val="18"/>
          <w:szCs w:val="18"/>
          <w:color w:val="auto"/>
        </w:rPr>
        <w:t>. In accordance with Item 402(v) and under rules adopted by the SEC pursuant to the Dodd-Frank Wall Street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Reform and Consumer Protection Act of 2010, we are providing the tabular disclosure for our Chief Executive Officer (our Principal Executive Officer or PEO) and the average of our NEOs other than the PEO for fiscal years 2023, 2024 and 2025.</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121"/>
        </w:trPr>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tcPr>
          <w:p>
            <w:pPr>
              <w:jc w:val="center"/>
              <w:ind w:left="31"/>
              <w:spacing w:after="0"/>
              <w:rPr>
                <w:sz w:val="20"/>
                <w:szCs w:val="20"/>
                <w:color w:val="auto"/>
              </w:rPr>
            </w:pPr>
            <w:r>
              <w:rPr>
                <w:rFonts w:ascii="Times New Roman" w:cs="Times New Roman" w:eastAsia="Times New Roman" w:hAnsi="Times New Roman"/>
                <w:sz w:val="10"/>
                <w:szCs w:val="10"/>
                <w:b w:val="1"/>
                <w:bCs w:val="1"/>
                <w:color w:val="auto"/>
                <w:w w:val="98"/>
              </w:rPr>
              <w:t>Value of Initial Fixed $100</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tcPr>
          <w:p>
            <w:pPr>
              <w:jc w:val="center"/>
              <w:ind w:left="31"/>
              <w:spacing w:after="0"/>
              <w:rPr>
                <w:sz w:val="20"/>
                <w:szCs w:val="20"/>
                <w:color w:val="auto"/>
              </w:rPr>
            </w:pPr>
            <w:r>
              <w:rPr>
                <w:rFonts w:ascii="Times New Roman" w:cs="Times New Roman" w:eastAsia="Times New Roman" w:hAnsi="Times New Roman"/>
                <w:sz w:val="10"/>
                <w:szCs w:val="10"/>
                <w:b w:val="1"/>
                <w:bCs w:val="1"/>
                <w:color w:val="auto"/>
                <w:w w:val="98"/>
              </w:rPr>
              <w:t>Investment Based on Total</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rPr>
              <w:t>Shareholder Return</w:t>
            </w:r>
          </w:p>
        </w:tc>
        <w:tc>
          <w:tcPr>
            <w:tcW w:w="1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9"/>
        </w:trPr>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71"/>
              <w:spacing w:after="0" w:line="110"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94"/>
              </w:rPr>
              <w:t>Summary</w:t>
            </w:r>
          </w:p>
        </w:tc>
        <w:tc>
          <w:tcPr>
            <w:tcW w:w="220" w:type="dxa"/>
            <w:vAlign w:val="bottom"/>
          </w:tcPr>
          <w:p>
            <w:pPr>
              <w:spacing w:after="0"/>
              <w:rPr>
                <w:sz w:val="10"/>
                <w:szCs w:val="1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9"/>
              </w:rPr>
              <w:t>Summary</w:t>
            </w:r>
          </w:p>
        </w:tc>
        <w:tc>
          <w:tcPr>
            <w:tcW w:w="220" w:type="dxa"/>
            <w:vAlign w:val="bottom"/>
          </w:tcPr>
          <w:p>
            <w:pPr>
              <w:spacing w:after="0"/>
              <w:rPr>
                <w:sz w:val="10"/>
                <w:szCs w:val="10"/>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Compensatio</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9"/>
              </w:rPr>
              <w:t>Summary</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99"/>
              </w:rPr>
              <w:t>Summary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Company</w:t>
            </w:r>
          </w:p>
        </w:tc>
      </w:tr>
      <w:tr>
        <w:trPr>
          <w:trHeight w:val="122"/>
        </w:trPr>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Compensation</w:t>
            </w:r>
          </w:p>
        </w:tc>
        <w:tc>
          <w:tcPr>
            <w:tcW w:w="220" w:type="dxa"/>
            <w:vAlign w:val="bottom"/>
          </w:tcPr>
          <w:p>
            <w:pPr>
              <w:spacing w:after="0"/>
              <w:rPr>
                <w:sz w:val="10"/>
                <w:szCs w:val="1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Actually Paid</w:t>
            </w:r>
          </w:p>
        </w:tc>
        <w:tc>
          <w:tcPr>
            <w:tcW w:w="220" w:type="dxa"/>
            <w:vAlign w:val="bottom"/>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Compensation</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9"/>
              </w:rPr>
              <w:t>n Actually</w:t>
            </w:r>
          </w:p>
        </w:tc>
        <w:tc>
          <w:tcPr>
            <w:tcW w:w="340" w:type="dxa"/>
            <w:vAlign w:val="bottom"/>
          </w:tcPr>
          <w:p>
            <w:pPr>
              <w:spacing w:after="0"/>
              <w:rPr>
                <w:sz w:val="10"/>
                <w:szCs w:val="1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220" w:type="dxa"/>
            <w:vAlign w:val="bottom"/>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Compensation</w:t>
            </w:r>
          </w:p>
        </w:tc>
        <w:tc>
          <w:tcPr>
            <w:tcW w:w="220" w:type="dxa"/>
            <w:vAlign w:val="bottom"/>
          </w:tcPr>
          <w:p>
            <w:pPr>
              <w:spacing w:after="0"/>
              <w:rPr>
                <w:sz w:val="10"/>
                <w:szCs w:val="1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220" w:type="dxa"/>
            <w:vAlign w:val="bottom"/>
          </w:tcPr>
          <w:p>
            <w:pPr>
              <w:spacing w:after="0"/>
              <w:rPr>
                <w:sz w:val="10"/>
                <w:szCs w:val="10"/>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Compensation</w:t>
            </w:r>
          </w:p>
        </w:tc>
        <w:tc>
          <w:tcPr>
            <w:tcW w:w="60" w:type="dxa"/>
            <w:vAlign w:val="bottom"/>
          </w:tcPr>
          <w:p>
            <w:pPr>
              <w:spacing w:after="0"/>
              <w:rPr>
                <w:sz w:val="10"/>
                <w:szCs w:val="10"/>
                <w:color w:val="auto"/>
              </w:rPr>
            </w:pP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rPr>
              <w:t>Lite Strategy</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4"/>
          </w:tcPr>
          <w:p>
            <w:pPr>
              <w:ind w:left="200"/>
              <w:spacing w:after="0"/>
              <w:rPr>
                <w:sz w:val="20"/>
                <w:szCs w:val="20"/>
                <w:color w:val="auto"/>
              </w:rPr>
            </w:pPr>
            <w:r>
              <w:rPr>
                <w:rFonts w:ascii="Times New Roman" w:cs="Times New Roman" w:eastAsia="Times New Roman" w:hAnsi="Times New Roman"/>
                <w:sz w:val="10"/>
                <w:szCs w:val="10"/>
                <w:b w:val="1"/>
                <w:bCs w:val="1"/>
                <w:color w:val="auto"/>
              </w:rPr>
              <w:t>Lite Strategy</w:t>
            </w:r>
          </w:p>
        </w:tc>
        <w:tc>
          <w:tcPr>
            <w:tcW w:w="60" w:type="dxa"/>
            <w:vAlign w:val="bottom"/>
          </w:tcPr>
          <w:p>
            <w:pPr>
              <w:spacing w:after="0"/>
              <w:rPr>
                <w:sz w:val="10"/>
                <w:szCs w:val="10"/>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Selected</w:t>
            </w:r>
          </w:p>
        </w:tc>
      </w:tr>
      <w:tr>
        <w:trPr>
          <w:trHeight w:val="121"/>
        </w:trPr>
        <w:tc>
          <w:tcPr>
            <w:tcW w:w="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Fisca</w:t>
            </w:r>
          </w:p>
        </w:tc>
        <w:tc>
          <w:tcPr>
            <w:tcW w:w="100" w:type="dxa"/>
            <w:vAlign w:val="bottom"/>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Table for Total</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rPr>
              <w:t>to Current</w:t>
            </w:r>
          </w:p>
        </w:tc>
        <w:tc>
          <w:tcPr>
            <w:tcW w:w="220" w:type="dxa"/>
            <w:vAlign w:val="bottom"/>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Table for Total</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8"/>
              </w:rPr>
              <w:t>Paid to</w:t>
            </w:r>
          </w:p>
        </w:tc>
        <w:tc>
          <w:tcPr>
            <w:tcW w:w="340" w:type="dxa"/>
            <w:vAlign w:val="bottom"/>
          </w:tcPr>
          <w:p>
            <w:pPr>
              <w:spacing w:after="0"/>
              <w:rPr>
                <w:sz w:val="10"/>
                <w:szCs w:val="1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Table for Total</w:t>
            </w:r>
          </w:p>
        </w:tc>
        <w:tc>
          <w:tcPr>
            <w:tcW w:w="220" w:type="dxa"/>
            <w:vAlign w:val="bottom"/>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Actually Paid</w:t>
            </w:r>
          </w:p>
        </w:tc>
        <w:tc>
          <w:tcPr>
            <w:tcW w:w="220" w:type="dxa"/>
            <w:vAlign w:val="bottom"/>
          </w:tcPr>
          <w:p>
            <w:pPr>
              <w:spacing w:after="0"/>
              <w:rPr>
                <w:sz w:val="10"/>
                <w:szCs w:val="1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Table Total for</w:t>
            </w:r>
          </w:p>
        </w:tc>
        <w:tc>
          <w:tcPr>
            <w:tcW w:w="220" w:type="dxa"/>
            <w:vAlign w:val="bottom"/>
          </w:tcPr>
          <w:p>
            <w:pPr>
              <w:spacing w:after="0"/>
              <w:rPr>
                <w:sz w:val="10"/>
                <w:szCs w:val="10"/>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Actually Paid</w:t>
            </w:r>
          </w:p>
        </w:tc>
        <w:tc>
          <w:tcPr>
            <w:tcW w:w="60" w:type="dxa"/>
            <w:vAlign w:val="bottom"/>
          </w:tcPr>
          <w:p>
            <w:pPr>
              <w:spacing w:after="0"/>
              <w:rPr>
                <w:sz w:val="10"/>
                <w:szCs w:val="10"/>
                <w:color w:val="auto"/>
              </w:rPr>
            </w:pPr>
          </w:p>
        </w:tc>
        <w:tc>
          <w:tcPr>
            <w:tcW w:w="70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0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Peer Total</w:t>
            </w:r>
          </w:p>
        </w:tc>
        <w:tc>
          <w:tcPr>
            <w:tcW w:w="200" w:type="dxa"/>
            <w:vAlign w:val="bottom"/>
          </w:tcPr>
          <w:p>
            <w:pPr>
              <w:spacing w:after="0"/>
              <w:rPr>
                <w:sz w:val="10"/>
                <w:szCs w:val="10"/>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8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Measure: Total</w:t>
            </w:r>
          </w:p>
        </w:tc>
      </w:tr>
      <w:tr>
        <w:trPr>
          <w:trHeight w:val="114"/>
        </w:trPr>
        <w:tc>
          <w:tcPr>
            <w:tcW w:w="26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l</w:t>
            </w:r>
          </w:p>
        </w:tc>
        <w:tc>
          <w:tcPr>
            <w:tcW w:w="100" w:type="dxa"/>
            <w:vAlign w:val="bottom"/>
          </w:tcPr>
          <w:p>
            <w:pPr>
              <w:spacing w:after="0"/>
              <w:rPr>
                <w:sz w:val="9"/>
                <w:szCs w:val="9"/>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Current PEO</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7"/>
              </w:rPr>
              <w:t>PEO</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rPr>
              <w:t>Former PEO</w:t>
            </w:r>
          </w:p>
        </w:tc>
        <w:tc>
          <w:tcPr>
            <w:tcW w:w="220" w:type="dxa"/>
            <w:vAlign w:val="bottom"/>
          </w:tcPr>
          <w:p>
            <w:pPr>
              <w:spacing w:after="0"/>
              <w:rPr>
                <w:sz w:val="9"/>
                <w:szCs w:val="9"/>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Former PEO</w:t>
            </w: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rPr>
              <w:t>Former PEO</w:t>
            </w:r>
          </w:p>
        </w:tc>
        <w:tc>
          <w:tcPr>
            <w:tcW w:w="220" w:type="dxa"/>
            <w:vAlign w:val="bottom"/>
          </w:tcPr>
          <w:p>
            <w:pPr>
              <w:spacing w:after="0"/>
              <w:rPr>
                <w:sz w:val="9"/>
                <w:szCs w:val="9"/>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to Former PEO</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Non-PEO</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to Non-PEO</w:t>
            </w:r>
          </w:p>
        </w:tc>
        <w:tc>
          <w:tcPr>
            <w:tcW w:w="60" w:type="dxa"/>
            <w:vAlign w:val="bottom"/>
          </w:tcPr>
          <w:p>
            <w:pPr>
              <w:spacing w:after="0"/>
              <w:rPr>
                <w:sz w:val="9"/>
                <w:szCs w:val="9"/>
                <w:color w:val="auto"/>
              </w:rPr>
            </w:pP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8"/>
              </w:rPr>
              <w:t>Shareholder</w:t>
            </w:r>
          </w:p>
        </w:tc>
        <w:tc>
          <w:tcPr>
            <w:tcW w:w="100" w:type="dxa"/>
            <w:vAlign w:val="bottom"/>
          </w:tcPr>
          <w:p>
            <w:pPr>
              <w:spacing w:after="0"/>
              <w:rPr>
                <w:sz w:val="9"/>
                <w:szCs w:val="9"/>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Shareholder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Income</w:t>
            </w:r>
          </w:p>
        </w:tc>
        <w:tc>
          <w:tcPr>
            <w:tcW w:w="60" w:type="dxa"/>
            <w:vAlign w:val="bottom"/>
          </w:tcPr>
          <w:p>
            <w:pPr>
              <w:spacing w:after="0"/>
              <w:rPr>
                <w:sz w:val="9"/>
                <w:szCs w:val="9"/>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Cash</w:t>
            </w:r>
          </w:p>
        </w:tc>
      </w:tr>
      <w:tr>
        <w:trPr>
          <w:trHeight w:val="135"/>
        </w:trPr>
        <w:tc>
          <w:tcPr>
            <w:tcW w:w="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0"/>
                <w:szCs w:val="10"/>
                <w:b w:val="1"/>
                <w:bCs w:val="1"/>
                <w:color w:val="auto"/>
                <w:w w:val="91"/>
              </w:rPr>
              <w:t>(File)</w:t>
            </w:r>
            <w:r>
              <w:rPr>
                <w:rFonts w:ascii="Times New Roman" w:cs="Times New Roman" w:eastAsia="Times New Roman" w:hAnsi="Times New Roman"/>
                <w:sz w:val="13"/>
                <w:szCs w:val="13"/>
                <w:b w:val="1"/>
                <w:bCs w:val="1"/>
                <w:color w:val="auto"/>
                <w:w w:val="91"/>
                <w:vertAlign w:val="superscript"/>
              </w:rPr>
              <w:t>(1)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0"/>
                <w:szCs w:val="10"/>
                <w:b w:val="1"/>
                <w:bCs w:val="1"/>
                <w:color w:val="auto"/>
                <w:w w:val="91"/>
              </w:rPr>
              <w:t>(File)</w:t>
            </w:r>
            <w:r>
              <w:rPr>
                <w:rFonts w:ascii="Times New Roman" w:cs="Times New Roman" w:eastAsia="Times New Roman" w:hAnsi="Times New Roman"/>
                <w:sz w:val="13"/>
                <w:szCs w:val="13"/>
                <w:b w:val="1"/>
                <w:bCs w:val="1"/>
                <w:color w:val="auto"/>
                <w:w w:val="91"/>
                <w:vertAlign w:val="superscript"/>
              </w:rPr>
              <w:t>(2,3)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0"/>
                <w:szCs w:val="10"/>
                <w:b w:val="1"/>
                <w:bCs w:val="1"/>
                <w:color w:val="auto"/>
                <w:w w:val="90"/>
              </w:rPr>
              <w:t>(Urso)</w:t>
            </w:r>
            <w:r>
              <w:rPr>
                <w:rFonts w:ascii="Times New Roman" w:cs="Times New Roman" w:eastAsia="Times New Roman" w:hAnsi="Times New Roman"/>
                <w:sz w:val="13"/>
                <w:szCs w:val="13"/>
                <w:b w:val="1"/>
                <w:bCs w:val="1"/>
                <w:color w:val="auto"/>
                <w:w w:val="90"/>
                <w:vertAlign w:val="superscript"/>
              </w:rPr>
              <w:t>(1)</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0"/>
                <w:szCs w:val="10"/>
                <w:b w:val="1"/>
                <w:bCs w:val="1"/>
                <w:color w:val="auto"/>
                <w:w w:val="91"/>
              </w:rPr>
              <w:t>(Urso)</w:t>
            </w:r>
            <w:r>
              <w:rPr>
                <w:rFonts w:ascii="Times New Roman" w:cs="Times New Roman" w:eastAsia="Times New Roman" w:hAnsi="Times New Roman"/>
                <w:sz w:val="13"/>
                <w:szCs w:val="13"/>
                <w:b w:val="1"/>
                <w:bCs w:val="1"/>
                <w:color w:val="auto"/>
                <w:w w:val="91"/>
                <w:vertAlign w:val="superscript"/>
              </w:rPr>
              <w:t>(2,3)</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0"/>
                <w:szCs w:val="10"/>
                <w:b w:val="1"/>
                <w:bCs w:val="1"/>
                <w:color w:val="auto"/>
                <w:w w:val="94"/>
              </w:rPr>
              <w:t>(Gold)</w:t>
            </w:r>
            <w:r>
              <w:rPr>
                <w:rFonts w:ascii="Times New Roman" w:cs="Times New Roman" w:eastAsia="Times New Roman" w:hAnsi="Times New Roman"/>
                <w:sz w:val="13"/>
                <w:szCs w:val="13"/>
                <w:b w:val="1"/>
                <w:bCs w:val="1"/>
                <w:color w:val="auto"/>
                <w:w w:val="94"/>
                <w:vertAlign w:val="superscript"/>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0"/>
                <w:szCs w:val="10"/>
                <w:b w:val="1"/>
                <w:bCs w:val="1"/>
                <w:color w:val="auto"/>
                <w:w w:val="90"/>
              </w:rPr>
              <w:t>(Gold)</w:t>
            </w:r>
            <w:r>
              <w:rPr>
                <w:rFonts w:ascii="Times New Roman" w:cs="Times New Roman" w:eastAsia="Times New Roman" w:hAnsi="Times New Roman"/>
                <w:sz w:val="13"/>
                <w:szCs w:val="13"/>
                <w:b w:val="1"/>
                <w:bCs w:val="1"/>
                <w:color w:val="auto"/>
                <w:w w:val="90"/>
                <w:vertAlign w:val="superscript"/>
              </w:rPr>
              <w:t>(2,3)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0"/>
                <w:szCs w:val="10"/>
                <w:b w:val="1"/>
                <w:bCs w:val="1"/>
                <w:color w:val="auto"/>
                <w:w w:val="95"/>
              </w:rPr>
              <w:t>NEOs</w:t>
            </w:r>
            <w:r>
              <w:rPr>
                <w:rFonts w:ascii="Times New Roman" w:cs="Times New Roman" w:eastAsia="Times New Roman" w:hAnsi="Times New Roman"/>
                <w:sz w:val="13"/>
                <w:szCs w:val="13"/>
                <w:b w:val="1"/>
                <w:bCs w:val="1"/>
                <w:color w:val="auto"/>
                <w:w w:val="95"/>
                <w:vertAlign w:val="superscript"/>
              </w:rPr>
              <w:t>(1)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NEOs</w:t>
            </w:r>
            <w:r>
              <w:rPr>
                <w:rFonts w:ascii="Times New Roman" w:cs="Times New Roman" w:eastAsia="Times New Roman" w:hAnsi="Times New Roman"/>
                <w:sz w:val="6"/>
                <w:szCs w:val="6"/>
                <w:b w:val="1"/>
                <w:bCs w:val="1"/>
                <w:color w:val="auto"/>
              </w:rPr>
              <w:t>(2,3)</w:t>
            </w:r>
          </w:p>
        </w:tc>
        <w:tc>
          <w:tcPr>
            <w:tcW w:w="60" w:type="dxa"/>
            <w:vAlign w:val="bottom"/>
          </w:tcPr>
          <w:p>
            <w:pPr>
              <w:spacing w:after="0"/>
              <w:rPr>
                <w:sz w:val="11"/>
                <w:szCs w:val="11"/>
                <w:color w:val="auto"/>
              </w:rPr>
            </w:pPr>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8"/>
              </w:rPr>
              <w:t>Return</w:t>
            </w:r>
          </w:p>
        </w:tc>
        <w:tc>
          <w:tcPr>
            <w:tcW w:w="10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0"/>
                <w:szCs w:val="10"/>
                <w:b w:val="1"/>
                <w:bCs w:val="1"/>
                <w:color w:val="auto"/>
                <w:w w:val="93"/>
              </w:rPr>
              <w:t>Return</w:t>
            </w:r>
            <w:r>
              <w:rPr>
                <w:rFonts w:ascii="Times New Roman" w:cs="Times New Roman" w:eastAsia="Times New Roman" w:hAnsi="Times New Roman"/>
                <w:sz w:val="13"/>
                <w:szCs w:val="13"/>
                <w:b w:val="1"/>
                <w:bCs w:val="1"/>
                <w:color w:val="auto"/>
                <w:w w:val="93"/>
                <w:vertAlign w:val="superscript"/>
              </w:rPr>
              <w:t>(4)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Millions)</w:t>
            </w:r>
          </w:p>
        </w:tc>
        <w:tc>
          <w:tcPr>
            <w:tcW w:w="6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0"/>
                <w:szCs w:val="10"/>
                <w:b w:val="1"/>
                <w:bCs w:val="1"/>
                <w:color w:val="auto"/>
                <w:w w:val="95"/>
              </w:rPr>
              <w:t>($Millions)</w:t>
            </w:r>
            <w:r>
              <w:rPr>
                <w:rFonts w:ascii="Times New Roman" w:cs="Times New Roman" w:eastAsia="Times New Roman" w:hAnsi="Times New Roman"/>
                <w:sz w:val="13"/>
                <w:szCs w:val="13"/>
                <w:b w:val="1"/>
                <w:bCs w:val="1"/>
                <w:color w:val="auto"/>
                <w:w w:val="95"/>
                <w:vertAlign w:val="superscript"/>
              </w:rPr>
              <w:t>(5)</w:t>
            </w:r>
          </w:p>
        </w:tc>
      </w:tr>
      <w:tr>
        <w:trPr>
          <w:trHeight w:val="111"/>
        </w:trPr>
        <w:tc>
          <w:tcPr>
            <w:tcW w:w="260" w:type="dxa"/>
            <w:vAlign w:val="bottom"/>
            <w:tcBorders>
              <w:top w:val="single" w:sz="8" w:color="auto"/>
            </w:tcBorders>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rPr>
              <w:t>(a)</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31"/>
              <w:spacing w:after="0" w:line="112" w:lineRule="exact"/>
              <w:rPr>
                <w:sz w:val="20"/>
                <w:szCs w:val="20"/>
                <w:color w:val="auto"/>
              </w:rPr>
            </w:pPr>
            <w:r>
              <w:rPr>
                <w:rFonts w:ascii="Times New Roman" w:cs="Times New Roman" w:eastAsia="Times New Roman" w:hAnsi="Times New Roman"/>
                <w:sz w:val="10"/>
                <w:szCs w:val="10"/>
                <w:b w:val="1"/>
                <w:bCs w:val="1"/>
                <w:color w:val="auto"/>
                <w:w w:val="97"/>
              </w:rPr>
              <w:t>(b)</w:t>
            </w: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31"/>
              <w:spacing w:after="0" w:line="112" w:lineRule="exact"/>
              <w:rPr>
                <w:sz w:val="20"/>
                <w:szCs w:val="20"/>
                <w:color w:val="auto"/>
              </w:rPr>
            </w:pPr>
            <w:r>
              <w:rPr>
                <w:rFonts w:ascii="Times New Roman" w:cs="Times New Roman" w:eastAsia="Times New Roman" w:hAnsi="Times New Roman"/>
                <w:sz w:val="10"/>
                <w:szCs w:val="10"/>
                <w:b w:val="1"/>
                <w:bCs w:val="1"/>
                <w:color w:val="auto"/>
              </w:rPr>
              <w:t>(c)</w:t>
            </w: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ind w:right="11"/>
              <w:spacing w:after="0" w:line="112" w:lineRule="exact"/>
              <w:rPr>
                <w:sz w:val="20"/>
                <w:szCs w:val="20"/>
                <w:color w:val="auto"/>
              </w:rPr>
            </w:pPr>
            <w:r>
              <w:rPr>
                <w:rFonts w:ascii="Times New Roman" w:cs="Times New Roman" w:eastAsia="Times New Roman" w:hAnsi="Times New Roman"/>
                <w:sz w:val="10"/>
                <w:szCs w:val="10"/>
                <w:b w:val="1"/>
                <w:bCs w:val="1"/>
                <w:color w:val="auto"/>
                <w:w w:val="97"/>
              </w:rPr>
              <w:t>(b)</w:t>
            </w:r>
          </w:p>
        </w:tc>
        <w:tc>
          <w:tcPr>
            <w:tcW w:w="22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center"/>
              <w:spacing w:after="0" w:line="112" w:lineRule="exact"/>
              <w:rPr>
                <w:sz w:val="20"/>
                <w:szCs w:val="20"/>
                <w:color w:val="auto"/>
              </w:rPr>
            </w:pPr>
            <w:r>
              <w:rPr>
                <w:rFonts w:ascii="Times New Roman" w:cs="Times New Roman" w:eastAsia="Times New Roman" w:hAnsi="Times New Roman"/>
                <w:sz w:val="10"/>
                <w:szCs w:val="10"/>
                <w:b w:val="1"/>
                <w:bCs w:val="1"/>
                <w:color w:val="auto"/>
                <w:w w:val="89"/>
              </w:rPr>
              <w:t>(c)</w:t>
            </w:r>
          </w:p>
        </w:tc>
        <w:tc>
          <w:tcPr>
            <w:tcW w:w="34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ind w:right="11"/>
              <w:spacing w:after="0" w:line="112" w:lineRule="exact"/>
              <w:rPr>
                <w:sz w:val="20"/>
                <w:szCs w:val="20"/>
                <w:color w:val="auto"/>
              </w:rPr>
            </w:pPr>
            <w:r>
              <w:rPr>
                <w:rFonts w:ascii="Times New Roman" w:cs="Times New Roman" w:eastAsia="Times New Roman" w:hAnsi="Times New Roman"/>
                <w:sz w:val="10"/>
                <w:szCs w:val="10"/>
                <w:b w:val="1"/>
                <w:bCs w:val="1"/>
                <w:color w:val="auto"/>
                <w:w w:val="97"/>
              </w:rPr>
              <w:t>(b)</w:t>
            </w: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ind w:right="51"/>
              <w:spacing w:after="0" w:line="112" w:lineRule="exact"/>
              <w:rPr>
                <w:sz w:val="20"/>
                <w:szCs w:val="20"/>
                <w:color w:val="auto"/>
              </w:rPr>
            </w:pPr>
            <w:r>
              <w:rPr>
                <w:rFonts w:ascii="Times New Roman" w:cs="Times New Roman" w:eastAsia="Times New Roman" w:hAnsi="Times New Roman"/>
                <w:sz w:val="10"/>
                <w:szCs w:val="10"/>
                <w:b w:val="1"/>
                <w:bCs w:val="1"/>
                <w:color w:val="auto"/>
              </w:rPr>
              <w:t>(c)</w:t>
            </w: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ind w:right="51"/>
              <w:spacing w:after="0" w:line="112" w:lineRule="exact"/>
              <w:rPr>
                <w:sz w:val="20"/>
                <w:szCs w:val="20"/>
                <w:color w:val="auto"/>
              </w:rPr>
            </w:pPr>
            <w:r>
              <w:rPr>
                <w:rFonts w:ascii="Times New Roman" w:cs="Times New Roman" w:eastAsia="Times New Roman" w:hAnsi="Times New Roman"/>
                <w:sz w:val="10"/>
                <w:szCs w:val="10"/>
                <w:b w:val="1"/>
                <w:bCs w:val="1"/>
                <w:color w:val="auto"/>
                <w:w w:val="97"/>
              </w:rPr>
              <w:t>(d)</w:t>
            </w: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center"/>
              <w:ind w:right="13"/>
              <w:spacing w:after="0" w:line="112" w:lineRule="exact"/>
              <w:rPr>
                <w:sz w:val="20"/>
                <w:szCs w:val="20"/>
                <w:color w:val="auto"/>
              </w:rPr>
            </w:pPr>
            <w:r>
              <w:rPr>
                <w:rFonts w:ascii="Times New Roman" w:cs="Times New Roman" w:eastAsia="Times New Roman" w:hAnsi="Times New Roman"/>
                <w:sz w:val="10"/>
                <w:szCs w:val="10"/>
                <w:b w:val="1"/>
                <w:bCs w:val="1"/>
                <w:color w:val="auto"/>
              </w:rPr>
              <w:t>(e)</w:t>
            </w: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31"/>
              <w:spacing w:after="0" w:line="112" w:lineRule="exact"/>
              <w:rPr>
                <w:sz w:val="20"/>
                <w:szCs w:val="20"/>
                <w:color w:val="auto"/>
              </w:rPr>
            </w:pPr>
            <w:r>
              <w:rPr>
                <w:rFonts w:ascii="Times New Roman" w:cs="Times New Roman" w:eastAsia="Times New Roman" w:hAnsi="Times New Roman"/>
                <w:sz w:val="10"/>
                <w:szCs w:val="10"/>
                <w:b w:val="1"/>
                <w:bCs w:val="1"/>
                <w:color w:val="auto"/>
                <w:w w:val="99"/>
              </w:rPr>
              <w:t>(f)</w:t>
            </w: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center"/>
              <w:ind w:right="91"/>
              <w:spacing w:after="0" w:line="112" w:lineRule="exact"/>
              <w:rPr>
                <w:sz w:val="20"/>
                <w:szCs w:val="20"/>
                <w:color w:val="auto"/>
              </w:rPr>
            </w:pPr>
            <w:r>
              <w:rPr>
                <w:rFonts w:ascii="Times New Roman" w:cs="Times New Roman" w:eastAsia="Times New Roman" w:hAnsi="Times New Roman"/>
                <w:sz w:val="10"/>
                <w:szCs w:val="10"/>
                <w:b w:val="1"/>
                <w:bCs w:val="1"/>
                <w:color w:val="auto"/>
                <w:w w:val="97"/>
              </w:rPr>
              <w:t>(h)</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ind w:right="31"/>
              <w:spacing w:after="0" w:line="112" w:lineRule="exact"/>
              <w:rPr>
                <w:sz w:val="20"/>
                <w:szCs w:val="20"/>
                <w:color w:val="auto"/>
              </w:rPr>
            </w:pPr>
            <w:r>
              <w:rPr>
                <w:rFonts w:ascii="Times New Roman" w:cs="Times New Roman" w:eastAsia="Times New Roman" w:hAnsi="Times New Roman"/>
                <w:sz w:val="10"/>
                <w:szCs w:val="10"/>
                <w:b w:val="1"/>
                <w:bCs w:val="1"/>
                <w:color w:val="auto"/>
                <w:w w:val="84"/>
              </w:rPr>
              <w:t>(i)</w:t>
            </w:r>
          </w:p>
        </w:tc>
        <w:tc>
          <w:tcPr>
            <w:tcW w:w="100" w:type="dxa"/>
            <w:vAlign w:val="bottom"/>
          </w:tcPr>
          <w:p>
            <w:pPr>
              <w:spacing w:after="0"/>
              <w:rPr>
                <w:sz w:val="9"/>
                <w:szCs w:val="9"/>
                <w:color w:val="auto"/>
              </w:rPr>
            </w:pPr>
          </w:p>
        </w:tc>
      </w:tr>
      <w:tr>
        <w:trPr>
          <w:trHeight w:val="125"/>
        </w:trPr>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912,667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893,199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866,258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615,372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677,662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614,958</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540" w:type="dxa"/>
            <w:vAlign w:val="bottom"/>
            <w:gridSpan w:val="2"/>
          </w:tcPr>
          <w:p>
            <w:pPr>
              <w:jc w:val="right"/>
              <w:ind w:right="33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3"/>
              </w:rPr>
              <w:t>113</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(16)</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tcPr>
          <w:p>
            <w:pPr>
              <w:spacing w:after="0"/>
              <w:rPr>
                <w:sz w:val="10"/>
                <w:szCs w:val="10"/>
                <w:color w:val="auto"/>
              </w:rPr>
            </w:pPr>
          </w:p>
        </w:tc>
      </w:tr>
      <w:tr>
        <w:trPr>
          <w:trHeight w:val="122"/>
        </w:trPr>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894,905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220,789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730,912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558,052</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540" w:type="dxa"/>
            <w:vAlign w:val="bottom"/>
            <w:gridSpan w:val="2"/>
            <w:shd w:val="clear" w:color="auto" w:fill="CFF0FC"/>
          </w:tcPr>
          <w:p>
            <w:pPr>
              <w:jc w:val="right"/>
              <w:ind w:right="33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3"/>
              </w:rPr>
              <w:t>121</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100" w:type="dxa"/>
            <w:vAlign w:val="bottom"/>
            <w:shd w:val="clear" w:color="auto" w:fill="CFF0FC"/>
          </w:tcPr>
          <w:p>
            <w:pPr>
              <w:spacing w:after="0"/>
              <w:rPr>
                <w:sz w:val="10"/>
                <w:szCs w:val="10"/>
                <w:color w:val="auto"/>
              </w:rPr>
            </w:pPr>
          </w:p>
        </w:tc>
      </w:tr>
      <w:tr>
        <w:trPr>
          <w:trHeight w:val="128"/>
        </w:trPr>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2,101,058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1,721,979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2,446,640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1,857,113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772,486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642,744</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540" w:type="dxa"/>
            <w:vAlign w:val="bottom"/>
            <w:gridSpan w:val="2"/>
          </w:tcPr>
          <w:p>
            <w:pPr>
              <w:jc w:val="right"/>
              <w:ind w:right="33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3"/>
              </w:rPr>
              <w:t>109</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(32)</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w:t>
            </w:r>
          </w:p>
        </w:tc>
        <w:tc>
          <w:tcPr>
            <w:tcW w:w="100" w:type="dxa"/>
            <w:vAlign w:val="bottom"/>
          </w:tcPr>
          <w:p>
            <w:pPr>
              <w:spacing w:after="0"/>
              <w:rPr>
                <w:sz w:val="11"/>
                <w:szCs w:val="11"/>
                <w:color w:val="auto"/>
              </w:rPr>
            </w:pPr>
          </w:p>
        </w:tc>
      </w:tr>
    </w:tbl>
    <w:p>
      <w:pPr>
        <w:spacing w:after="0" w:line="87" w:lineRule="exact"/>
        <w:rPr>
          <w:sz w:val="20"/>
          <w:szCs w:val="20"/>
          <w:color w:val="auto"/>
        </w:rPr>
      </w:pPr>
    </w:p>
    <w:p>
      <w:pPr>
        <w:ind w:left="1020" w:right="280" w:hanging="503"/>
        <w:spacing w:after="0" w:line="298"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PVP table reflects required disclosures for fiscal years 2023, 2024 and 2025. The following table reflects our Principal Executive Officer (PEO) and non-PEO NEOs in each of the fiscal years presented:.</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5"/>
                <w:szCs w:val="15"/>
                <w:color w:val="auto"/>
              </w:rPr>
            </w:pPr>
          </w:p>
        </w:tc>
        <w:tc>
          <w:tcPr>
            <w:tcW w:w="24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PEO</w:t>
            </w:r>
          </w:p>
        </w:tc>
        <w:tc>
          <w:tcPr>
            <w:tcW w:w="80" w:type="dxa"/>
            <w:vAlign w:val="bottom"/>
          </w:tcPr>
          <w:p>
            <w:pPr>
              <w:spacing w:after="0"/>
              <w:rPr>
                <w:sz w:val="15"/>
                <w:szCs w:val="15"/>
                <w:color w:val="auto"/>
              </w:rPr>
            </w:pPr>
          </w:p>
        </w:tc>
        <w:tc>
          <w:tcPr>
            <w:tcW w:w="53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jc w:val="right"/>
              <w:ind w:right="751"/>
              <w:spacing w:after="0" w:line="119" w:lineRule="exact"/>
              <w:rPr>
                <w:sz w:val="20"/>
                <w:szCs w:val="20"/>
                <w:color w:val="auto"/>
              </w:rPr>
            </w:pPr>
            <w:r>
              <w:rPr>
                <w:rFonts w:ascii="Times New Roman" w:cs="Times New Roman" w:eastAsia="Times New Roman" w:hAnsi="Times New Roman"/>
                <w:sz w:val="13"/>
                <w:szCs w:val="13"/>
                <w:color w:val="auto"/>
                <w:w w:val="92"/>
              </w:rPr>
              <w:t>2025</w:t>
            </w:r>
          </w:p>
        </w:tc>
        <w:tc>
          <w:tcPr>
            <w:tcW w:w="100" w:type="dxa"/>
            <w:vAlign w:val="bottom"/>
          </w:tcPr>
          <w:p>
            <w:pPr>
              <w:spacing w:after="0"/>
              <w:rPr>
                <w:sz w:val="10"/>
                <w:szCs w:val="10"/>
                <w:color w:val="auto"/>
              </w:rPr>
            </w:pPr>
          </w:p>
        </w:tc>
        <w:tc>
          <w:tcPr>
            <w:tcW w:w="24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Justin J. File (Current)</w:t>
            </w:r>
          </w:p>
        </w:tc>
        <w:tc>
          <w:tcPr>
            <w:tcW w:w="5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Richard G. Ghalie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David M. Urso (Former)</w:t>
            </w:r>
          </w:p>
        </w:tc>
        <w:tc>
          <w:tcPr>
            <w:tcW w:w="5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80" w:type="dxa"/>
            <w:vAlign w:val="bottom"/>
            <w:shd w:val="clear" w:color="auto" w:fill="CFF0FC"/>
          </w:tcPr>
          <w:p>
            <w:pPr>
              <w:jc w:val="right"/>
              <w:ind w:right="751"/>
              <w:spacing w:after="0" w:line="142" w:lineRule="exact"/>
              <w:rPr>
                <w:sz w:val="20"/>
                <w:szCs w:val="20"/>
                <w:color w:val="auto"/>
              </w:rPr>
            </w:pPr>
            <w:r>
              <w:rPr>
                <w:rFonts w:ascii="Times New Roman" w:cs="Times New Roman" w:eastAsia="Times New Roman" w:hAnsi="Times New Roman"/>
                <w:sz w:val="14"/>
                <w:szCs w:val="14"/>
                <w:color w:val="auto"/>
                <w:w w:val="85"/>
              </w:rPr>
              <w:t>2024</w:t>
            </w:r>
          </w:p>
        </w:tc>
        <w:tc>
          <w:tcPr>
            <w:tcW w:w="2500" w:type="dxa"/>
            <w:vAlign w:val="bottom"/>
            <w:gridSpan w:val="2"/>
            <w:shd w:val="clear" w:color="auto" w:fill="CFF0FC"/>
          </w:tcPr>
          <w:p>
            <w:pPr>
              <w:ind w:left="100"/>
              <w:spacing w:after="0" w:line="142" w:lineRule="exact"/>
              <w:rPr>
                <w:sz w:val="20"/>
                <w:szCs w:val="20"/>
                <w:color w:val="auto"/>
              </w:rPr>
            </w:pPr>
            <w:r>
              <w:rPr>
                <w:rFonts w:ascii="Times New Roman" w:cs="Times New Roman" w:eastAsia="Times New Roman" w:hAnsi="Times New Roman"/>
                <w:sz w:val="14"/>
                <w:szCs w:val="14"/>
                <w:color w:val="auto"/>
              </w:rPr>
              <w:t>David M. Urso (Current)</w:t>
            </w:r>
          </w:p>
        </w:tc>
        <w:tc>
          <w:tcPr>
            <w:tcW w:w="5380" w:type="dxa"/>
            <w:vAlign w:val="bottom"/>
            <w:gridSpan w:val="2"/>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Justin J. File and Richard G. Ghalie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1080" w:type="dxa"/>
            <w:vAlign w:val="bottom"/>
          </w:tcPr>
          <w:p>
            <w:pPr>
              <w:jc w:val="right"/>
              <w:ind w:right="751"/>
              <w:spacing w:after="0" w:line="119" w:lineRule="exact"/>
              <w:rPr>
                <w:sz w:val="20"/>
                <w:szCs w:val="20"/>
                <w:color w:val="auto"/>
              </w:rPr>
            </w:pPr>
            <w:r>
              <w:rPr>
                <w:rFonts w:ascii="Times New Roman" w:cs="Times New Roman" w:eastAsia="Times New Roman" w:hAnsi="Times New Roman"/>
                <w:sz w:val="13"/>
                <w:szCs w:val="13"/>
                <w:color w:val="auto"/>
                <w:w w:val="92"/>
              </w:rPr>
              <w:t>2023</w:t>
            </w:r>
          </w:p>
        </w:tc>
        <w:tc>
          <w:tcPr>
            <w:tcW w:w="2500" w:type="dxa"/>
            <w:vAlign w:val="bottom"/>
            <w:gridSpan w:val="2"/>
          </w:tcPr>
          <w:p>
            <w:pPr>
              <w:ind w:left="100"/>
              <w:spacing w:after="0" w:line="119" w:lineRule="exact"/>
              <w:rPr>
                <w:sz w:val="20"/>
                <w:szCs w:val="20"/>
                <w:color w:val="auto"/>
              </w:rPr>
            </w:pPr>
            <w:r>
              <w:rPr>
                <w:rFonts w:ascii="Times New Roman" w:cs="Times New Roman" w:eastAsia="Times New Roman" w:hAnsi="Times New Roman"/>
                <w:sz w:val="13"/>
                <w:szCs w:val="13"/>
                <w:color w:val="auto"/>
              </w:rPr>
              <w:t>David M. Urso (Current)</w:t>
            </w:r>
          </w:p>
        </w:tc>
        <w:tc>
          <w:tcPr>
            <w:tcW w:w="5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Brian G. Drazba and Richard G. Ghalie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Daniel P. Gold (Former)</w:t>
            </w:r>
          </w:p>
        </w:tc>
        <w:tc>
          <w:tcPr>
            <w:tcW w:w="5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-205105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-205105</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1020" w:right="200" w:hanging="503"/>
        <w:spacing w:after="0" w:line="298"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for CAP have been calculated in accordance with Item 402(v) of Regulation S-K and do not reflect compensation earned, realized, or received by our NEOs. These amounts reflect the Summary Compensation Table Total with certain adjustments as described in footnote 3 below.</w:t>
      </w:r>
    </w:p>
    <w:p>
      <w:pPr>
        <w:spacing w:after="0" w:line="56" w:lineRule="exact"/>
        <w:rPr>
          <w:rFonts w:ascii="Times New Roman" w:cs="Times New Roman" w:eastAsia="Times New Roman" w:hAnsi="Times New Roman"/>
          <w:sz w:val="16"/>
          <w:szCs w:val="16"/>
          <w:color w:val="auto"/>
        </w:rPr>
      </w:pPr>
    </w:p>
    <w:p>
      <w:pPr>
        <w:ind w:left="1020" w:hanging="503"/>
        <w:spacing w:after="0" w:line="275"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Actually Paid (CAP) is calculated by taking Summary Compensation Table total compensation: a) less the stock award and stock option grant values; b) plus the year over year change in the fair value of stock and option awards that are unvested as of the end of the year, or that vested, or were forfeited during the year. No adjustments were made for pension arrangements, which we do not sponsor. Reconciliation of the Summary Compensation Table total compensation and CAP is summarized in the following table:</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3"/>
                <w:szCs w:val="13"/>
                <w:b w:val="1"/>
                <w:bCs w:val="1"/>
                <w:color w:val="auto"/>
              </w:rPr>
              <w:t>Current PEO (File)(i)</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SCT Total</w:t>
            </w:r>
          </w:p>
        </w:tc>
        <w:tc>
          <w:tcPr>
            <w:tcW w:w="1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ind w:left="5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ind w:left="50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912,667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and Option Award Values Reported in SCT for the Covered Year</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Outstanding Unvested Stock and Option Awards Granted in the Covered Year</w:t>
            </w:r>
          </w:p>
        </w:tc>
        <w:tc>
          <w:tcPr>
            <w:tcW w:w="160" w:type="dxa"/>
            <w:vAlign w:val="bottom"/>
          </w:tcPr>
          <w:p>
            <w:pPr>
              <w:spacing w:after="0"/>
              <w:rPr>
                <w:sz w:val="11"/>
                <w:szCs w:val="11"/>
                <w:color w:val="auto"/>
              </w:rPr>
            </w:pP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Change in Fair Value of Outstanding Unvested Stock and Option Awards from Prior Years</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(15,787)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Stock and Option Awards Granted in Covered Year that Vested</w:t>
            </w:r>
          </w:p>
        </w:tc>
        <w:tc>
          <w:tcPr>
            <w:tcW w:w="160" w:type="dxa"/>
            <w:vAlign w:val="bottom"/>
          </w:tcPr>
          <w:p>
            <w:pPr>
              <w:spacing w:after="0"/>
              <w:rPr>
                <w:sz w:val="11"/>
                <w:szCs w:val="11"/>
                <w:color w:val="auto"/>
              </w:rPr>
            </w:pPr>
          </w:p>
        </w:tc>
        <w:tc>
          <w:tcPr>
            <w:tcW w:w="64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Change in Fair Value of Stock and Option Awards from Prior Years that Vested in Covered Year</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(3,681)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Stock and Option Awards Forfeited during the Covered Year</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5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Compensation Actually Paid</w:t>
            </w:r>
          </w:p>
        </w:tc>
        <w:tc>
          <w:tcPr>
            <w:tcW w:w="1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ind w:left="5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gridSpan w:val="2"/>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ind w:left="50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280" w:type="dxa"/>
            <w:vAlign w:val="bottom"/>
            <w:gridSpan w:val="2"/>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893,199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5"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Former PEO (Urso)(i)</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40" w:type="dxa"/>
            <w:vAlign w:val="bottom"/>
            <w:tcBorders>
              <w:top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SCT Total</w:t>
            </w: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2,101,058</w:t>
            </w: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894,905</w:t>
            </w:r>
          </w:p>
        </w:tc>
        <w:tc>
          <w:tcPr>
            <w:tcW w:w="1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866,258</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and Option Award Values Reported in SCT for the Covered Year</w:t>
            </w: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(1,352,600)</w:t>
            </w:r>
          </w:p>
        </w:tc>
        <w:tc>
          <w:tcPr>
            <w:tcW w:w="1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Outstanding Unvested Stock and Option Awards Granted in the Covered Year</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1,097,045</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Change in Fair Value of Outstanding Unvested Stock and Option Awards from Prior Years</w:t>
            </w: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(70,864)</w:t>
            </w: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(511,128)</w:t>
            </w:r>
          </w:p>
        </w:tc>
        <w:tc>
          <w:tcPr>
            <w:tcW w:w="18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Stock and Option Awards Granted in Covered Year that Vested</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Change in Fair Value of Stock and Option Awards from Prior Years that Vested in Covered Year</w:t>
            </w: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(52,660)</w:t>
            </w: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(162,988)</w:t>
            </w:r>
          </w:p>
        </w:tc>
        <w:tc>
          <w:tcPr>
            <w:tcW w:w="1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1,757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Stock and Option Awards Forfeited during the Covered Year</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(252,643)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Compensation Actually Paid</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1,721,979</w:t>
            </w: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220,789</w:t>
            </w: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615,372</w:t>
            </w: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-119380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-119380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-119380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5"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Former PEO (Gold)(i)</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SCT Total</w:t>
            </w:r>
          </w:p>
        </w:tc>
        <w:tc>
          <w:tcPr>
            <w:tcW w:w="1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2,446,640</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ind w:left="50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ind w:left="4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and Option Award Values Reported in SCT for the Covered Year</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(584,700)</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Outstanding Unvested Stock and Option Awards Granted in the Covered Year</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Change in Fair Value of Outstanding Unvested Stock and Option Awards from Prior Years</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Stock and Option Awards Granted in Covered Year that Vested</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193,830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Change in Fair Value of Stock and Option Awards from Prior Years that Vested in Covered Year</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(130,139)</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Stock and Option Awards Forfeited during the Covered Year</w:t>
            </w: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(68,518)</w:t>
            </w:r>
          </w:p>
        </w:tc>
        <w:tc>
          <w:tcPr>
            <w:tcW w:w="160" w:type="dxa"/>
            <w:vAlign w:val="bottom"/>
          </w:tcPr>
          <w:p>
            <w:pPr>
              <w:spacing w:after="0"/>
              <w:rPr>
                <w:sz w:val="11"/>
                <w:szCs w:val="11"/>
                <w:color w:val="auto"/>
              </w:rPr>
            </w:pPr>
          </w:p>
        </w:tc>
        <w:tc>
          <w:tcPr>
            <w:tcW w:w="62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Compensation Actually Paid</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1,857,113</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ind w:left="50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FF0FC"/>
          </w:tcPr>
          <w:p>
            <w:pPr>
              <w:ind w:left="4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-25400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95"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Average Non-PEO(i)</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40" w:type="dxa"/>
            <w:vAlign w:val="bottom"/>
            <w:tcBorders>
              <w:top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SCT Total</w:t>
            </w: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772,486</w:t>
            </w: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730,912</w:t>
            </w: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677,662</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and Option Award Values Reported in SCT for the Covered Year</w:t>
            </w: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(177,850)</w:t>
            </w: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(79,900)</w:t>
            </w:r>
          </w:p>
        </w:tc>
        <w:tc>
          <w:tcPr>
            <w:tcW w:w="1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Outstanding Unvested Stock and Option Awards Granted in the Covered Year</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104,625</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28,797</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Change in Fair Value of Outstanding Unvested Stock and Option Awards from Prior Years</w:t>
            </w: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(32,041)</w:t>
            </w: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(93,289)</w:t>
            </w:r>
          </w:p>
        </w:tc>
        <w:tc>
          <w:tcPr>
            <w:tcW w:w="16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Stock and Option Awards Granted in Covered Year that Vested</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Change in Fair Value of Stock and Option Awards from Prior Years that Vested in Covered Year</w:t>
            </w: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(24,476)</w:t>
            </w: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(28,468)</w:t>
            </w: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Fair Value of Stock and Option Awards Forfeited during the Covered Year</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(62,858)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Compensation Actually Paid</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642,744</w:t>
            </w: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558,052</w:t>
            </w: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614,958</w:t>
            </w: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-119380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-119380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-119380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7" w:lineRule="exact"/>
        <w:rPr>
          <w:sz w:val="20"/>
          <w:szCs w:val="20"/>
          <w:color w:val="auto"/>
        </w:rPr>
      </w:pPr>
    </w:p>
    <w:p>
      <w:pPr>
        <w:ind w:left="1120" w:hanging="154"/>
        <w:spacing w:after="0"/>
        <w:tabs>
          <w:tab w:leader="none" w:pos="1120"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fair value of options awards used to calculate CAP was determined using the Black-Scholes option pricing model, in accordance with FASB 718</w:t>
      </w:r>
    </w:p>
    <w:p>
      <w:pPr>
        <w:spacing w:after="0" w:line="300" w:lineRule="exact"/>
        <w:rPr>
          <w:rFonts w:ascii="Times New Roman" w:cs="Times New Roman" w:eastAsia="Times New Roman" w:hAnsi="Times New Roman"/>
          <w:sz w:val="13"/>
          <w:szCs w:val="13"/>
          <w:color w:val="auto"/>
        </w:rPr>
      </w:pPr>
    </w:p>
    <w:p>
      <w:pPr>
        <w:ind w:left="1020" w:right="40" w:hanging="503"/>
        <w:spacing w:after="0" w:line="272"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Peer Group TSR set forth in this table utilizes the Nasdaq Biotechnology Index, which we also utilized in the stock performance graph required by Item 201(e) of Regulation S-K included in our Annual Report for the fiscal year ended June 30, 2019. As a SRC, we do not have to provide and have not provided, this stock performance graph in subsequent annual reports. The comparison assumes $100 was invested for the period starting June 30, 2022, through the end of the listed year in us and in the Nasdaq Biotechnology Index, respectively. Historical stock performance is not necessarily indicative of future stock performance.</w:t>
      </w:r>
    </w:p>
    <w:p>
      <w:pPr>
        <w:spacing w:after="0" w:line="77" w:lineRule="exact"/>
        <w:rPr>
          <w:rFonts w:ascii="Times New Roman" w:cs="Times New Roman" w:eastAsia="Times New Roman" w:hAnsi="Times New Roman"/>
          <w:sz w:val="16"/>
          <w:szCs w:val="16"/>
          <w:color w:val="auto"/>
        </w:rPr>
      </w:pPr>
    </w:p>
    <w:p>
      <w:pPr>
        <w:ind w:left="1020" w:hanging="503"/>
        <w:spacing w:after="0" w:line="298"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determined Total Cash to be the most important financial performance measure used to link our performance to CAP to our PEO and Non-PEO NEOs in 2025. Total Cash is defined as total cash and cash equivalents.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Relationship between CAP and TSR</w:t>
      </w:r>
      <w:r>
        <w:rPr>
          <w:rFonts w:ascii="Times New Roman" w:cs="Times New Roman" w:eastAsia="Times New Roman" w:hAnsi="Times New Roman"/>
          <w:sz w:val="18"/>
          <w:szCs w:val="18"/>
          <w:color w:val="auto"/>
        </w:rPr>
        <w:t>. The chart below reflects the relationship between the PEO and average non-PEO NEO CAP versus our TSR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43815</wp:posOffset>
            </wp:positionV>
            <wp:extent cx="5220335" cy="2451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2033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Relationship between CAP and GAAP Net Income (Loss)</w:t>
      </w:r>
      <w:r>
        <w:rPr>
          <w:rFonts w:ascii="Times New Roman" w:cs="Times New Roman" w:eastAsia="Times New Roman" w:hAnsi="Times New Roman"/>
          <w:sz w:val="18"/>
          <w:szCs w:val="18"/>
          <w:color w:val="auto"/>
        </w:rPr>
        <w:t>. The chart below reflects the relationship between the PEO and average non-PEO NEO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 and our 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43815</wp:posOffset>
            </wp:positionV>
            <wp:extent cx="4551680" cy="2451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55168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Relationship between CAP and Total Cash (our Selected Measure). </w:t>
      </w:r>
      <w:r>
        <w:rPr>
          <w:rFonts w:ascii="Times New Roman" w:cs="Times New Roman" w:eastAsia="Times New Roman" w:hAnsi="Times New Roman"/>
          <w:sz w:val="18"/>
          <w:szCs w:val="18"/>
          <w:color w:val="auto"/>
        </w:rPr>
        <w:t>The chart below reflects the relationship between the PEO CAP and average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non-PEO NEO CAP and our Total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43815</wp:posOffset>
            </wp:positionV>
            <wp:extent cx="4500245" cy="24599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50024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the fees paid to our non-executive directors who served on the Board for the fiscal year ended June 30, 2025.</w:t>
      </w:r>
    </w:p>
    <w:p>
      <w:pPr>
        <w:spacing w:after="0" w:line="9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OptionAwards($)(2)</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Cash ($) (1)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64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Charles V. Baltic III (3)</w:t>
            </w:r>
          </w:p>
        </w:tc>
        <w:tc>
          <w:tcPr>
            <w:tcW w:w="1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5,654</w:t>
            </w:r>
          </w:p>
        </w:tc>
        <w:tc>
          <w:tcPr>
            <w:tcW w:w="3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Frederick W. Driscoll (4)</w:t>
            </w: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98,530</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0" w:type="dxa"/>
            <w:vAlign w:val="bottom"/>
            <w:shd w:val="clear" w:color="auto" w:fill="CFF0FC"/>
          </w:tcPr>
          <w:p>
            <w:pPr>
              <w:ind w:left="1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98,530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Nicholas R. Glover, Ph.D. (5)</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70,600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Thomas C. Reynolds, M.D., Ph.D. (6)</w:t>
            </w: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63,100</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0" w:type="dxa"/>
            <w:vAlign w:val="bottom"/>
            <w:shd w:val="clear" w:color="auto" w:fill="CFF0FC"/>
          </w:tcPr>
          <w:p>
            <w:pPr>
              <w:ind w:left="1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63,100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Taheer Datoo (7)</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69,915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ind w:left="1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James Flynn (8)</w:t>
            </w: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60,304</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0" w:type="dxa"/>
            <w:vAlign w:val="bottom"/>
            <w:shd w:val="clear" w:color="auto" w:fill="CFF0FC"/>
          </w:tcPr>
          <w:p>
            <w:pPr>
              <w:ind w:left="1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Steven Wood (9)</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ind w:left="124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1020" w:right="80" w:hanging="479"/>
        <w:spacing w:after="0" w:line="272" w:lineRule="auto"/>
        <w:tabs>
          <w:tab w:leader="none" w:pos="1007"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fiscal year ended June 30, 2025, each of our non-executive directors received an annual cash retainer of $45,600. In addition to the annual cash retainer, the chair received additional annual compensation of $35,000 and each Board Committee chair received additional compensation as follows: Audit Committee: $20,000; Compensation Committee: $15,000; and Nominating and Governance Committee: $10,000. Committee members not receiving compensation as a committee chairperson received additional compensation as follows: Audit Committee: $10,000; Compensation Committee: $7,500 and Nominating and Governance Committee: $5,000. Such amounts are pro-rated for periods of service less than the full fiscal year.</w:t>
      </w:r>
    </w:p>
    <w:p>
      <w:pPr>
        <w:spacing w:after="0" w:line="77" w:lineRule="exact"/>
        <w:rPr>
          <w:rFonts w:ascii="Times New Roman" w:cs="Times New Roman" w:eastAsia="Times New Roman" w:hAnsi="Times New Roman"/>
          <w:sz w:val="16"/>
          <w:szCs w:val="16"/>
          <w:color w:val="auto"/>
        </w:rPr>
      </w:pPr>
    </w:p>
    <w:p>
      <w:pPr>
        <w:ind w:left="1020" w:right="60" w:hanging="503"/>
        <w:spacing w:after="0" w:line="298"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 date fair value of options granted in accordance with FASB ASC Topic 718. No stock options were granted to non-employee directors during fiscal year 2025.</w:t>
      </w:r>
    </w:p>
    <w:p>
      <w:pPr>
        <w:spacing w:after="0" w:line="56" w:lineRule="exact"/>
        <w:rPr>
          <w:rFonts w:ascii="Times New Roman" w:cs="Times New Roman" w:eastAsia="Times New Roman" w:hAnsi="Times New Roman"/>
          <w:sz w:val="16"/>
          <w:szCs w:val="16"/>
          <w:color w:val="auto"/>
        </w:rPr>
      </w:pPr>
    </w:p>
    <w:p>
      <w:pPr>
        <w:ind w:left="1020" w:right="60" w:hanging="503"/>
        <w:spacing w:after="0" w:line="298"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Baltic resigned as chair of our Board effective July 22, 2024 and received pro-rated cash compensation of $5,654 in connection with his service as chair of the Board.</w:t>
      </w:r>
    </w:p>
    <w:p>
      <w:pPr>
        <w:spacing w:after="0" w:line="56" w:lineRule="exact"/>
        <w:rPr>
          <w:rFonts w:ascii="Times New Roman" w:cs="Times New Roman" w:eastAsia="Times New Roman" w:hAnsi="Times New Roman"/>
          <w:sz w:val="16"/>
          <w:szCs w:val="16"/>
          <w:color w:val="auto"/>
        </w:rPr>
      </w:pPr>
    </w:p>
    <w:p>
      <w:pPr>
        <w:ind w:left="1020" w:right="300" w:hanging="503"/>
        <w:spacing w:after="0" w:line="298"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Driscoll became the chair of our Board as of July 22, 2024. He received cash compensation of $78,530 in connection with his service as chair of our Board and $20,000 in connection with his service as the chair of the Audit Committee.</w:t>
      </w:r>
    </w:p>
    <w:p>
      <w:pPr>
        <w:spacing w:after="0" w:line="56" w:lineRule="exact"/>
        <w:rPr>
          <w:rFonts w:ascii="Times New Roman" w:cs="Times New Roman" w:eastAsia="Times New Roman" w:hAnsi="Times New Roman"/>
          <w:sz w:val="16"/>
          <w:szCs w:val="16"/>
          <w:color w:val="auto"/>
        </w:rPr>
      </w:pPr>
    </w:p>
    <w:p>
      <w:pPr>
        <w:ind w:left="1020" w:right="500" w:hanging="503"/>
        <w:spacing w:after="0" w:line="298"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Glover received cash compensation of $45,600 in connection with his service on the Board, $15,000 in connection with his service as chair of the Compensation Committee and $10,000 in connection with his service on the Audit Committee.</w:t>
      </w:r>
    </w:p>
    <w:p>
      <w:pPr>
        <w:spacing w:after="0" w:line="56" w:lineRule="exact"/>
        <w:rPr>
          <w:rFonts w:ascii="Times New Roman" w:cs="Times New Roman" w:eastAsia="Times New Roman" w:hAnsi="Times New Roman"/>
          <w:sz w:val="16"/>
          <w:szCs w:val="16"/>
          <w:color w:val="auto"/>
        </w:rPr>
      </w:pPr>
    </w:p>
    <w:p>
      <w:pPr>
        <w:ind w:left="1020" w:right="940" w:hanging="503"/>
        <w:spacing w:after="0" w:line="298"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Reynolds received cash compensation of $45,600 in connection with his service on the Board, $7,500 in connection with his service on the Compensation Committee and $10,000 in connection with his service as chair of the Nominating and Governance Committee.</w:t>
      </w:r>
    </w:p>
    <w:p>
      <w:pPr>
        <w:spacing w:after="0" w:line="56" w:lineRule="exact"/>
        <w:rPr>
          <w:rFonts w:ascii="Times New Roman" w:cs="Times New Roman" w:eastAsia="Times New Roman" w:hAnsi="Times New Roman"/>
          <w:sz w:val="16"/>
          <w:szCs w:val="16"/>
          <w:color w:val="auto"/>
        </w:rPr>
      </w:pPr>
    </w:p>
    <w:p>
      <w:pPr>
        <w:jc w:val="both"/>
        <w:ind w:left="1020" w:right="40" w:hanging="503"/>
        <w:spacing w:after="0" w:line="281"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Datoo received cash compensation of $45,600 in connection with his service on our Board and $5,000 in connection with his service on the Nominating and Governance committee. Mr. Datoo also received $19,315 as the cash equivalent of the vested grant date fair value of options granted in accordance with FASB ASC Topic 718.</w:t>
      </w:r>
    </w:p>
    <w:p>
      <w:pPr>
        <w:spacing w:after="0" w:line="69" w:lineRule="exact"/>
        <w:rPr>
          <w:rFonts w:ascii="Times New Roman" w:cs="Times New Roman" w:eastAsia="Times New Roman" w:hAnsi="Times New Roman"/>
          <w:sz w:val="16"/>
          <w:szCs w:val="16"/>
          <w:color w:val="auto"/>
        </w:rPr>
      </w:pPr>
    </w:p>
    <w:p>
      <w:pPr>
        <w:ind w:left="1020" w:right="640" w:hanging="503"/>
        <w:spacing w:after="0" w:line="298"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Flynn received cash compensation of $45,600 in connection with his service on our Board, $10,000 in connection with his service on the Audit Committee and $4,704 in connection with his service on the Nominating and Governance Committee.</w:t>
      </w:r>
    </w:p>
    <w:p>
      <w:pPr>
        <w:sectPr>
          <w:pgSz w:w="11900" w:h="16838" w:orient="portrait"/>
          <w:cols w:equalWidth="0" w:num="1">
            <w:col w:w="11220"/>
          </w:cols>
          <w:pgMar w:left="320" w:top="117" w:right="359" w:bottom="1440" w:gutter="0" w:footer="0" w:header="0"/>
        </w:sectPr>
      </w:pP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Wood received waived all compensation associated with his service on our Board for fiscal year 2025.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Subject to certain exceptions, the indemnification agreements provide that an indemnitee will be indemnified for all expenses incurred or paid by the indemnitee in connection with a proceeding to which the indemnitee was or is a party, or is threatened to be made a party, by reason of the indemnitee’s status with or service to us or to another entity at our request. In connection with proceedings other than those by or in the right of our company and to which the indemnitee was or is a party, or is threatened to be made a party, by reason of the indemnitee’s status with or service to us or to another entity at our request, the indemnification agreements provide that an indemnitee will also be indemnified for all liabilities incurred or paid by the indemnitee. The indemnification agreements also provide for advancement of expenses incurred by an indemnitee in connection with an indemnifiable claim, subject to reimbursement in certain circumstances.</w:t>
      </w:r>
    </w:p>
    <w:p>
      <w:pPr>
        <w:spacing w:after="0" w:line="8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rights of each indemnitee are in addition to any other rights provided for under our amended and restated certificate of incorporation and our amended and restated by-laws, as may be amended from time to time, and under Delaware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shares of our common stock as of September 23, 2025 (except as otherwise indicated below) by (i) each person known to beneficially own more than 5% of our common stock, (ii) each of our named executive officers and directors and (iii) our officers and directors as a group. Beneficial ownership is determined in accordance with the rules and regulations of the SEC. In computing the number of shares beneficially owned by a person and the percentage ownership of that person, shares of common stock subject to options, warrants or restricted stock units, exercisable or convertible on or within sixty (60) days of September 23, 2025, are deemed outstanding. Such shares, however, are not deemed outstanding for the purposes of computing the percentage ownership of any other person. The percentage of beneficial ownership described below is based on 35,655,155 shares of common stock outstanding, plus adjustments to the number of shares of common stock outstanding as described above, as of September 23, 2025.</w:t>
      </w:r>
    </w:p>
    <w:p>
      <w:pPr>
        <w:spacing w:after="0" w:line="6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3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 &amp; Nature of Beneficial</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Shares Beneficially</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3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60" w:type="dxa"/>
            <w:vAlign w:val="bottom"/>
          </w:tcPr>
          <w:p>
            <w:pPr>
              <w:spacing w:after="0"/>
              <w:rPr>
                <w:sz w:val="15"/>
                <w:szCs w:val="15"/>
                <w:color w:val="auto"/>
              </w:rPr>
            </w:pPr>
          </w:p>
        </w:tc>
        <w:tc>
          <w:tcPr>
            <w:tcW w:w="20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Alexander Schornstein (1)</w:t>
            </w:r>
          </w:p>
        </w:tc>
        <w:tc>
          <w:tcPr>
            <w:tcW w:w="2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4,365,472</w:t>
            </w:r>
          </w:p>
        </w:tc>
        <w:tc>
          <w:tcPr>
            <w:tcW w:w="2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12.24</w:t>
            </w:r>
          </w:p>
        </w:tc>
        <w:tc>
          <w:tcPr>
            <w:tcW w:w="520" w:type="dxa"/>
            <w:vAlign w:val="bottom"/>
            <w:shd w:val="clear" w:color="auto" w:fill="CFF0FC"/>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Citadel CEMF Investments Ltd (2)</w:t>
            </w:r>
          </w:p>
        </w:tc>
        <w:tc>
          <w:tcPr>
            <w:tcW w:w="2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3,561,950</w:t>
            </w:r>
          </w:p>
        </w:tc>
        <w:tc>
          <w:tcPr>
            <w:tcW w:w="2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9.99</w:t>
            </w:r>
          </w:p>
        </w:tc>
        <w:tc>
          <w:tcPr>
            <w:tcW w:w="52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GSR Growth Investments LP</w:t>
            </w:r>
          </w:p>
        </w:tc>
        <w:tc>
          <w:tcPr>
            <w:tcW w:w="2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1,779,192</w:t>
            </w:r>
          </w:p>
        </w:tc>
        <w:tc>
          <w:tcPr>
            <w:tcW w:w="2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520" w:type="dxa"/>
            <w:vAlign w:val="bottom"/>
            <w:shd w:val="clear" w:color="auto" w:fill="CFF0FC"/>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Directors and Named Executive Officers</w:t>
            </w:r>
          </w:p>
        </w:tc>
        <w:tc>
          <w:tcPr>
            <w:tcW w:w="2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Justin J. File (3)</w:t>
            </w:r>
          </w:p>
        </w:tc>
        <w:tc>
          <w:tcPr>
            <w:tcW w:w="2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52,203</w:t>
            </w:r>
          </w:p>
        </w:tc>
        <w:tc>
          <w:tcPr>
            <w:tcW w:w="2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Frederick W. Driscoll (4)</w:t>
            </w:r>
          </w:p>
        </w:tc>
        <w:tc>
          <w:tcPr>
            <w:tcW w:w="2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46,916</w:t>
            </w:r>
          </w:p>
        </w:tc>
        <w:tc>
          <w:tcPr>
            <w:tcW w:w="2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Nicholas R. Glover, Ph.D. (5)</w:t>
            </w:r>
          </w:p>
        </w:tc>
        <w:tc>
          <w:tcPr>
            <w:tcW w:w="2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47,375</w:t>
            </w:r>
          </w:p>
        </w:tc>
        <w:tc>
          <w:tcPr>
            <w:tcW w:w="2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Thomas C. Reynolds, M.D., Ph.D. (6)</w:t>
            </w:r>
          </w:p>
        </w:tc>
        <w:tc>
          <w:tcPr>
            <w:tcW w:w="2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47,875</w:t>
            </w:r>
          </w:p>
        </w:tc>
        <w:tc>
          <w:tcPr>
            <w:tcW w:w="2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James Flynn (7)</w:t>
            </w:r>
          </w:p>
        </w:tc>
        <w:tc>
          <w:tcPr>
            <w:tcW w:w="2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40,989</w:t>
            </w:r>
          </w:p>
        </w:tc>
        <w:tc>
          <w:tcPr>
            <w:tcW w:w="2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Charles B. Lee (8)</w:t>
            </w:r>
          </w:p>
        </w:tc>
        <w:tc>
          <w:tcPr>
            <w:tcW w:w="2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292,397</w:t>
            </w:r>
          </w:p>
        </w:tc>
        <w:tc>
          <w:tcPr>
            <w:tcW w:w="2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Joshua Riezman (9)</w:t>
            </w:r>
          </w:p>
        </w:tc>
        <w:tc>
          <w:tcPr>
            <w:tcW w:w="2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2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Richard G. Ghalie (10)</w:t>
            </w:r>
          </w:p>
        </w:tc>
        <w:tc>
          <w:tcPr>
            <w:tcW w:w="2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90,908</w:t>
            </w:r>
          </w:p>
        </w:tc>
        <w:tc>
          <w:tcPr>
            <w:tcW w:w="2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David M. Urso</w:t>
            </w:r>
          </w:p>
        </w:tc>
        <w:tc>
          <w:tcPr>
            <w:tcW w:w="2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36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All Current Directors and Executive Officers as</w:t>
            </w:r>
          </w:p>
        </w:tc>
        <w:tc>
          <w:tcPr>
            <w:tcW w:w="2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619,496</w:t>
            </w:r>
          </w:p>
        </w:tc>
        <w:tc>
          <w:tcPr>
            <w:tcW w:w="2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520" w:type="dxa"/>
            <w:vAlign w:val="bottom"/>
            <w:vMerge w:val="restart"/>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a Group (9 People)</w:t>
            </w:r>
          </w:p>
        </w:tc>
        <w:tc>
          <w:tcPr>
            <w:tcW w:w="2340" w:type="dxa"/>
            <w:vAlign w:val="bottom"/>
            <w:vMerge w:val="continue"/>
            <w:shd w:val="clear" w:color="auto" w:fill="CFF0FC"/>
          </w:tcPr>
          <w:p>
            <w:pPr>
              <w:spacing w:after="0"/>
              <w:rPr>
                <w:sz w:val="15"/>
                <w:szCs w:val="15"/>
                <w:color w:val="auto"/>
              </w:rPr>
            </w:pPr>
          </w:p>
        </w:tc>
        <w:tc>
          <w:tcPr>
            <w:tcW w:w="2320" w:type="dxa"/>
            <w:vAlign w:val="bottom"/>
            <w:gridSpan w:val="2"/>
            <w:vMerge w:val="continue"/>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00" w:hanging="143"/>
        <w:spacing w:after="0"/>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21" w:lineRule="exact"/>
        <w:rPr>
          <w:rFonts w:ascii="Times New Roman" w:cs="Times New Roman" w:eastAsia="Times New Roman" w:hAnsi="Times New Roman"/>
          <w:sz w:val="18"/>
          <w:szCs w:val="18"/>
          <w:color w:val="auto"/>
        </w:rPr>
      </w:pPr>
    </w:p>
    <w:p>
      <w:pPr>
        <w:ind w:left="1020" w:right="300" w:hanging="503"/>
        <w:spacing w:after="0" w:line="298"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contained in Amendment No. 1 to Schedule G filed by Alexander Schornstein on September 10 2025. Mr. Schornstein has sole voting and dispositive power as to the shares. The principal address is Kaiser-Friedrich-Allee 2, 52074 Aachen, Germany 004915142314669.</w:t>
      </w:r>
    </w:p>
    <w:p>
      <w:pPr>
        <w:spacing w:after="0" w:line="56" w:lineRule="exact"/>
        <w:rPr>
          <w:rFonts w:ascii="Times New Roman" w:cs="Times New Roman" w:eastAsia="Times New Roman" w:hAnsi="Times New Roman"/>
          <w:sz w:val="16"/>
          <w:szCs w:val="16"/>
          <w:color w:val="auto"/>
        </w:rPr>
      </w:pPr>
    </w:p>
    <w:p>
      <w:pPr>
        <w:ind w:left="1020" w:right="40" w:hanging="503"/>
        <w:spacing w:after="0" w:line="267"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contained in Schedule G filed by Citadel Advisors LLC, Citadel Advisors Holdings LP, Citadel GP LLC, Citadel Securities LLC, Citadel Securities Group LP, Citadel Securities GP LLC and Kenneth Griffin on July 29, 2025, shares beneficially owned consists of (i) 3,167,695 shares of common stock held directly, with respect to which each Citadel Advisors LLC, Citadel Advisors Holdings LP and Citadel GP LLC have shared voting and dispositive power, (ii) 78,193 shares of common stock held directly, with respect to which each Citadel Securities LLC, Citadel Securities Group LP and Citadel Securities GP LLC have shared voting and dispositive power. Mr. Griffin has shared voting and dispositive power for the total 3,245,888 shares of common stock. This number also includes 242,039 shares underlying Pre-Funded Warrants that are immediately exercisable based on our records after giving effect to a beneficial ownership blocker in such warrants which prohibits the holder from beneficially owning more than 9.99% of the outstanding shares of our common stock, with respect to which each Citadel Securities LLC, Citadel Securities Group LP and Citadel Securities GP LLC have shared voting and dispositive power. The shares are held of record by Citadel CEMF Investments Ltd. and Citadel Securities. The principal address is 830 Brickell Plaza, Miami, Florida 33131.</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020" w:right="320" w:hanging="503"/>
        <w:spacing w:after="0" w:line="281"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52,203 shares issuable to Mr. File upon the exercise of vested stock options that are exercisable within 60 days of September 23, 2025. Mr. File exercises sole voting and investment control with respect to the shares. Mr. File's business address is c/o Lite Strategy, Inc., 9920 Pacific Heights Blvd., Suite 150, San Diego, California, 92121.</w:t>
      </w:r>
    </w:p>
    <w:p>
      <w:pPr>
        <w:spacing w:after="0" w:line="69" w:lineRule="exact"/>
        <w:rPr>
          <w:rFonts w:ascii="Times New Roman" w:cs="Times New Roman" w:eastAsia="Times New Roman" w:hAnsi="Times New Roman"/>
          <w:sz w:val="16"/>
          <w:szCs w:val="16"/>
          <w:color w:val="auto"/>
        </w:rPr>
      </w:pPr>
    </w:p>
    <w:p>
      <w:pPr>
        <w:jc w:val="both"/>
        <w:ind w:left="1020" w:right="360" w:hanging="503"/>
        <w:spacing w:after="0" w:line="281"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45,041 shares issuable to Mr. Driscoll upon the exercise of stock options that are exercisable within 60 days of September 23, 2025, and 1,875 shares of common stock. Mr. Driscoll exercises sole voting and investment control with respect to the shares. Mr. Driscoll’s business address is c/o Lite Strategy, Inc., 9920 Pacific Heights Blvd., Suite 150, San Diego, California, 92121.</w:t>
      </w:r>
    </w:p>
    <w:p>
      <w:pPr>
        <w:spacing w:after="0" w:line="69" w:lineRule="exact"/>
        <w:rPr>
          <w:rFonts w:ascii="Times New Roman" w:cs="Times New Roman" w:eastAsia="Times New Roman" w:hAnsi="Times New Roman"/>
          <w:sz w:val="16"/>
          <w:szCs w:val="16"/>
          <w:color w:val="auto"/>
        </w:rPr>
      </w:pPr>
    </w:p>
    <w:p>
      <w:pPr>
        <w:ind w:left="1020" w:right="320" w:hanging="503"/>
        <w:spacing w:after="0" w:line="298"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47,375 shares issuable to Dr. Glover upon the exercise of stock options that are exercisable within 60 days of September 23, 2025. Dr. Glover’s business address is c/o Lite Strategy, Inc., 9920 Pacific Heights Blvd., Suite 150, San Diego, California, 92121.</w:t>
      </w:r>
    </w:p>
    <w:p>
      <w:pPr>
        <w:spacing w:after="0" w:line="56" w:lineRule="exact"/>
        <w:rPr>
          <w:rFonts w:ascii="Times New Roman" w:cs="Times New Roman" w:eastAsia="Times New Roman" w:hAnsi="Times New Roman"/>
          <w:sz w:val="16"/>
          <w:szCs w:val="16"/>
          <w:color w:val="auto"/>
        </w:rPr>
      </w:pPr>
    </w:p>
    <w:p>
      <w:pPr>
        <w:ind w:left="1020" w:hanging="503"/>
        <w:spacing w:after="0" w:line="281"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47,735 shares issuable to Dr. Reynolds upon the exercise of stock options that are exercisable within 60 days of September 23, 2025, and 500 shares of common stock. Dr. Reynolds exercises sole voting and investment control with respect to the shares. Dr. Reynolds’ business address is c/o Lite Strategy, Inc., 9920 Pacific Heights Blvd., Suite 150, San Diego, California, 92121.</w:t>
      </w:r>
    </w:p>
    <w:p>
      <w:pPr>
        <w:spacing w:after="0" w:line="69" w:lineRule="exact"/>
        <w:rPr>
          <w:rFonts w:ascii="Times New Roman" w:cs="Times New Roman" w:eastAsia="Times New Roman" w:hAnsi="Times New Roman"/>
          <w:sz w:val="16"/>
          <w:szCs w:val="16"/>
          <w:color w:val="auto"/>
        </w:rPr>
      </w:pPr>
    </w:p>
    <w:p>
      <w:pPr>
        <w:ind w:left="1020" w:right="100" w:hanging="503"/>
        <w:spacing w:after="0" w:line="281"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33,089 shares issuable to Mr. Flynn upon the exercise of stock options that are exercisable within 60 days of September 23, 2025, and 7,900 shares of common stock. Mr. Flynn exercises sole voting and investment control with respect to the shares. Mr. Flynn’s business address is c/o Lite Strategy, Inc., 9920 Pacific Heights Blvd., Suite 150, San Diego, California, 92121.</w:t>
      </w:r>
    </w:p>
    <w:p>
      <w:pPr>
        <w:spacing w:after="0" w:line="69" w:lineRule="exact"/>
        <w:rPr>
          <w:rFonts w:ascii="Times New Roman" w:cs="Times New Roman" w:eastAsia="Times New Roman" w:hAnsi="Times New Roman"/>
          <w:sz w:val="16"/>
          <w:szCs w:val="16"/>
          <w:color w:val="auto"/>
        </w:rPr>
      </w:pPr>
    </w:p>
    <w:p>
      <w:pPr>
        <w:ind w:left="1020" w:right="100" w:hanging="503"/>
        <w:spacing w:after="0" w:line="298"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292,397 shares of common stock. Mr. Lee exercises sole voting and investment control with respect to the shares. Mr. Lee's business address is c/o Lite Strategy, Inc. 9920 Pacific Heights Blvd. Suite 150, San Diego, California, 92121.</w:t>
      </w:r>
    </w:p>
    <w:p>
      <w:pPr>
        <w:spacing w:after="0" w:line="56" w:lineRule="exact"/>
        <w:rPr>
          <w:rFonts w:ascii="Times New Roman" w:cs="Times New Roman" w:eastAsia="Times New Roman" w:hAnsi="Times New Roman"/>
          <w:sz w:val="16"/>
          <w:szCs w:val="16"/>
          <w:color w:val="auto"/>
        </w:rPr>
      </w:pPr>
    </w:p>
    <w:p>
      <w:pPr>
        <w:ind w:left="1020" w:right="40" w:hanging="503"/>
        <w:spacing w:after="0" w:line="281"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 shares issuable to Mr. Riezman upon the exercise of stock options that are exercisable within 60 days of September 23, 2025. Mr. Riezman exercises sold voting and investment control with respect to the shares. Mr. Riezman's business address is c/o Lite Strategy, Inc., 9920 Pacific Heights Blvd., Suite 150, San Diego, California, 92121.</w:t>
      </w:r>
    </w:p>
    <w:p>
      <w:pPr>
        <w:spacing w:after="0" w:line="69" w:lineRule="exact"/>
        <w:rPr>
          <w:rFonts w:ascii="Times New Roman" w:cs="Times New Roman" w:eastAsia="Times New Roman" w:hAnsi="Times New Roman"/>
          <w:sz w:val="16"/>
          <w:szCs w:val="16"/>
          <w:color w:val="auto"/>
        </w:rPr>
      </w:pPr>
    </w:p>
    <w:p>
      <w:pPr>
        <w:jc w:val="both"/>
        <w:ind w:left="1020" w:right="60" w:hanging="503"/>
        <w:spacing w:after="0" w:line="281" w:lineRule="auto"/>
        <w:tabs>
          <w:tab w:leader="none" w:pos="10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89,462 shares issuable to Dr. Ghalie upon the exercise of stock options that are exercisable within 60 days of September 23, 2025, and 1,446 shares of common stock. Dr. Ghalie exercises sole voting and investment control with respect to the shares. Dr. Ghalie’s business address is c/o Lite Strategy, Inc., 9920 Pacific Heights Blvd., Suite 150, San Diego, California, 92121.</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related party transactions required to be disclosed pursuant to Item 404 of the Regulation S-K during the two years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dated August 6, 2025, the Board approved the appointment of Joshua Riezman to the Board on August 5, 2025 pursuant to a Side Letter (the “Side Letter”) with GSR Strategies LLC (“GSR”) entered into in connection with the PIPE on July 22, 2025. Pursuant to the Side Letter, GSR, a Purchaser in the PIPE, had the right to nominate one person to serve on the Board. In accordance with the Side Letter, Mr. Riezman was appointed to the class of directors who will be up for reelection at the Company’s annual meeting of stockholders for fiscal 2026.</w:t>
      </w:r>
    </w:p>
    <w:p>
      <w:pPr>
        <w:spacing w:after="0" w:line="75"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In connection with the PIPE, the Company entered into an Advisory Agreement (the “Advisory Agreement”) with Green Dragon Investments LLC (“Green Dragon”). Charlie Lee, who was appointed as a member of the Board and serves in the class of directors who will be up for reelection at the Company’s annual meeting of stockholders for fiscal 2027, is a beneficiary of Green Dragon. Pursuant to the Advisory Agreement, Green Dragon provides the Company with asset management services and the Company pays Green Dragon a fee in warrants to purchase a number of shares of the common stock calculated based on the amount of assets under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selected Deloitte &amp; Touche LLP (Deloitte) as independent registered public accounting firm to audit the financial statements of Lite Strategy for the fiscal year ending June 30, 2025. The Board is submitting the appointment of Deloitte to the stockholders for ratification as a matter of good corporate practice.</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Representatives of Deloitte are expected to attend the Annual Meeting. The Deloitte representatives will have an opportunity to make a statement at the meeting and are expected to be available to respond to appropriate questions.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Accounting Firm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registered public accounting firm is Deloitte &amp; Touche LLP (Deloitte) Auditor Firm ID: 34.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aggregate fees from our principal accounting firm, Deloitte for the fiscal years ended June 30, 2025 and 2024.</w:t>
      </w:r>
    </w:p>
    <w:p>
      <w:pPr>
        <w:spacing w:after="0" w:line="327"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5"/>
                <w:szCs w:val="15"/>
                <w:color w:val="auto"/>
              </w:rPr>
            </w:pPr>
          </w:p>
        </w:tc>
      </w:tr>
      <w:tr>
        <w:trPr>
          <w:trHeight w:val="142"/>
        </w:trPr>
        <w:tc>
          <w:tcPr>
            <w:tcW w:w="7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Audit Fees (1)</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579,711</w:t>
            </w:r>
          </w:p>
        </w:tc>
        <w:tc>
          <w:tcPr>
            <w:tcW w:w="44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528,525</w:t>
            </w:r>
          </w:p>
        </w:tc>
        <w:tc>
          <w:tcPr>
            <w:tcW w:w="100" w:type="dxa"/>
            <w:vAlign w:val="bottom"/>
            <w:shd w:val="clear" w:color="auto" w:fill="CFF0FC"/>
          </w:tcPr>
          <w:p>
            <w:pPr>
              <w:spacing w:after="0"/>
              <w:rPr>
                <w:sz w:val="12"/>
                <w:szCs w:val="12"/>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Audit-Related Fees</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 Fees (2)</w:t>
            </w: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All Other Fees</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82"/>
        </w:trPr>
        <w:tc>
          <w:tcPr>
            <w:tcW w:w="7280" w:type="dxa"/>
            <w:vAlign w:val="bottom"/>
            <w:tcBorders>
              <w:bottom w:val="single" w:sz="8" w:color="CFF0FC"/>
            </w:tcBorders>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Fees</w:t>
            </w: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579,711</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528,525</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0" w:lineRule="exact"/>
        <w:rPr>
          <w:sz w:val="20"/>
          <w:szCs w:val="20"/>
          <w:color w:val="auto"/>
        </w:rPr>
      </w:pPr>
    </w:p>
    <w:p>
      <w:pPr>
        <w:ind w:left="1020" w:hanging="503"/>
        <w:spacing w:after="0" w:line="275"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relate to professional services rendered in connection with the audit of our annual consolidated financial statements, quarterly review of consolidated financial statements included in our Quarterly Reports on Form 10-Q and audit services provided in connection with other statutory and regulatory filings, including providing consents for inclusion of their opinion in registration statements filed with the Securities and Exchange Commission and comfort letters in connection with sales of securities.</w:t>
      </w:r>
    </w:p>
    <w:p>
      <w:pPr>
        <w:spacing w:after="0" w:line="7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for professional services related to tax compliance and advice.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policy and procedure for pre-approving all audit and non-audit services to be performed by our independent auditors. The policy requires pre-approval of all services rendered by our independent auditors either as part of the Audit Committee’s approval of the scope of the engagement of the independent auditors or on a case-by-case basis.</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Consolidated Financial Statements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Reference is made to the Consolidated Financial Statements under </w:t>
      </w:r>
      <w:r>
        <w:rPr>
          <w:rFonts w:ascii="Times New Roman" w:cs="Times New Roman" w:eastAsia="Times New Roman" w:hAnsi="Times New Roman"/>
          <w:sz w:val="18"/>
          <w:szCs w:val="18"/>
          <w:i w:val="1"/>
          <w:iCs w:val="1"/>
          <w:u w:val="single" w:color="auto"/>
          <w:color w:val="0000FF"/>
        </w:rPr>
        <w:t>Item 8. Consolidated Financial Statements and Supplementary Data</w:t>
      </w:r>
      <w:r>
        <w:rPr>
          <w:rFonts w:ascii="Times New Roman" w:cs="Times New Roman" w:eastAsia="Times New Roman" w:hAnsi="Times New Roman"/>
          <w:sz w:val="18"/>
          <w:szCs w:val="18"/>
          <w:color w:val="auto"/>
        </w:rPr>
        <w:t xml:space="preserve"> in 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-6350</wp:posOffset>
            </wp:positionV>
            <wp:extent cx="312229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2229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have been omitted either because they are not required or because the information has been included in the consolidated financial statements or the notes thereto included in this Annual Report on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32"/>
          </w:tcPr>
          <w:p>
            <w:pPr>
              <w:ind w:left="520"/>
              <w:spacing w:after="0"/>
              <w:rPr>
                <w:sz w:val="20"/>
                <w:szCs w:val="20"/>
                <w:color w:val="auto"/>
              </w:rPr>
            </w:pPr>
            <w:r>
              <w:rPr>
                <w:rFonts w:ascii="Times New Roman" w:cs="Times New Roman" w:eastAsia="Times New Roman" w:hAnsi="Times New Roman"/>
                <w:sz w:val="18"/>
                <w:szCs w:val="18"/>
                <w:b w:val="1"/>
                <w:bCs w:val="1"/>
                <w:color w:val="auto"/>
              </w:rPr>
              <w:t>3. Exhibits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1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Herein</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gridSpan w:val="2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00" w:type="dxa"/>
            <w:vAlign w:val="bottom"/>
          </w:tcPr>
          <w:p>
            <w:pPr>
              <w:spacing w:after="0"/>
              <w:rPr>
                <w:sz w:val="16"/>
                <w:szCs w:val="16"/>
                <w:color w:val="auto"/>
              </w:rPr>
            </w:pPr>
          </w:p>
        </w:tc>
        <w:tc>
          <w:tcPr>
            <w:tcW w:w="1380" w:type="dxa"/>
            <w:vAlign w:val="bottom"/>
          </w:tcPr>
          <w:p>
            <w:pPr>
              <w:ind w:left="380"/>
              <w:spacing w:after="0" w:line="188" w:lineRule="exact"/>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tcPr>
          <w:p>
            <w:pPr>
              <w:spacing w:after="0"/>
              <w:rPr>
                <w:sz w:val="16"/>
                <w:szCs w:val="16"/>
                <w:color w:val="auto"/>
              </w:rPr>
            </w:pPr>
          </w:p>
        </w:tc>
        <w:tc>
          <w:tcPr>
            <w:tcW w:w="1280" w:type="dxa"/>
            <w:vAlign w:val="bottom"/>
            <w:gridSpan w:val="3"/>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38"/>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4280" w:type="dxa"/>
            <w:vAlign w:val="bottom"/>
            <w:tcBorders>
              <w:bottom w:val="single" w:sz="8" w:color="0000FF"/>
            </w:tcBorders>
            <w:gridSpan w:val="27"/>
          </w:tcPr>
          <w:p>
            <w:pPr>
              <w:spacing w:after="0" w:line="169" w:lineRule="exact"/>
              <w:rPr>
                <w:sz w:val="20"/>
                <w:szCs w:val="20"/>
                <w:color w:val="auto"/>
              </w:rPr>
            </w:pPr>
            <w:r>
              <w:rPr>
                <w:rFonts w:ascii="Times New Roman" w:cs="Times New Roman" w:eastAsia="Times New Roman" w:hAnsi="Times New Roman"/>
                <w:sz w:val="18"/>
                <w:szCs w:val="18"/>
                <w:color w:val="0000FF"/>
              </w:rPr>
              <w:t>Amended and Restated Certificate of Incorporation of Lite</w:t>
            </w:r>
          </w:p>
        </w:tc>
        <w:tc>
          <w:tcPr>
            <w:tcW w:w="1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Strategy, Inc.</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42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Sixth Amended and Restated Bylaws of MEI Pharma, Inc.</w:t>
              </w:r>
            </w:hyperlink>
          </w:p>
        </w:tc>
        <w:tc>
          <w:tcPr>
            <w:tcW w:w="1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22, 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adopted as of December 18, 2023</w:t>
              </w:r>
            </w:hyperlink>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Specimen Stock Certificate</w:t>
              </w:r>
            </w:hyperlink>
          </w:p>
        </w:tc>
        <w:tc>
          <w:tcPr>
            <w:tcW w:w="440" w:type="dxa"/>
            <w:vAlign w:val="bottom"/>
            <w:tcBorders>
              <w:top w:val="single" w:sz="8" w:color="0000FF"/>
            </w:tcBorders>
            <w:gridSpan w:val="2"/>
          </w:tcPr>
          <w:p>
            <w:pPr>
              <w:spacing w:after="0"/>
              <w:rPr>
                <w:sz w:val="17"/>
                <w:szCs w:val="17"/>
                <w:color w:val="auto"/>
              </w:rPr>
            </w:pPr>
          </w:p>
        </w:tc>
        <w:tc>
          <w:tcPr>
            <w:tcW w:w="1960" w:type="dxa"/>
            <w:vAlign w:val="bottom"/>
            <w:gridSpan w:val="18"/>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333-109129</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October 31, 2023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Form of Warrant</w:t>
              </w:r>
            </w:hyperlink>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16, 2018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Description of Capital Stock of MEI Pharma, Inc.</w:t>
              </w:r>
            </w:hyperlink>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September 9, 2020</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358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Description of MEI Common Stock</w:t>
              </w:r>
            </w:hyperlink>
          </w:p>
        </w:tc>
        <w:tc>
          <w:tcPr>
            <w:tcW w:w="80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26, 2023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258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Form of Pre-Funded Warrant</w:t>
              </w:r>
            </w:hyperlink>
          </w:p>
        </w:tc>
        <w:tc>
          <w:tcPr>
            <w:tcW w:w="180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Form of Placement Agent Warrant</w:t>
              </w:r>
            </w:hyperlink>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25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Form of GSR Pre-Funded Warrant</w:t>
              </w:r>
            </w:hyperlink>
          </w:p>
        </w:tc>
        <w:tc>
          <w:tcPr>
            <w:tcW w:w="1860" w:type="dxa"/>
            <w:vAlign w:val="bottom"/>
            <w:gridSpan w:val="17"/>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7"/>
                <w:szCs w:val="17"/>
                <w:color w:val="auto"/>
              </w:rPr>
            </w:pPr>
          </w:p>
        </w:tc>
        <w:tc>
          <w:tcPr>
            <w:tcW w:w="16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Form of GSR Warrant</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24"/>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7"/>
                <w:szCs w:val="17"/>
                <w:color w:val="auto"/>
              </w:rPr>
            </w:pPr>
          </w:p>
        </w:tc>
        <w:tc>
          <w:tcPr>
            <w:tcW w:w="19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Form of Advisory Warrant</w:t>
              </w:r>
            </w:hyperlink>
          </w:p>
        </w:tc>
        <w:tc>
          <w:tcPr>
            <w:tcW w:w="2440" w:type="dxa"/>
            <w:vAlign w:val="bottom"/>
            <w:gridSpan w:val="21"/>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7"/>
                <w:szCs w:val="17"/>
                <w:color w:val="auto"/>
              </w:rPr>
            </w:pPr>
          </w:p>
        </w:tc>
        <w:tc>
          <w:tcPr>
            <w:tcW w:w="25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Form of Strategic Advisor Warrant</w:t>
              </w:r>
            </w:hyperlink>
          </w:p>
        </w:tc>
        <w:tc>
          <w:tcPr>
            <w:tcW w:w="1840" w:type="dxa"/>
            <w:vAlign w:val="bottom"/>
            <w:gridSpan w:val="16"/>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July 22, 2025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Form of Warrant</w:t>
              </w:r>
            </w:hyperlink>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 2023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38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Amended and Restated 2008 Stock Omnibus Equity</w:t>
              </w:r>
            </w:hyperlink>
          </w:p>
        </w:tc>
        <w:tc>
          <w:tcPr>
            <w:tcW w:w="58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May 9, 2024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Compensation Plan (December 2023)</w:t>
              </w:r>
            </w:hyperlink>
          </w:p>
        </w:tc>
        <w:tc>
          <w:tcPr>
            <w:tcW w:w="166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4380" w:type="dxa"/>
            <w:vAlign w:val="bottom"/>
            <w:gridSpan w:val="30"/>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 of Indemnification Agreement</w:t>
              </w:r>
            </w:hyperlink>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29, 2011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gridSpan w:val="8"/>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43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License Agreement, dated as of September 5, 2017, by and</w:t>
              </w:r>
            </w:hyperlink>
          </w:p>
        </w:tc>
        <w:tc>
          <w:tcPr>
            <w:tcW w:w="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November 8, 2017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between MEI Pharma, Inc. and Presage Biosciences, Inc.</w:t>
              </w:r>
            </w:hyperlink>
          </w:p>
        </w:tc>
        <w:tc>
          <w:tcPr>
            <w:tcW w:w="20" w:type="dxa"/>
            <w:vAlign w:val="bottom"/>
            <w:tcBorders>
              <w:bottom w:val="single" w:sz="8" w:color="0000EE"/>
            </w:tcBorders>
          </w:tcPr>
          <w:p>
            <w:pPr>
              <w:spacing w:after="0"/>
              <w:rPr>
                <w:sz w:val="17"/>
                <w:szCs w:val="17"/>
                <w:color w:val="auto"/>
              </w:rPr>
            </w:pPr>
          </w:p>
        </w:tc>
        <w:tc>
          <w:tcPr>
            <w:tcW w:w="2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42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License, Development and Commercialization Agreement,</w:t>
              </w:r>
            </w:hyperlink>
          </w:p>
        </w:tc>
        <w:tc>
          <w:tcPr>
            <w:tcW w:w="1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February 7, 2019</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dated as of October 31, 2018, by and between the Company</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and Kyowa Hakko Kirin Co., Ltd., now known as Kyowa</w:t>
              </w:r>
            </w:hyperlink>
          </w:p>
        </w:tc>
        <w:tc>
          <w:tcPr>
            <w:tcW w:w="18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Kirin Company</w:t>
              </w:r>
            </w:hyperlink>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11"/>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42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License, Development and Commercialization Agreement,</w:t>
              </w:r>
            </w:hyperlink>
          </w:p>
        </w:tc>
        <w:tc>
          <w:tcPr>
            <w:tcW w:w="1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September 2, 2021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dated as of April 13, 2020, by and between the Company</w:t>
              </w:r>
            </w:hyperlink>
          </w:p>
        </w:tc>
        <w:tc>
          <w:tcPr>
            <w:tcW w:w="2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and Kyowa Kirin Co., Ltd. (formerly known as Kyowa</w:t>
              </w:r>
            </w:hyperlink>
          </w:p>
        </w:tc>
        <w:tc>
          <w:tcPr>
            <w:tcW w:w="38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Hakko Kirin Co., Ltd.)</w:t>
              </w:r>
            </w:hyperlink>
          </w:p>
        </w:tc>
        <w:tc>
          <w:tcPr>
            <w:tcW w:w="20" w:type="dxa"/>
            <w:vAlign w:val="bottom"/>
            <w:tcBorders>
              <w:bottom w:val="single" w:sz="8" w:color="0000EE"/>
            </w:tcBorders>
          </w:tcPr>
          <w:p>
            <w:pPr>
              <w:spacing w:after="0"/>
              <w:rPr>
                <w:sz w:val="17"/>
                <w:szCs w:val="17"/>
                <w:color w:val="auto"/>
              </w:rPr>
            </w:pPr>
          </w:p>
        </w:tc>
        <w:tc>
          <w:tcPr>
            <w:tcW w:w="2700" w:type="dxa"/>
            <w:vAlign w:val="bottom"/>
            <w:gridSpan w:val="22"/>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36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Employee Proprietary Information and Inventions</w:t>
              </w:r>
            </w:hyperlink>
          </w:p>
        </w:tc>
        <w:tc>
          <w:tcPr>
            <w:tcW w:w="74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June 13, 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Agreement between MEI Pharma, Inc. and Justin J. File,</w:t>
              </w:r>
            </w:hyperlink>
          </w:p>
        </w:tc>
        <w:tc>
          <w:tcPr>
            <w:tcW w:w="2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30"/>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dated June 9, 2023</w:t>
              </w:r>
            </w:hyperlink>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w w:val="99"/>
              </w:rPr>
              <w:t>87</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Amended and Restated Employment Agreement between</w:t>
              </w:r>
            </w:hyperlink>
          </w:p>
        </w:tc>
        <w:tc>
          <w:tcPr>
            <w:tcW w:w="1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60" w:type="dxa"/>
            <w:vAlign w:val="bottom"/>
            <w:gridSpan w:val="29"/>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MEI Pharma, Inc. and Justin J. File, dated March 3, 2025</w:t>
              </w:r>
            </w:hyperlink>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43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Amended and Restated MEI Pharma, Inc. 2021 Inducement</w:t>
              </w:r>
            </w:hyperlink>
          </w:p>
        </w:tc>
      </w:tr>
      <w:tr>
        <w:trPr>
          <w:trHeight w:val="196"/>
        </w:trPr>
        <w:tc>
          <w:tcPr>
            <w:tcW w:w="1140" w:type="dxa"/>
            <w:vAlign w:val="bottom"/>
          </w:tcPr>
          <w:p>
            <w:pPr>
              <w:spacing w:after="0"/>
              <w:rPr>
                <w:sz w:val="17"/>
                <w:szCs w:val="17"/>
                <w:color w:val="auto"/>
              </w:rPr>
            </w:pPr>
          </w:p>
        </w:tc>
        <w:tc>
          <w:tcPr>
            <w:tcW w:w="4360" w:type="dxa"/>
            <w:vAlign w:val="bottom"/>
            <w:gridSpan w:val="29"/>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Grant Equity Compensation Plan</w:t>
              </w:r>
            </w:hyperlink>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43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Termination Agreement, by and between MEI Pharma, Inc.</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and Kyowa Kirin Co., Ltd. (formerly known as Kyowa</w:t>
              </w:r>
            </w:hyperlink>
          </w:p>
        </w:tc>
        <w:tc>
          <w:tcPr>
            <w:tcW w:w="36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Hakko Kirin Co., Ltd.) dated as of July 14, 2023</w:t>
              </w:r>
            </w:hyperlink>
          </w:p>
        </w:tc>
        <w:tc>
          <w:tcPr>
            <w:tcW w:w="20" w:type="dxa"/>
            <w:vAlign w:val="bottom"/>
            <w:tcBorders>
              <w:bottom w:val="single" w:sz="8" w:color="0000EE"/>
            </w:tcBorders>
          </w:tcPr>
          <w:p>
            <w:pPr>
              <w:spacing w:after="0"/>
              <w:rPr>
                <w:sz w:val="17"/>
                <w:szCs w:val="17"/>
                <w:color w:val="auto"/>
              </w:rPr>
            </w:pPr>
          </w:p>
        </w:tc>
        <w:tc>
          <w:tcPr>
            <w:tcW w:w="840" w:type="dxa"/>
            <w:vAlign w:val="bottom"/>
            <w:gridSpan w:val="14"/>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3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Consulting Services Agreement, dated as of August 2, 2024,</w:t>
              </w:r>
            </w:hyperlink>
          </w:p>
        </w:tc>
      </w:tr>
      <w:tr>
        <w:trPr>
          <w:trHeight w:val="196"/>
        </w:trPr>
        <w:tc>
          <w:tcPr>
            <w:tcW w:w="1140" w:type="dxa"/>
            <w:vAlign w:val="bottom"/>
          </w:tcPr>
          <w:p>
            <w:pPr>
              <w:spacing w:after="0"/>
              <w:rPr>
                <w:sz w:val="17"/>
                <w:szCs w:val="17"/>
                <w:color w:val="auto"/>
              </w:rPr>
            </w:pPr>
          </w:p>
        </w:tc>
        <w:tc>
          <w:tcPr>
            <w:tcW w:w="41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by and between MEI Pharma, Inc. and Richard G. Ghalie</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41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Form of Securities Purchase Agreement, dated as of July</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9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17, 2025, by and between MEI Pharma, Inc. and each</w:t>
              </w:r>
            </w:hyperlink>
          </w:p>
        </w:tc>
        <w:tc>
          <w:tcPr>
            <w:tcW w:w="46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1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Purchaser (as defined therein)</w:t>
              </w:r>
            </w:hyperlink>
          </w:p>
        </w:tc>
        <w:tc>
          <w:tcPr>
            <w:tcW w:w="20" w:type="dxa"/>
            <w:vAlign w:val="bottom"/>
            <w:tcBorders>
              <w:bottom w:val="single" w:sz="8" w:color="0000EE"/>
            </w:tcBorders>
          </w:tcPr>
          <w:p>
            <w:pPr>
              <w:spacing w:after="0"/>
              <w:rPr>
                <w:sz w:val="17"/>
                <w:szCs w:val="17"/>
                <w:color w:val="auto"/>
              </w:rPr>
            </w:pPr>
          </w:p>
        </w:tc>
        <w:tc>
          <w:tcPr>
            <w:tcW w:w="2180" w:type="dxa"/>
            <w:vAlign w:val="bottom"/>
            <w:gridSpan w:val="24"/>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43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Placement Agency Agreement, dated July 17, 2025, by and</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between MEI Pharma, Inc. and Titan Partners Group LLC, a</w:t>
              </w:r>
            </w:hyperlink>
          </w:p>
        </w:tc>
      </w:tr>
      <w:tr>
        <w:trPr>
          <w:trHeight w:val="196"/>
        </w:trPr>
        <w:tc>
          <w:tcPr>
            <w:tcW w:w="1140" w:type="dxa"/>
            <w:vAlign w:val="bottom"/>
          </w:tcPr>
          <w:p>
            <w:pPr>
              <w:spacing w:after="0"/>
              <w:rPr>
                <w:sz w:val="17"/>
                <w:szCs w:val="17"/>
                <w:color w:val="auto"/>
              </w:rPr>
            </w:pPr>
          </w:p>
        </w:tc>
        <w:tc>
          <w:tcPr>
            <w:tcW w:w="4360" w:type="dxa"/>
            <w:vAlign w:val="bottom"/>
            <w:gridSpan w:val="29"/>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division of American Capital Partners, LLC</w:t>
              </w:r>
            </w:hyperlink>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0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 of Registration Rights Agreement, dated July 17,</w:t>
              </w:r>
            </w:hyperlink>
          </w:p>
        </w:tc>
        <w:tc>
          <w:tcPr>
            <w:tcW w:w="36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2025, by and between MEI Pharma, Inc. and each Purchaser</w:t>
              </w:r>
            </w:hyperlink>
          </w:p>
        </w:tc>
      </w:tr>
      <w:tr>
        <w:trPr>
          <w:trHeight w:val="196"/>
        </w:trPr>
        <w:tc>
          <w:tcPr>
            <w:tcW w:w="1140" w:type="dxa"/>
            <w:vAlign w:val="bottom"/>
          </w:tcPr>
          <w:p>
            <w:pPr>
              <w:spacing w:after="0"/>
              <w:rPr>
                <w:sz w:val="17"/>
                <w:szCs w:val="17"/>
                <w:color w:val="auto"/>
              </w:rPr>
            </w:pPr>
          </w:p>
        </w:tc>
        <w:tc>
          <w:tcPr>
            <w:tcW w:w="4360" w:type="dxa"/>
            <w:vAlign w:val="bottom"/>
            <w:gridSpan w:val="29"/>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(as defined therein)</w:t>
              </w:r>
            </w:hyperlink>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43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Asset Management Agreement, dated July 22, 2025, by and</w:t>
              </w:r>
            </w:hyperlink>
          </w:p>
        </w:tc>
      </w:tr>
      <w:tr>
        <w:trPr>
          <w:trHeight w:val="196"/>
        </w:trPr>
        <w:tc>
          <w:tcPr>
            <w:tcW w:w="1140" w:type="dxa"/>
            <w:vAlign w:val="bottom"/>
          </w:tcPr>
          <w:p>
            <w:pPr>
              <w:spacing w:after="0"/>
              <w:rPr>
                <w:sz w:val="17"/>
                <w:szCs w:val="17"/>
                <w:color w:val="auto"/>
              </w:rPr>
            </w:pPr>
          </w:p>
        </w:tc>
        <w:tc>
          <w:tcPr>
            <w:tcW w:w="37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between MEI Pharma, Inc. and GSR Strategies LLC</w:t>
              </w:r>
            </w:hyperlink>
          </w:p>
        </w:tc>
        <w:tc>
          <w:tcPr>
            <w:tcW w:w="580" w:type="dxa"/>
            <w:vAlign w:val="bottom"/>
            <w:gridSpan w:val="1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43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Side Letter Agreement, dated July 22, 2025, by and between</w:t>
              </w:r>
            </w:hyperlink>
          </w:p>
        </w:tc>
      </w:tr>
      <w:tr>
        <w:trPr>
          <w:trHeight w:val="196"/>
        </w:trPr>
        <w:tc>
          <w:tcPr>
            <w:tcW w:w="1140" w:type="dxa"/>
            <w:vAlign w:val="bottom"/>
          </w:tcPr>
          <w:p>
            <w:pPr>
              <w:spacing w:after="0"/>
              <w:rPr>
                <w:sz w:val="17"/>
                <w:szCs w:val="17"/>
                <w:color w:val="auto"/>
              </w:rPr>
            </w:pPr>
          </w:p>
        </w:tc>
        <w:tc>
          <w:tcPr>
            <w:tcW w:w="31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MEI Pharma, Inc. and GSR Strategies LLC</w:t>
              </w:r>
            </w:hyperlink>
          </w:p>
        </w:tc>
        <w:tc>
          <w:tcPr>
            <w:tcW w:w="1200" w:type="dxa"/>
            <w:vAlign w:val="bottom"/>
            <w:gridSpan w:val="17"/>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42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Advisory Agreement, dated July 22, 2025, by and between</w:t>
              </w:r>
            </w:hyperlink>
          </w:p>
        </w:tc>
        <w:tc>
          <w:tcPr>
            <w:tcW w:w="8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60" w:type="dxa"/>
            <w:vAlign w:val="bottom"/>
            <w:gridSpan w:val="29"/>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MEI Pharma, Inc. and Green Dragon Investments LLC</w:t>
              </w:r>
            </w:hyperlink>
          </w:p>
        </w:tc>
      </w:tr>
      <w:tr>
        <w:trPr>
          <w:trHeight w:val="20"/>
        </w:trPr>
        <w:tc>
          <w:tcPr>
            <w:tcW w:w="114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42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Strategic Advisor Agreement, dated July 22, 2025, by and</w:t>
              </w:r>
            </w:hyperlink>
          </w:p>
        </w:tc>
        <w:tc>
          <w:tcPr>
            <w:tcW w:w="1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between Green Grass Ventures</w:t>
              </w:r>
            </w:hyperlink>
          </w:p>
        </w:tc>
        <w:tc>
          <w:tcPr>
            <w:tcW w:w="20" w:type="dxa"/>
            <w:vAlign w:val="bottom"/>
            <w:tcBorders>
              <w:bottom w:val="single" w:sz="8" w:color="0000EE"/>
            </w:tcBorders>
          </w:tcPr>
          <w:p>
            <w:pPr>
              <w:spacing w:after="0"/>
              <w:rPr>
                <w:sz w:val="17"/>
                <w:szCs w:val="17"/>
                <w:color w:val="auto"/>
              </w:rPr>
            </w:pPr>
          </w:p>
        </w:tc>
        <w:tc>
          <w:tcPr>
            <w:tcW w:w="2100" w:type="dxa"/>
            <w:vAlign w:val="bottom"/>
            <w:gridSpan w:val="22"/>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43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Master Loan Agreement, dated September 3, 2025, between</w:t>
              </w:r>
            </w:hyperlink>
          </w:p>
        </w:tc>
      </w:tr>
      <w:tr>
        <w:trPr>
          <w:trHeight w:val="196"/>
        </w:trPr>
        <w:tc>
          <w:tcPr>
            <w:tcW w:w="1140" w:type="dxa"/>
            <w:vAlign w:val="bottom"/>
          </w:tcPr>
          <w:p>
            <w:pPr>
              <w:spacing w:after="0"/>
              <w:rPr>
                <w:sz w:val="17"/>
                <w:szCs w:val="17"/>
                <w:color w:val="auto"/>
              </w:rPr>
            </w:pPr>
          </w:p>
        </w:tc>
        <w:tc>
          <w:tcPr>
            <w:tcW w:w="25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BitGo Prime and MEI Pharma, Inc.</w:t>
              </w:r>
            </w:hyperlink>
          </w:p>
        </w:tc>
        <w:tc>
          <w:tcPr>
            <w:tcW w:w="1800" w:type="dxa"/>
            <w:vAlign w:val="bottom"/>
            <w:gridSpan w:val="20"/>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4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14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34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&amp; Touche LLP Independent Registered</w:t>
            </w: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Public Accounting Firm</w:t>
            </w:r>
          </w:p>
        </w:tc>
      </w:tr>
      <w:tr>
        <w:trPr>
          <w:trHeight w:val="20"/>
        </w:trPr>
        <w:tc>
          <w:tcPr>
            <w:tcW w:w="1140" w:type="dxa"/>
            <w:vAlign w:val="bottom"/>
          </w:tcPr>
          <w:p>
            <w:pPr>
              <w:spacing w:after="0" w:line="20" w:lineRule="exact"/>
              <w:rPr>
                <w:sz w:val="1"/>
                <w:szCs w:val="1"/>
                <w:color w:val="auto"/>
              </w:rPr>
            </w:pPr>
          </w:p>
        </w:tc>
        <w:tc>
          <w:tcPr>
            <w:tcW w:w="176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2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and Financial Officer</w:t>
            </w:r>
          </w:p>
        </w:tc>
        <w:tc>
          <w:tcPr>
            <w:tcW w:w="1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8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w:t>
            </w:r>
          </w:p>
        </w:tc>
        <w:tc>
          <w:tcPr>
            <w:tcW w:w="52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2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w:t>
            </w:r>
          </w:p>
        </w:tc>
        <w:tc>
          <w:tcPr>
            <w:tcW w:w="1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900" w:type="dxa"/>
            <w:vAlign w:val="bottom"/>
            <w:gridSpan w:val="16"/>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18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1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2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required by Rule 13a-14(b) or Rule 15d-</w:t>
            </w:r>
          </w:p>
        </w:tc>
        <w:tc>
          <w:tcPr>
            <w:tcW w:w="1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w:t>
            </w:r>
          </w:p>
        </w:tc>
        <w:tc>
          <w:tcPr>
            <w:tcW w:w="34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6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United States Code (18 U.S.C 1350).</w:t>
            </w:r>
          </w:p>
        </w:tc>
        <w:tc>
          <w:tcPr>
            <w:tcW w:w="20" w:type="dxa"/>
            <w:vAlign w:val="bottom"/>
            <w:tcBorders>
              <w:bottom w:val="single" w:sz="8" w:color="0000EE"/>
            </w:tcBorders>
          </w:tcPr>
          <w:p>
            <w:pPr>
              <w:spacing w:after="0"/>
              <w:rPr>
                <w:sz w:val="17"/>
                <w:szCs w:val="17"/>
                <w:color w:val="auto"/>
              </w:rPr>
            </w:pPr>
          </w:p>
        </w:tc>
        <w:tc>
          <w:tcPr>
            <w:tcW w:w="1660" w:type="dxa"/>
            <w:vAlign w:val="bottom"/>
            <w:gridSpan w:val="18"/>
          </w:tcPr>
          <w:p>
            <w:pPr>
              <w:spacing w:after="0"/>
              <w:rPr>
                <w:sz w:val="17"/>
                <w:szCs w:val="17"/>
                <w:color w:val="auto"/>
              </w:rPr>
            </w:pPr>
          </w:p>
        </w:tc>
      </w:tr>
    </w:tbl>
    <w:p>
      <w:pPr>
        <w:spacing w:after="0" w:line="9" w:lineRule="exact"/>
        <w:rPr>
          <w:sz w:val="20"/>
          <w:szCs w:val="20"/>
          <w:color w:val="auto"/>
        </w:rPr>
      </w:pPr>
    </w:p>
    <w:p>
      <w:pPr>
        <w:ind w:left="1140" w:hanging="1132"/>
        <w:spacing w:after="0"/>
        <w:tabs>
          <w:tab w:leader="none" w:pos="1140" w:val="left"/>
        </w:tabs>
        <w:numPr>
          <w:ilvl w:val="0"/>
          <w:numId w:val="54"/>
        </w:numPr>
        <w:rPr>
          <w:rFonts w:ascii="Times New Roman" w:cs="Times New Roman" w:eastAsia="Times New Roman" w:hAnsi="Times New Roman"/>
          <w:sz w:val="18"/>
          <w:szCs w:val="18"/>
          <w:u w:val="single" w:color="auto"/>
          <w:color w:val="0000FF"/>
        </w:rPr>
      </w:pPr>
      <w:hyperlink r:id="rId336">
        <w:r>
          <w:rPr>
            <w:rFonts w:ascii="Times New Roman" w:cs="Times New Roman" w:eastAsia="Times New Roman" w:hAnsi="Times New Roman"/>
            <w:sz w:val="18"/>
            <w:szCs w:val="18"/>
            <w:u w:val="single" w:color="auto"/>
            <w:color w:val="0000FF"/>
          </w:rPr>
          <w:t>MEI Pharma, Inc. Clawback Policy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16243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7" w:lineRule="exact"/>
        <w:rPr>
          <w:sz w:val="20"/>
          <w:szCs w:val="20"/>
          <w:color w:val="auto"/>
        </w:rPr>
      </w:pPr>
    </w:p>
    <w:p>
      <w:pPr>
        <w:jc w:val="both"/>
        <w:ind w:left="1140" w:right="340" w:hanging="1139"/>
        <w:spacing w:after="0" w:line="265" w:lineRule="auto"/>
        <w:tabs>
          <w:tab w:leader="none" w:pos="1120" w:val="left"/>
        </w:tabs>
        <w:rPr>
          <w:sz w:val="20"/>
          <w:szCs w:val="20"/>
          <w:color w:val="auto"/>
        </w:rPr>
      </w:pPr>
      <w:r>
        <w:rPr>
          <w:rFonts w:ascii="Times New Roman" w:cs="Times New Roman" w:eastAsia="Times New Roman" w:hAnsi="Times New Roman"/>
          <w:sz w:val="17"/>
          <w:szCs w:val="17"/>
          <w:color w:val="auto"/>
        </w:rPr>
        <w:t>101INS</w:t>
      </w:r>
      <w:r>
        <w:rPr>
          <w:sz w:val="20"/>
          <w:szCs w:val="20"/>
          <w:color w:val="auto"/>
        </w:rPr>
        <w:tab/>
      </w:r>
      <w:r>
        <w:rPr>
          <w:rFonts w:ascii="Times New Roman" w:cs="Times New Roman" w:eastAsia="Times New Roman" w:hAnsi="Times New Roman"/>
          <w:sz w:val="17"/>
          <w:szCs w:val="17"/>
          <w:color w:val="auto"/>
        </w:rPr>
        <w:t>Inline XBRL Instance Document – the instance document does not appear in the Interactive Data File because XBRL tags are embedded within the Inline XBRL document.</w:t>
      </w:r>
    </w:p>
    <w:p>
      <w:pPr>
        <w:ind w:left="1140" w:right="260" w:hanging="1132"/>
        <w:spacing w:after="0" w:line="253"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001-41827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March 7, 2025</w:t>
            </w:r>
          </w:p>
        </w:tc>
      </w:tr>
      <w:tr>
        <w:trPr>
          <w:trHeight w:val="432"/>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000-50484</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June 13, 2023</w:t>
            </w:r>
          </w:p>
        </w:tc>
      </w:tr>
      <w:tr>
        <w:trPr>
          <w:trHeight w:val="432"/>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000-50484</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July 19, 2023</w:t>
            </w:r>
          </w:p>
        </w:tc>
      </w:tr>
      <w:tr>
        <w:trPr>
          <w:trHeight w:val="648"/>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001-41827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November 12, 2024</w:t>
            </w:r>
          </w:p>
        </w:tc>
      </w:tr>
      <w:tr>
        <w:trPr>
          <w:trHeight w:val="432"/>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001-41827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July 22, 2025</w:t>
            </w:r>
          </w:p>
        </w:tc>
      </w:tr>
      <w:tr>
        <w:trPr>
          <w:trHeight w:val="648"/>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001-41827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July 22, 2025</w:t>
            </w:r>
          </w:p>
        </w:tc>
      </w:tr>
      <w:tr>
        <w:trPr>
          <w:trHeight w:val="648"/>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001-41827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July 22, 2025</w:t>
            </w:r>
          </w:p>
        </w:tc>
      </w:tr>
      <w:tr>
        <w:trPr>
          <w:trHeight w:val="648"/>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001-41827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July 22, 2025</w:t>
            </w:r>
          </w:p>
        </w:tc>
      </w:tr>
      <w:tr>
        <w:trPr>
          <w:trHeight w:val="432"/>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001-41827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July 22, 2025</w:t>
            </w:r>
          </w:p>
        </w:tc>
      </w:tr>
      <w:tr>
        <w:trPr>
          <w:trHeight w:val="432"/>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001-41827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10.6</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July 22, 2025</w:t>
            </w:r>
          </w:p>
        </w:tc>
      </w:tr>
      <w:tr>
        <w:trPr>
          <w:trHeight w:val="432"/>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001-41827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10.7</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July 22,2025</w:t>
            </w:r>
          </w:p>
        </w:tc>
      </w:tr>
      <w:tr>
        <w:trPr>
          <w:trHeight w:val="432"/>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001-418247</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September 4,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200" w:val="left"/>
          <w:tab w:leader="none" w:pos="2860" w:val="left"/>
          <w:tab w:leader="none" w:pos="36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001-41827</w:t>
      </w:r>
      <w:r>
        <w:rPr>
          <w:sz w:val="20"/>
          <w:szCs w:val="20"/>
          <w:color w:val="auto"/>
        </w:rPr>
        <w:tab/>
      </w: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color w:val="auto"/>
        </w:rPr>
        <w:t>September 19, 2024</w:t>
      </w:r>
    </w:p>
    <w:p>
      <w:pPr>
        <w:sectPr>
          <w:pgSz w:w="11900" w:h="16838" w:orient="portrait"/>
          <w:cols w:equalWidth="0" w:num="2">
            <w:col w:w="5720" w:space="340"/>
            <w:col w:w="5140"/>
          </w:cols>
          <w:pgMar w:left="320" w:top="117" w:right="37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20" w:hanging="1012"/>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020" w:hanging="1012"/>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pursuant to a confidential treatment request filed with the Securities and Exchange Commission.</w:t>
      </w:r>
    </w:p>
    <w:p>
      <w:pPr>
        <w:spacing w:after="0" w:line="9" w:lineRule="exact"/>
        <w:rPr>
          <w:sz w:val="20"/>
          <w:szCs w:val="20"/>
          <w:color w:val="auto"/>
        </w:rPr>
      </w:pPr>
    </w:p>
    <w:p>
      <w:pPr>
        <w:ind w:left="1020" w:right="860" w:hanging="1012"/>
        <w:spacing w:after="0" w:line="250"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Item 601(a)(6) and Item 601(b)(10) of Regulation S-K because such information (i) is not material and (ii) is the type that the registrant treats as private or confidential.</w:t>
      </w:r>
    </w:p>
    <w:p>
      <w:pPr>
        <w:spacing w:after="0" w:line="1" w:lineRule="exact"/>
        <w:rPr>
          <w:sz w:val="20"/>
          <w:szCs w:val="20"/>
          <w:color w:val="auto"/>
        </w:rPr>
      </w:pPr>
    </w:p>
    <w:p>
      <w:pPr>
        <w:ind w:left="1020" w:hanging="1012"/>
        <w:spacing w:after="0" w:line="260"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marked exhibit is a management contract or a compensatory plan, contract or arrangement in which a director or executive officer of the registrant participates or has participated.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report to be signed on its behalf by the undersigned, thereunto duly authorized, on September 26, 2025.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Lite Strategy, Inc.</w:t>
      </w:r>
    </w:p>
    <w:p>
      <w:pPr>
        <w:spacing w:after="0" w:line="2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7514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Justin J. File</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Acting Chief Executive Officer,</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September 26, 2025</w:t>
      </w:r>
    </w:p>
    <w:p>
      <w:pPr>
        <w:spacing w:after="0" w:line="36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680" w:type="dxa"/>
            <w:vAlign w:val="bottom"/>
            <w:gridSpan w:val="3"/>
          </w:tcPr>
          <w:p>
            <w:pPr>
              <w:ind w:left="1480"/>
              <w:spacing w:after="0"/>
              <w:rPr>
                <w:sz w:val="20"/>
                <w:szCs w:val="20"/>
                <w:color w:val="auto"/>
              </w:rPr>
            </w:pPr>
            <w:r>
              <w:rPr>
                <w:rFonts w:ascii="Times New Roman" w:cs="Times New Roman" w:eastAsia="Times New Roman" w:hAnsi="Times New Roman"/>
                <w:sz w:val="14"/>
                <w:szCs w:val="14"/>
                <w:color w:val="auto"/>
              </w:rPr>
              <w:t>Signatures</w:t>
            </w:r>
          </w:p>
        </w:tc>
      </w:tr>
      <w:tr>
        <w:trPr>
          <w:trHeight w:val="28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Justin J. File</w:t>
            </w:r>
          </w:p>
        </w:tc>
        <w:tc>
          <w:tcPr>
            <w:tcW w:w="600" w:type="dxa"/>
            <w:vAlign w:val="bottom"/>
            <w:tcBorders>
              <w:top w:val="single" w:sz="8" w:color="auto"/>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85"/>
        </w:trPr>
        <w:tc>
          <w:tcPr>
            <w:tcW w:w="920" w:type="dxa"/>
            <w:vAlign w:val="bottom"/>
          </w:tcPr>
          <w:p>
            <w:pPr>
              <w:spacing w:after="0"/>
              <w:rPr>
                <w:sz w:val="16"/>
                <w:szCs w:val="16"/>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Justin J. File</w:t>
            </w:r>
          </w:p>
        </w:tc>
      </w:tr>
      <w:tr>
        <w:trPr>
          <w:trHeight w:val="203"/>
        </w:trPr>
        <w:tc>
          <w:tcPr>
            <w:tcW w:w="9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Acting Chief Executive Officer, Chief Financial Officer</w:t>
            </w:r>
          </w:p>
        </w:tc>
      </w:tr>
      <w:tr>
        <w:trPr>
          <w:trHeight w:val="203"/>
        </w:trPr>
        <w:tc>
          <w:tcPr>
            <w:tcW w:w="9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and Secretary (Principal Executive Officer, Principal</w:t>
            </w:r>
          </w:p>
        </w:tc>
      </w:tr>
      <w:tr>
        <w:trPr>
          <w:trHeight w:val="203"/>
        </w:trPr>
        <w:tc>
          <w:tcPr>
            <w:tcW w:w="9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Financial and Accounting Officer)</w:t>
            </w:r>
          </w:p>
        </w:tc>
      </w:tr>
      <w:tr>
        <w:trPr>
          <w:trHeight w:val="210"/>
        </w:trPr>
        <w:tc>
          <w:tcPr>
            <w:tcW w:w="9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26, 2025</w:t>
            </w:r>
          </w:p>
        </w:tc>
      </w:tr>
      <w:tr>
        <w:trPr>
          <w:trHeight w:val="44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Thomas C. Reynolds</w:t>
            </w:r>
          </w:p>
        </w:tc>
      </w:tr>
      <w:tr>
        <w:trPr>
          <w:trHeight w:val="185"/>
        </w:trPr>
        <w:tc>
          <w:tcPr>
            <w:tcW w:w="920" w:type="dxa"/>
            <w:vAlign w:val="bottom"/>
          </w:tcPr>
          <w:p>
            <w:pPr>
              <w:spacing w:after="0"/>
              <w:rPr>
                <w:sz w:val="16"/>
                <w:szCs w:val="16"/>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Thomas C. Reynolds</w:t>
            </w:r>
          </w:p>
        </w:tc>
      </w:tr>
      <w:tr>
        <w:trPr>
          <w:trHeight w:val="203"/>
        </w:trPr>
        <w:tc>
          <w:tcPr>
            <w:tcW w:w="9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26, 2025</w:t>
            </w:r>
          </w:p>
        </w:tc>
      </w:tr>
      <w:tr>
        <w:trPr>
          <w:trHeight w:val="44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Nicholas R. Glover</w:t>
            </w:r>
          </w:p>
        </w:tc>
      </w:tr>
      <w:tr>
        <w:trPr>
          <w:trHeight w:val="185"/>
        </w:trPr>
        <w:tc>
          <w:tcPr>
            <w:tcW w:w="920" w:type="dxa"/>
            <w:vAlign w:val="bottom"/>
          </w:tcPr>
          <w:p>
            <w:pPr>
              <w:spacing w:after="0"/>
              <w:rPr>
                <w:sz w:val="16"/>
                <w:szCs w:val="16"/>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Nicholas R. Glover</w:t>
            </w:r>
          </w:p>
        </w:tc>
      </w:tr>
      <w:tr>
        <w:trPr>
          <w:trHeight w:val="203"/>
        </w:trPr>
        <w:tc>
          <w:tcPr>
            <w:tcW w:w="9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26, 2025</w:t>
            </w:r>
          </w:p>
        </w:tc>
      </w:tr>
      <w:tr>
        <w:trPr>
          <w:trHeight w:val="44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James Flynn</w:t>
            </w:r>
          </w:p>
        </w:tc>
      </w:tr>
      <w:tr>
        <w:trPr>
          <w:trHeight w:val="185"/>
        </w:trPr>
        <w:tc>
          <w:tcPr>
            <w:tcW w:w="920" w:type="dxa"/>
            <w:vAlign w:val="bottom"/>
          </w:tcPr>
          <w:p>
            <w:pPr>
              <w:spacing w:after="0"/>
              <w:rPr>
                <w:sz w:val="16"/>
                <w:szCs w:val="16"/>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James Flynn</w:t>
            </w:r>
          </w:p>
        </w:tc>
      </w:tr>
      <w:tr>
        <w:trPr>
          <w:trHeight w:val="203"/>
        </w:trPr>
        <w:tc>
          <w:tcPr>
            <w:tcW w:w="9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26, 2025</w:t>
            </w:r>
          </w:p>
        </w:tc>
      </w:tr>
      <w:tr>
        <w:trPr>
          <w:trHeight w:val="44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Frederick W. Driscoll</w:t>
            </w:r>
          </w:p>
        </w:tc>
      </w:tr>
      <w:tr>
        <w:trPr>
          <w:trHeight w:val="185"/>
        </w:trPr>
        <w:tc>
          <w:tcPr>
            <w:tcW w:w="920" w:type="dxa"/>
            <w:vAlign w:val="bottom"/>
          </w:tcPr>
          <w:p>
            <w:pPr>
              <w:spacing w:after="0"/>
              <w:rPr>
                <w:sz w:val="16"/>
                <w:szCs w:val="16"/>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Frederick W. Driscoll</w:t>
            </w:r>
          </w:p>
        </w:tc>
      </w:tr>
      <w:tr>
        <w:trPr>
          <w:trHeight w:val="203"/>
        </w:trPr>
        <w:tc>
          <w:tcPr>
            <w:tcW w:w="9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26, 2025</w:t>
            </w:r>
          </w:p>
        </w:tc>
      </w:tr>
      <w:tr>
        <w:trPr>
          <w:trHeight w:val="44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Charles B. Lee</w:t>
            </w:r>
          </w:p>
        </w:tc>
      </w:tr>
      <w:tr>
        <w:trPr>
          <w:trHeight w:val="185"/>
        </w:trPr>
        <w:tc>
          <w:tcPr>
            <w:tcW w:w="920" w:type="dxa"/>
            <w:vAlign w:val="bottom"/>
          </w:tcPr>
          <w:p>
            <w:pPr>
              <w:spacing w:after="0"/>
              <w:rPr>
                <w:sz w:val="16"/>
                <w:szCs w:val="16"/>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Charles B. Lee</w:t>
            </w:r>
          </w:p>
        </w:tc>
      </w:tr>
      <w:tr>
        <w:trPr>
          <w:trHeight w:val="203"/>
        </w:trPr>
        <w:tc>
          <w:tcPr>
            <w:tcW w:w="9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26, 2025</w:t>
            </w:r>
          </w:p>
        </w:tc>
      </w:tr>
      <w:tr>
        <w:trPr>
          <w:trHeight w:val="44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Joshua Riezman</w:t>
            </w:r>
          </w:p>
        </w:tc>
      </w:tr>
      <w:tr>
        <w:trPr>
          <w:trHeight w:val="185"/>
        </w:trPr>
        <w:tc>
          <w:tcPr>
            <w:tcW w:w="920" w:type="dxa"/>
            <w:vAlign w:val="bottom"/>
          </w:tcPr>
          <w:p>
            <w:pPr>
              <w:spacing w:after="0"/>
              <w:rPr>
                <w:sz w:val="16"/>
                <w:szCs w:val="16"/>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Joshua Riezman</w:t>
            </w:r>
          </w:p>
        </w:tc>
      </w:tr>
      <w:tr>
        <w:trPr>
          <w:trHeight w:val="203"/>
        </w:trPr>
        <w:tc>
          <w:tcPr>
            <w:tcW w:w="9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26, 2025</w:t>
            </w:r>
          </w:p>
        </w:tc>
      </w:tr>
    </w:tbl>
    <w:p>
      <w:pPr>
        <w:spacing w:after="0" w:line="200" w:lineRule="exact"/>
        <w:rPr>
          <w:sz w:val="20"/>
          <w:szCs w:val="20"/>
          <w:color w:val="auto"/>
        </w:rPr>
      </w:pPr>
    </w:p>
    <w:p>
      <w:pPr>
        <w:sectPr>
          <w:pgSz w:w="11900" w:h="16838" w:orient="portrait"/>
          <w:cols w:equalWidth="0" w:num="1">
            <w:col w:w="11140"/>
          </w:cols>
          <w:pgMar w:left="320" w:top="117" w:right="439" w:bottom="1440" w:gutter="0" w:footer="0" w:header="0"/>
        </w:sectPr>
      </w:pP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90" w:name="page91"/>
    <w:bookmarkEnd w:id="90"/>
    <w:p>
      <w:pPr>
        <w:jc w:val="right"/>
        <w:spacing w:after="0"/>
        <w:rPr>
          <w:sz w:val="20"/>
          <w:szCs w:val="20"/>
          <w:color w:val="auto"/>
        </w:rPr>
      </w:pPr>
      <w:r>
        <w:rPr>
          <w:rFonts w:ascii="Times New Roman" w:cs="Times New Roman" w:eastAsia="Times New Roman" w:hAnsi="Times New Roman"/>
          <w:sz w:val="25"/>
          <w:szCs w:val="25"/>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60"/>
        <w:spacing w:after="0" w:line="278" w:lineRule="auto"/>
        <w:rPr>
          <w:sz w:val="20"/>
          <w:szCs w:val="20"/>
          <w:color w:val="auto"/>
        </w:rPr>
      </w:pPr>
      <w:r>
        <w:rPr>
          <w:rFonts w:ascii="Times New Roman" w:cs="Times New Roman" w:eastAsia="Times New Roman" w:hAnsi="Times New Roman"/>
          <w:sz w:val="18"/>
          <w:szCs w:val="18"/>
          <w:b w:val="1"/>
          <w:bCs w:val="1"/>
          <w:color w:val="auto"/>
        </w:rPr>
        <w:t>CERTIFICATE OF AMENDMENT TO AMENDED AND RESTATED CERTIFICATE OF INCORPORATION OF MEI PHARMA,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 Pharma,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225" w:lineRule="exact"/>
        <w:rPr>
          <w:sz w:val="20"/>
          <w:szCs w:val="20"/>
          <w:color w:val="auto"/>
        </w:rPr>
      </w:pPr>
    </w:p>
    <w:p>
      <w:pPr>
        <w:ind w:left="780" w:hanging="383"/>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MEI Pharma, Inc. and the corporation was originally incorporated under the name, Marshall Edwards, Inc.</w:t>
      </w:r>
    </w:p>
    <w:p>
      <w:pPr>
        <w:spacing w:after="0" w:line="225" w:lineRule="exact"/>
        <w:rPr>
          <w:rFonts w:ascii="Times New Roman" w:cs="Times New Roman" w:eastAsia="Times New Roman" w:hAnsi="Times New Roman"/>
          <w:sz w:val="18"/>
          <w:szCs w:val="18"/>
          <w:color w:val="auto"/>
        </w:rPr>
      </w:pPr>
    </w:p>
    <w:p>
      <w:pPr>
        <w:ind w:left="780" w:hanging="383"/>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Certificate of Incorporation of the Corporation is hereby amended and restated in its entirety to read as follows: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 The name of the corporation (hereinafter referred to as the “Corporation”) is Lite Strategy, Inc.”</w:t>
      </w:r>
    </w:p>
    <w:p>
      <w:pPr>
        <w:spacing w:after="0" w:line="225" w:lineRule="exact"/>
        <w:rPr>
          <w:sz w:val="20"/>
          <w:szCs w:val="20"/>
          <w:color w:val="auto"/>
        </w:rPr>
      </w:pPr>
    </w:p>
    <w:p>
      <w:pPr>
        <w:ind w:left="780" w:hanging="383"/>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effective time of the foregoing amendment is 12:01 a.m. on September 10, 2025.</w:t>
      </w:r>
    </w:p>
    <w:p>
      <w:pPr>
        <w:spacing w:after="0" w:line="225" w:lineRule="exact"/>
        <w:rPr>
          <w:rFonts w:ascii="Times New Roman" w:cs="Times New Roman" w:eastAsia="Times New Roman" w:hAnsi="Times New Roman"/>
          <w:sz w:val="18"/>
          <w:szCs w:val="18"/>
          <w:color w:val="auto"/>
        </w:rPr>
      </w:pPr>
    </w:p>
    <w:p>
      <w:pPr>
        <w:ind w:left="780" w:hanging="383"/>
        <w:spacing w:after="0" w:line="282" w:lineRule="auto"/>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was duly adopted in accordance with the provisions of Section 242 of the General Corporation Law of the State of Delaware.</w:t>
      </w:r>
    </w:p>
    <w:p>
      <w:pPr>
        <w:spacing w:after="0" w:line="37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897255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765" w:right="339" w:bottom="1440" w:gutter="0" w:footer="0" w:header="0"/>
        </w:sectPr>
      </w:pPr>
    </w:p>
    <w:bookmarkStart w:id="91" w:name="page92"/>
    <w:bookmarkEnd w:id="91"/>
    <w:p>
      <w:pPr>
        <w:ind w:left="7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to be signed by an officer of the Corporation this 2nd day of September,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MEI PHARMA, INC.</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-7620</wp:posOffset>
            </wp:positionV>
            <wp:extent cx="13709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Justin J. File</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 Acting Chief Executive Officer, 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92" w:name="page93"/>
    <w:bookmarkEnd w:id="92"/>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CERTIFICATE OF AMENDMENT TO AMENDED AND RESTATED CERTIFICATE OF INCORPORATION OF MEI PHARMA, INC.</w:t>
      </w:r>
    </w:p>
    <w:p>
      <w:pPr>
        <w:spacing w:after="0" w:line="152" w:lineRule="exact"/>
        <w:rPr>
          <w:sz w:val="20"/>
          <w:szCs w:val="20"/>
          <w:color w:val="auto"/>
        </w:rPr>
      </w:pPr>
    </w:p>
    <w:p>
      <w:pPr>
        <w:ind w:right="200" w:firstLine="488"/>
        <w:spacing w:after="0" w:line="261" w:lineRule="auto"/>
        <w:rPr>
          <w:sz w:val="20"/>
          <w:szCs w:val="20"/>
          <w:color w:val="auto"/>
        </w:rPr>
      </w:pPr>
      <w:r>
        <w:rPr>
          <w:rFonts w:ascii="Times New Roman" w:cs="Times New Roman" w:eastAsia="Times New Roman" w:hAnsi="Times New Roman"/>
          <w:sz w:val="14"/>
          <w:szCs w:val="14"/>
          <w:color w:val="auto"/>
        </w:rPr>
        <w:t>MEI PHARMA, INC., a corporation organized and existing under the General Corporation Law of the State of Delaware, which was originally incorporated under the name, Marshall Edwards, Inc. (the “Corporation”), does hereby certify as follows:</w:t>
      </w:r>
    </w:p>
    <w:p>
      <w:pPr>
        <w:spacing w:after="0" w:line="28" w:lineRule="exact"/>
        <w:rPr>
          <w:sz w:val="20"/>
          <w:szCs w:val="20"/>
          <w:color w:val="auto"/>
        </w:rPr>
      </w:pPr>
    </w:p>
    <w:p>
      <w:pPr>
        <w:ind w:left="500"/>
        <w:spacing w:after="0" w:line="225" w:lineRule="auto"/>
        <w:rPr>
          <w:sz w:val="20"/>
          <w:szCs w:val="20"/>
          <w:color w:val="auto"/>
        </w:rPr>
      </w:pPr>
      <w:r>
        <w:rPr>
          <w:rFonts w:ascii="Times New Roman" w:cs="Times New Roman" w:eastAsia="Times New Roman" w:hAnsi="Times New Roman"/>
          <w:sz w:val="14"/>
          <w:szCs w:val="14"/>
          <w:u w:val="single" w:color="auto"/>
          <w:color w:val="auto"/>
        </w:rPr>
        <w:t>FIRST</w:t>
      </w:r>
      <w:r>
        <w:rPr>
          <w:rFonts w:ascii="Times New Roman" w:cs="Times New Roman" w:eastAsia="Times New Roman" w:hAnsi="Times New Roman"/>
          <w:sz w:val="14"/>
          <w:szCs w:val="14"/>
          <w:color w:val="auto"/>
        </w:rPr>
        <w:t>. Upon the filing and effectiveness (the “Effective Time”) of this Certificate of Amendment pursuant to the Section 242 of the General Corporation Law of the State of Delaware, each twenty (20) shares of the Common Stock, issued and outstanding (or held in treasury) immediately prior to the Effective Time (the “Old Common Stock”) shall automatically without further action on the part of the Corporation or any holder of Old Common Stock, be reclassified, combined, converted and changed into one (1) fully paid and nonassessable share of common stock, par value of $0.00000002 per share (the “New Common Stock”), subject to the treatment of fractional share interests as described below (the “Reverse Stock Split”). The conversion of the Old Common Stock into New Common Stock will be deemed to occur at the Effective Time. No fractional shares will be issued, and, stockholders otherwise entitled to receive fractional shares shall have no further interest as a stockholder with respect to such fractional shares. Stockholders of record who otherwise would be entitled to receive fractional shares in connection with such combination will instead be entitled to receive, in lieu of such fractional shares, an amount in cash equal to the fraction to which the stockholder would otherwise be entitled multiplied by the closing price of our Common Stock on the Nasdaq Capital Market on the date on which the Effective Time occurs. Each stock certificate or book-entry position that, immediately prior to the Effective Time, representing shares of Old Common Stock shall, from and after the Effective Time, automatically and without the necessity of presenting the same for exchange, represent that number of shares of New Common Stock after the Effective Time into which the shares of Old Common Stock have been reclassified pursuant to this paragraph, until the same shall be surrendered to the Corporation. The Reverse Stock Split shall also apply to any outstanding securities or rights convertible into, or exchangeable or exercisable for, Old Common Stock of the Corporation and all references to the Old Common Stock in agreements, arrangements, documents and plans relating thereto or any option or right to purchase or acquire shares of Old Common Stock shall be deemed to be references to the New Common Stock or options or rights to purchase or acquire shares of New Common Stock, as the case may be.”</w:t>
      </w:r>
    </w:p>
    <w:p>
      <w:pPr>
        <w:spacing w:after="0" w:line="47" w:lineRule="exact"/>
        <w:rPr>
          <w:sz w:val="20"/>
          <w:szCs w:val="20"/>
          <w:color w:val="auto"/>
        </w:rPr>
      </w:pPr>
    </w:p>
    <w:p>
      <w:pPr>
        <w:ind w:left="500" w:right="200"/>
        <w:spacing w:after="0" w:line="261" w:lineRule="auto"/>
        <w:rPr>
          <w:sz w:val="20"/>
          <w:szCs w:val="20"/>
          <w:color w:val="auto"/>
        </w:rPr>
      </w:pP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The stockholders of the Corporation have duly approved the foregoing amendment in accordance with the provisions of Section 242 of the General Corporation Law of the State of Delaware.</w:t>
      </w:r>
    </w:p>
    <w:p>
      <w:pPr>
        <w:spacing w:after="0" w:line="28" w:lineRule="exact"/>
        <w:rPr>
          <w:sz w:val="20"/>
          <w:szCs w:val="20"/>
          <w:color w:val="auto"/>
        </w:rPr>
      </w:pPr>
    </w:p>
    <w:p>
      <w:pPr>
        <w:ind w:left="500" w:right="340"/>
        <w:spacing w:after="0" w:line="261" w:lineRule="auto"/>
        <w:rPr>
          <w:sz w:val="20"/>
          <w:szCs w:val="20"/>
          <w:color w:val="auto"/>
        </w:rPr>
      </w:pPr>
      <w:r>
        <w:rPr>
          <w:rFonts w:ascii="Times New Roman" w:cs="Times New Roman" w:eastAsia="Times New Roman" w:hAnsi="Times New Roman"/>
          <w:sz w:val="14"/>
          <w:szCs w:val="14"/>
          <w:color w:val="auto"/>
        </w:rPr>
        <w:t>IN WITNESS WHEREOF, the Corporation has caused this Certificate of Amendment to be duly adopted and executed in its corporate name and on its behalf by its duly authorized officer as of April 14, 2023.</w:t>
      </w:r>
    </w:p>
    <w:p>
      <w:pPr>
        <w:spacing w:after="0" w:line="2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MEI PHARMA, INC.</w:t>
      </w:r>
    </w:p>
    <w:p>
      <w:pPr>
        <w:spacing w:after="0" w:line="15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color w:val="auto"/>
        </w:rPr>
        <w:t>By: /s/ Daniel P. Gold</w:t>
      </w:r>
    </w:p>
    <w:p>
      <w:pPr>
        <w:ind w:left="6740"/>
        <w:spacing w:after="0" w:line="226" w:lineRule="auto"/>
        <w:rPr>
          <w:sz w:val="20"/>
          <w:szCs w:val="20"/>
          <w:color w:val="auto"/>
        </w:rPr>
      </w:pPr>
      <w:r>
        <w:rPr>
          <w:rFonts w:ascii="Times New Roman" w:cs="Times New Roman" w:eastAsia="Times New Roman" w:hAnsi="Times New Roman"/>
          <w:sz w:val="14"/>
          <w:szCs w:val="14"/>
          <w:color w:val="auto"/>
        </w:rPr>
        <w:t>Name: Daniel P. Gold</w:t>
      </w:r>
    </w:p>
    <w:p>
      <w:pPr>
        <w:ind w:left="674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4"/>
          <w:szCs w:val="14"/>
          <w:b w:val="1"/>
          <w:bCs w:val="1"/>
          <w:color w:val="auto"/>
        </w:rPr>
        <w:t>State of Delaware Secretary of State</w:t>
      </w:r>
    </w:p>
    <w:p>
      <w:pPr>
        <w:ind w:left="20"/>
        <w:spacing w:after="0" w:line="229" w:lineRule="auto"/>
        <w:rPr>
          <w:sz w:val="20"/>
          <w:szCs w:val="20"/>
          <w:color w:val="auto"/>
        </w:rPr>
      </w:pPr>
      <w:r>
        <w:rPr>
          <w:rFonts w:ascii="Times New Roman" w:cs="Times New Roman" w:eastAsia="Times New Roman" w:hAnsi="Times New Roman"/>
          <w:sz w:val="14"/>
          <w:szCs w:val="14"/>
          <w:b w:val="1"/>
          <w:bCs w:val="1"/>
          <w:color w:val="auto"/>
        </w:rPr>
        <w:t>Division of Corporations</w:t>
      </w:r>
    </w:p>
    <w:p>
      <w:pPr>
        <w:ind w:left="20"/>
        <w:spacing w:after="0" w:line="221" w:lineRule="auto"/>
        <w:rPr>
          <w:sz w:val="20"/>
          <w:szCs w:val="20"/>
          <w:color w:val="auto"/>
        </w:rPr>
      </w:pPr>
      <w:r>
        <w:rPr>
          <w:rFonts w:ascii="Times New Roman" w:cs="Times New Roman" w:eastAsia="Times New Roman" w:hAnsi="Times New Roman"/>
          <w:sz w:val="14"/>
          <w:szCs w:val="14"/>
          <w:b w:val="1"/>
          <w:bCs w:val="1"/>
          <w:color w:val="auto"/>
        </w:rPr>
        <w:t>Delivered 04:15 PM 11/29/2018 FILED 04:15</w:t>
      </w:r>
    </w:p>
    <w:p>
      <w:pPr>
        <w:ind w:left="20"/>
        <w:spacing w:after="0" w:line="222" w:lineRule="auto"/>
        <w:rPr>
          <w:sz w:val="20"/>
          <w:szCs w:val="20"/>
          <w:color w:val="auto"/>
        </w:rPr>
      </w:pPr>
      <w:r>
        <w:rPr>
          <w:rFonts w:ascii="Times New Roman" w:cs="Times New Roman" w:eastAsia="Times New Roman" w:hAnsi="Times New Roman"/>
          <w:sz w:val="14"/>
          <w:szCs w:val="14"/>
          <w:b w:val="1"/>
          <w:bCs w:val="1"/>
          <w:color w:val="auto"/>
        </w:rPr>
        <w:t>PM 11/29/2018</w:t>
      </w:r>
    </w:p>
    <w:p>
      <w:pPr>
        <w:ind w:left="20"/>
        <w:spacing w:after="0"/>
        <w:rPr>
          <w:sz w:val="20"/>
          <w:szCs w:val="20"/>
          <w:color w:val="auto"/>
        </w:rPr>
      </w:pPr>
      <w:r>
        <w:rPr>
          <w:rFonts w:ascii="Times New Roman" w:cs="Times New Roman" w:eastAsia="Times New Roman" w:hAnsi="Times New Roman"/>
          <w:sz w:val="14"/>
          <w:szCs w:val="14"/>
          <w:b w:val="1"/>
          <w:bCs w:val="1"/>
          <w:color w:val="auto"/>
        </w:rPr>
        <w:t>SR 20187877521 - File Number 3323531</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 CERTIFICATE OF INCORPORATION 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MEI PHARMA, INC.</w:t>
      </w:r>
    </w:p>
    <w:p>
      <w:pPr>
        <w:spacing w:after="0" w:line="147" w:lineRule="exact"/>
        <w:rPr>
          <w:sz w:val="20"/>
          <w:szCs w:val="20"/>
          <w:color w:val="auto"/>
        </w:rPr>
      </w:pPr>
    </w:p>
    <w:p>
      <w:pPr>
        <w:jc w:val="both"/>
        <w:ind w:right="140" w:firstLine="503"/>
        <w:spacing w:after="0" w:line="236" w:lineRule="auto"/>
        <w:tabs>
          <w:tab w:leader="none" w:pos="81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corporation (hereinafter referred to as the “Corporation”) is MEI Pharma, Inc. The date of filing of the Corporation’s original certificate of incorporation with the Secretary of State of the State of Delaware was December 1, 2000. The Corporation’s original name, which was included in the original certificate of incorporation, was Marshall Edwards, Inc. The Corporation’s name was changed to MEI Pharma, Inc., pursuant to the Certificate of Ownership and Merger filed with the Secretary of State of the State of Delaware on June 28, 2012 and effective on July 2, 2012.</w:t>
      </w:r>
    </w:p>
    <w:p>
      <w:pPr>
        <w:spacing w:after="0" w:line="109" w:lineRule="exact"/>
        <w:rPr>
          <w:sz w:val="20"/>
          <w:szCs w:val="20"/>
          <w:color w:val="auto"/>
        </w:rPr>
      </w:pPr>
    </w:p>
    <w:p>
      <w:pPr>
        <w:ind w:right="280" w:firstLine="498"/>
        <w:spacing w:after="0" w:line="261" w:lineRule="auto"/>
        <w:tabs>
          <w:tab w:leader="none" w:pos="84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Sections 242 and 245 of the General Corporation Law of the State of Delaware (the “DGCL”), this Amended and Restated Certificate of Incorporation restates and integrates and further amends the Certificate of Incorporation of the Corporation, as heretofore amended or supplemented.</w:t>
      </w:r>
    </w:p>
    <w:p>
      <w:pPr>
        <w:spacing w:after="0" w:line="108" w:lineRule="exact"/>
        <w:rPr>
          <w:rFonts w:ascii="Times New Roman" w:cs="Times New Roman" w:eastAsia="Times New Roman" w:hAnsi="Times New Roman"/>
          <w:sz w:val="14"/>
          <w:szCs w:val="14"/>
          <w:color w:val="auto"/>
        </w:rPr>
      </w:pPr>
    </w:p>
    <w:p>
      <w:pPr>
        <w:ind w:right="80" w:firstLine="499"/>
        <w:spacing w:after="0" w:line="236" w:lineRule="auto"/>
        <w:tabs>
          <w:tab w:leader="none" w:pos="851"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Amended and Restated Certificate of Incorporation was duly adopted in accordance with the provisions of Section 245 of the DGCL, the Board of Directors of the Corporation having duly adopted resolutions setting forth and declaring advisable the Amended and Restated Certificate of Incorporation, including said amendments, and thereafter, pursuant to resolution of the Board of Directors, a special meeting of the stockholders of the Corporation was duly called and held upon notice in accordance with Section 222 of the DGCL at which the number of shares as required by Section 242 of the DGCL approved such amendments.</w:t>
      </w:r>
    </w:p>
    <w:p>
      <w:pPr>
        <w:spacing w:after="0" w:line="123"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4"/>
          <w:szCs w:val="14"/>
          <w:color w:val="auto"/>
        </w:rPr>
        <w:t>IV.</w:t>
        <w:tab/>
        <w:t>The Amended and Restated Certificate of Incorporation of the Corporation shall read as follows:</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FIRST: The name of the Corporation is MEI Pharma, Inc.</w:t>
      </w:r>
    </w:p>
    <w:p>
      <w:pPr>
        <w:spacing w:after="0" w:line="163" w:lineRule="exact"/>
        <w:rPr>
          <w:sz w:val="20"/>
          <w:szCs w:val="20"/>
          <w:color w:val="auto"/>
        </w:rPr>
      </w:pPr>
    </w:p>
    <w:p>
      <w:pPr>
        <w:ind w:firstLine="488"/>
        <w:spacing w:after="0" w:line="261" w:lineRule="auto"/>
        <w:rPr>
          <w:sz w:val="20"/>
          <w:szCs w:val="20"/>
          <w:color w:val="auto"/>
        </w:rPr>
      </w:pPr>
      <w:r>
        <w:rPr>
          <w:rFonts w:ascii="Times New Roman" w:cs="Times New Roman" w:eastAsia="Times New Roman" w:hAnsi="Times New Roman"/>
          <w:sz w:val="14"/>
          <w:szCs w:val="14"/>
          <w:color w:val="auto"/>
        </w:rPr>
        <w:t>SECOND: The address of the Corporation’s registered office in the State of Delaware is 1209 Orange Street, in the City of Wilmington, County of New Castle. The name of its registered agent at such address is The Corporation Trust Company.</w:t>
      </w:r>
    </w:p>
    <w:p>
      <w:pPr>
        <w:spacing w:after="0" w:line="95" w:lineRule="exact"/>
        <w:rPr>
          <w:sz w:val="20"/>
          <w:szCs w:val="20"/>
          <w:color w:val="auto"/>
        </w:rPr>
      </w:pPr>
    </w:p>
    <w:p>
      <w:pPr>
        <w:ind w:right="320" w:firstLine="490"/>
        <w:spacing w:after="0" w:line="261" w:lineRule="auto"/>
        <w:rPr>
          <w:sz w:val="20"/>
          <w:szCs w:val="20"/>
          <w:color w:val="auto"/>
        </w:rPr>
      </w:pPr>
      <w:r>
        <w:rPr>
          <w:rFonts w:ascii="Times New Roman" w:cs="Times New Roman" w:eastAsia="Times New Roman" w:hAnsi="Times New Roman"/>
          <w:sz w:val="14"/>
          <w:szCs w:val="14"/>
          <w:color w:val="auto"/>
        </w:rPr>
        <w:t>THIRD: The total number of shares of all classes of stock which the Corporation shall have authority to issue is 226,100,000, consisting of (1) 100,000 shares of preferred stock, par value US$.01 per share (the “Preferred Stock”) and (2) 226,000,000 shares of common stock, par value US$.00000002 per share (the “Common Stock”).</w:t>
      </w:r>
    </w:p>
    <w:p>
      <w:pPr>
        <w:spacing w:after="0" w:line="109" w:lineRule="exact"/>
        <w:rPr>
          <w:sz w:val="20"/>
          <w:szCs w:val="20"/>
          <w:color w:val="auto"/>
        </w:rPr>
      </w:pPr>
    </w:p>
    <w:p>
      <w:pPr>
        <w:ind w:right="220" w:firstLine="491"/>
        <w:spacing w:after="0" w:line="241" w:lineRule="auto"/>
        <w:rPr>
          <w:sz w:val="20"/>
          <w:szCs w:val="20"/>
          <w:color w:val="auto"/>
        </w:rPr>
      </w:pPr>
      <w:r>
        <w:rPr>
          <w:rFonts w:ascii="Times New Roman" w:cs="Times New Roman" w:eastAsia="Times New Roman" w:hAnsi="Times New Roman"/>
          <w:sz w:val="14"/>
          <w:szCs w:val="14"/>
          <w:color w:val="auto"/>
        </w:rPr>
        <w:t>The Board of Directors of the Corporation is expressly authorized, by resolution or resolutions, to provide, out of the unissued shares of the Preferred Stock, for series of the Preferred Stock. Before any shares of any such series are issued, the Board of Directors shall fix, and is expressly empowered to fix, by resolution or resolutions, the following provisions of the shares thereof:</w:t>
      </w:r>
    </w:p>
    <w:p>
      <w:pPr>
        <w:spacing w:after="0" w:line="190" w:lineRule="exact"/>
        <w:rPr>
          <w:sz w:val="20"/>
          <w:szCs w:val="20"/>
          <w:color w:val="auto"/>
        </w:rPr>
      </w:pPr>
    </w:p>
    <w:p>
      <w:pPr>
        <w:ind w:left="960" w:hanging="203"/>
        <w:spacing w:after="0"/>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such series, the number of shares to constitute such series and the stated value thereof, if different from the par value thereof;</w:t>
      </w:r>
    </w:p>
    <w:p>
      <w:pPr>
        <w:spacing w:after="0" w:line="257" w:lineRule="exact"/>
        <w:rPr>
          <w:rFonts w:ascii="Times New Roman" w:cs="Times New Roman" w:eastAsia="Times New Roman" w:hAnsi="Times New Roman"/>
          <w:sz w:val="14"/>
          <w:szCs w:val="14"/>
          <w:color w:val="auto"/>
        </w:rPr>
      </w:pPr>
    </w:p>
    <w:p>
      <w:pPr>
        <w:ind w:firstLine="757"/>
        <w:spacing w:after="0" w:line="233" w:lineRule="auto"/>
        <w:tabs>
          <w:tab w:leader="none" w:pos="95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such series shall have voting rights, in addition to any voting rights provided by law, and, if so, the terms of such voting rights (which may be special voting rights) and the preference or relation which such voting rights shall bear to the voting rights of any other class or any other series of this class;</w:t>
      </w:r>
    </w:p>
    <w:p>
      <w:pPr>
        <w:ind w:right="40" w:firstLine="757"/>
        <w:spacing w:after="0" w:line="239" w:lineRule="auto"/>
        <w:tabs>
          <w:tab w:leader="none" w:pos="944"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dividend rate (or method of determining such rate), if any, payable on such series, the conditions and dates upon which such dividends shall be payable, the preference or relation which such dividends shall bear to the dividends payable on any other class or any other series of this class;</w:t>
      </w:r>
    </w:p>
    <w:p>
      <w:pPr>
        <w:spacing w:after="0" w:line="203" w:lineRule="exact"/>
        <w:rPr>
          <w:rFonts w:ascii="Times New Roman" w:cs="Times New Roman" w:eastAsia="Times New Roman" w:hAnsi="Times New Roman"/>
          <w:sz w:val="14"/>
          <w:szCs w:val="14"/>
          <w:color w:val="auto"/>
        </w:rPr>
      </w:pPr>
    </w:p>
    <w:p>
      <w:pPr>
        <w:ind w:right="460" w:firstLine="757"/>
        <w:spacing w:after="0" w:line="261" w:lineRule="auto"/>
        <w:tabs>
          <w:tab w:leader="none" w:pos="95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on the shares of such series shall be cumulative, and, in the case of shares of a series having cumulative dividend rights, the date or dates (or method of determining the date or dates) from which dividends on the shares of such series shall be cumulative;</w:t>
      </w:r>
    </w:p>
    <w:p>
      <w:pPr>
        <w:spacing w:after="0" w:line="95" w:lineRule="exact"/>
        <w:rPr>
          <w:rFonts w:ascii="Times New Roman" w:cs="Times New Roman" w:eastAsia="Times New Roman" w:hAnsi="Times New Roman"/>
          <w:sz w:val="14"/>
          <w:szCs w:val="14"/>
          <w:color w:val="auto"/>
        </w:rPr>
      </w:pPr>
    </w:p>
    <w:p>
      <w:pPr>
        <w:ind w:left="960" w:hanging="203"/>
        <w:spacing w:after="0"/>
        <w:tabs>
          <w:tab w:leader="none" w:pos="9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such series shall be subject to redemption by the Corporation and, if so, the times, prices and other conditions of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94" w:name="page95"/>
    <w:bookmarkEnd w:id="94"/>
    <w:p>
      <w:pPr>
        <w:ind w:right="100" w:firstLine="757"/>
        <w:spacing w:after="0" w:line="261" w:lineRule="auto"/>
        <w:tabs>
          <w:tab w:leader="none" w:pos="929"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or amounts payable upon shares of such series upon, and the rights of the holders of such series in, the voluntary or involuntary liquidation, dissolution or winding up of the Corporation;</w:t>
      </w:r>
    </w:p>
    <w:p>
      <w:pPr>
        <w:spacing w:after="0" w:line="108" w:lineRule="exact"/>
        <w:rPr>
          <w:rFonts w:ascii="Times New Roman" w:cs="Times New Roman" w:eastAsia="Times New Roman" w:hAnsi="Times New Roman"/>
          <w:sz w:val="14"/>
          <w:szCs w:val="14"/>
          <w:color w:val="auto"/>
        </w:rPr>
      </w:pPr>
    </w:p>
    <w:p>
      <w:pPr>
        <w:ind w:right="40" w:firstLine="757"/>
        <w:spacing w:after="0" w:line="261" w:lineRule="auto"/>
        <w:tabs>
          <w:tab w:leader="none" w:pos="953"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such series shall be subject to the operation of a retirement or sinking fund and, if so, the extent to and manner in which any such retirement or sinking fund shall be applied to the purchase or redemption of the shares of such series for retirement or other corporate purposes and the terms and provisions relative to the operation thereof;</w:t>
      </w:r>
    </w:p>
    <w:p>
      <w:pPr>
        <w:spacing w:after="0" w:line="95" w:lineRule="exact"/>
        <w:rPr>
          <w:rFonts w:ascii="Times New Roman" w:cs="Times New Roman" w:eastAsia="Times New Roman" w:hAnsi="Times New Roman"/>
          <w:sz w:val="14"/>
          <w:szCs w:val="14"/>
          <w:color w:val="auto"/>
        </w:rPr>
      </w:pPr>
    </w:p>
    <w:p>
      <w:pPr>
        <w:ind w:right="20" w:firstLine="757"/>
        <w:spacing w:after="0" w:line="261" w:lineRule="auto"/>
        <w:tabs>
          <w:tab w:leader="none" w:pos="953"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shares of such series shall be convertible into, or exchangeable for, at the option of the holder or the Corporation or upon the happening of a specified event, shares of stock of any other class or of any other series of this class and, if so, the price or prices or the rate or rates of conversion or exchange and the method, if any, of adjusting the same;</w:t>
      </w:r>
    </w:p>
    <w:p>
      <w:pPr>
        <w:spacing w:after="0" w:line="108" w:lineRule="exact"/>
        <w:rPr>
          <w:rFonts w:ascii="Times New Roman" w:cs="Times New Roman" w:eastAsia="Times New Roman" w:hAnsi="Times New Roman"/>
          <w:sz w:val="14"/>
          <w:szCs w:val="14"/>
          <w:color w:val="auto"/>
        </w:rPr>
      </w:pPr>
    </w:p>
    <w:p>
      <w:pPr>
        <w:ind w:right="180" w:firstLine="757"/>
        <w:spacing w:after="0" w:line="261" w:lineRule="auto"/>
        <w:tabs>
          <w:tab w:leader="none" w:pos="921"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limitations and restrictions, if any, to be effective while any shares of such series are outstanding upon the payment of dividends or the making of other distributions on, and upon the purchase, redemption or other acquisition by the Corporation of, the Common Stock, any other series of the Preferred Stock or any other class of capital stock;</w:t>
      </w:r>
    </w:p>
    <w:p>
      <w:pPr>
        <w:spacing w:after="0" w:line="108" w:lineRule="exact"/>
        <w:rPr>
          <w:rFonts w:ascii="Times New Roman" w:cs="Times New Roman" w:eastAsia="Times New Roman" w:hAnsi="Times New Roman"/>
          <w:sz w:val="14"/>
          <w:szCs w:val="14"/>
          <w:color w:val="auto"/>
        </w:rPr>
      </w:pPr>
    </w:p>
    <w:p>
      <w:pPr>
        <w:ind w:right="40" w:firstLine="757"/>
        <w:spacing w:after="0" w:line="251" w:lineRule="auto"/>
        <w:tabs>
          <w:tab w:leader="none" w:pos="921"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or restrictions, if any, upon the creation of indebtedness of the Corporation or upon the issue of any additional stock, including additional shares of such series or of any other series of the Preferred Stock or of any other class of capital stock; and</w:t>
      </w:r>
    </w:p>
    <w:p>
      <w:pPr>
        <w:ind w:left="580" w:hanging="212"/>
        <w:spacing w:after="0"/>
        <w:tabs>
          <w:tab w:leader="none" w:pos="5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powers, preferences or rights, or any qualifications, limitations or restrictions thereof.</w:t>
      </w:r>
    </w:p>
    <w:p>
      <w:pPr>
        <w:spacing w:after="0" w:line="325" w:lineRule="exact"/>
        <w:rPr>
          <w:sz w:val="20"/>
          <w:szCs w:val="20"/>
          <w:color w:val="auto"/>
        </w:rPr>
      </w:pPr>
    </w:p>
    <w:p>
      <w:pPr>
        <w:ind w:right="500" w:firstLine="490"/>
        <w:spacing w:after="0" w:line="241" w:lineRule="auto"/>
        <w:rPr>
          <w:sz w:val="20"/>
          <w:szCs w:val="20"/>
          <w:color w:val="auto"/>
        </w:rPr>
      </w:pPr>
      <w:r>
        <w:rPr>
          <w:rFonts w:ascii="Times New Roman" w:cs="Times New Roman" w:eastAsia="Times New Roman" w:hAnsi="Times New Roman"/>
          <w:sz w:val="14"/>
          <w:szCs w:val="14"/>
          <w:color w:val="auto"/>
        </w:rPr>
        <w:t>Except as otherwise provided by such resolution or resolutions, all shares of the Preferred Stock shall be of equal rank. All shares of any one series of the Preferred Stock shall be identical in all respects with all other shares of such series, except that shares of any one series issued at different times may differ as to the dates from which dividends thereon shall be cumulative.</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FOURTH: The purpose of the Corporation is to engage in any lawful act or activity for which a corporation may be organized under the DGCL.</w:t>
      </w:r>
    </w:p>
    <w:p>
      <w:pPr>
        <w:spacing w:after="0" w:line="163" w:lineRule="exact"/>
        <w:rPr>
          <w:sz w:val="20"/>
          <w:szCs w:val="20"/>
          <w:color w:val="auto"/>
        </w:rPr>
      </w:pPr>
    </w:p>
    <w:p>
      <w:pPr>
        <w:ind w:right="120" w:firstLine="490"/>
        <w:spacing w:after="0" w:line="261" w:lineRule="auto"/>
        <w:rPr>
          <w:sz w:val="20"/>
          <w:szCs w:val="20"/>
          <w:color w:val="auto"/>
        </w:rPr>
      </w:pPr>
      <w:r>
        <w:rPr>
          <w:rFonts w:ascii="Times New Roman" w:cs="Times New Roman" w:eastAsia="Times New Roman" w:hAnsi="Times New Roman"/>
          <w:sz w:val="14"/>
          <w:szCs w:val="14"/>
          <w:color w:val="auto"/>
        </w:rPr>
        <w:t>FIFTH: The Board of Directors is expressly authorized to adopt, amend or repeal the By-Laws of the Corporation, subject to the reserved power of the stockholders to amend and repeal any By-Laws of the Corporation adopted by the Board of Directors.</w:t>
      </w:r>
    </w:p>
    <w:p>
      <w:pPr>
        <w:spacing w:after="0" w:line="95" w:lineRule="exact"/>
        <w:rPr>
          <w:sz w:val="20"/>
          <w:szCs w:val="20"/>
          <w:color w:val="auto"/>
        </w:rPr>
      </w:pPr>
    </w:p>
    <w:p>
      <w:pPr>
        <w:ind w:firstLine="488"/>
        <w:spacing w:after="0" w:line="231" w:lineRule="auto"/>
        <w:rPr>
          <w:sz w:val="20"/>
          <w:szCs w:val="20"/>
          <w:color w:val="auto"/>
        </w:rPr>
      </w:pPr>
      <w:r>
        <w:rPr>
          <w:rFonts w:ascii="Times New Roman" w:cs="Times New Roman" w:eastAsia="Times New Roman" w:hAnsi="Times New Roman"/>
          <w:sz w:val="14"/>
          <w:szCs w:val="14"/>
          <w:color w:val="auto"/>
        </w:rPr>
        <w:t>SIXTH: Each person who at any time is or was an officer or director of the Corporation, and is or was threatened to be made a party to any threatened, pending or complete action, suit or proceeding, whether civil, criminal, administrative or investigative, by reason of the fact that he or she is or was an officer or director of the Corporation, or is or was serving at the request of the Corporation as an officer or director of another corporation, partnership, joint venture, trust or other enterprise, shall be indemnified against expenses (including attorneys’ fees) judgments, fines and amounts paid in settlement actually and reasonably incurred by him in connection with any such action, suit or proceeding to the full extent permitted by Section 145 of the DGCL. The foregoing right of indemnification shall in no way be deemed exclusive of any other rights of indemnification to which such officer or director may be entitled under any statute, this Certificate of Incorporation, the By-Laws of the Corporation or any agreement, vote of stockholders or disinterested directors or otherwise.</w:t>
      </w:r>
    </w:p>
    <w:p>
      <w:pPr>
        <w:spacing w:after="0" w:line="123" w:lineRule="exact"/>
        <w:rPr>
          <w:sz w:val="20"/>
          <w:szCs w:val="20"/>
          <w:color w:val="auto"/>
        </w:rPr>
      </w:pPr>
    </w:p>
    <w:p>
      <w:pPr>
        <w:ind w:right="20" w:firstLine="494"/>
        <w:spacing w:after="0" w:line="231" w:lineRule="auto"/>
        <w:rPr>
          <w:sz w:val="20"/>
          <w:szCs w:val="20"/>
          <w:color w:val="auto"/>
        </w:rPr>
      </w:pPr>
      <w:r>
        <w:rPr>
          <w:rFonts w:ascii="Times New Roman" w:cs="Times New Roman" w:eastAsia="Times New Roman" w:hAnsi="Times New Roman"/>
          <w:sz w:val="14"/>
          <w:szCs w:val="14"/>
          <w:color w:val="auto"/>
        </w:rPr>
        <w:t>SEVENTH: No person who is or was a director of the Corporation shall be personally liable to the Corporation or its stockholders for monetary damages for breach of fiduciary duty as a director unless, and only to the extent that such director is liable (i) for any breach of the director’s duty of loyalty to the Corporation or its stockholders, (ii) for acts or omissions not in good faith or which involve intentional misconduct or a knowing violation of law, (iii) under Section 174 of the DGCL or any amendment thereto or successor provision thereto, or (iv) for any transaction from which the director derived an improper personal benefit. This article shall not eliminate or limit the liability or a director for any act or omission occurring prior to the date when this article becomes effective. No amendment to, repeal or adoption of any provision of this Certificate of Incorporation inconsistent with this article shall apply to or have any effect on the liability of any director of the Corporation for or with respect to any acts or omissions of such director occurring prior to such amendment, repeal, or adoption of an inconsistent provision.</w:t>
      </w:r>
    </w:p>
    <w:p>
      <w:pPr>
        <w:spacing w:after="0" w:line="110" w:lineRule="exact"/>
        <w:rPr>
          <w:sz w:val="20"/>
          <w:szCs w:val="20"/>
          <w:color w:val="auto"/>
        </w:rPr>
      </w:pPr>
    </w:p>
    <w:p>
      <w:pPr>
        <w:ind w:right="260" w:firstLine="495"/>
        <w:spacing w:after="0" w:line="236" w:lineRule="auto"/>
        <w:rPr>
          <w:sz w:val="20"/>
          <w:szCs w:val="20"/>
          <w:color w:val="auto"/>
        </w:rPr>
      </w:pPr>
      <w:r>
        <w:rPr>
          <w:rFonts w:ascii="Times New Roman" w:cs="Times New Roman" w:eastAsia="Times New Roman" w:hAnsi="Times New Roman"/>
          <w:sz w:val="14"/>
          <w:szCs w:val="14"/>
          <w:color w:val="auto"/>
        </w:rPr>
        <w:t>EIGHTH: Any and all right, title, interest and claim in or to any dividends declared by the Corporation, whether in cash, stock or otherwise, which are unclaimed by the stockholder entitled thereto for a period of six (6) years after the close of business on the payment date, shall be and be deemed to be extinguished and abandoned, and such unclaimed dividends in the possession of the Corporation, its transfer agents or other agents or depositaries, shall at such time become the absolute property of the Corporation, free and clear of any and all claims of any persons whatsoever.</w:t>
      </w:r>
    </w:p>
    <w:p>
      <w:pPr>
        <w:spacing w:after="0" w:line="109" w:lineRule="exact"/>
        <w:rPr>
          <w:sz w:val="20"/>
          <w:szCs w:val="20"/>
          <w:color w:val="auto"/>
        </w:rPr>
      </w:pPr>
    </w:p>
    <w:p>
      <w:pPr>
        <w:ind w:firstLine="495"/>
        <w:spacing w:after="0" w:line="229" w:lineRule="auto"/>
        <w:rPr>
          <w:sz w:val="20"/>
          <w:szCs w:val="20"/>
          <w:color w:val="auto"/>
        </w:rPr>
      </w:pPr>
      <w:r>
        <w:rPr>
          <w:rFonts w:ascii="Times New Roman" w:cs="Times New Roman" w:eastAsia="Times New Roman" w:hAnsi="Times New Roman"/>
          <w:sz w:val="14"/>
          <w:szCs w:val="14"/>
          <w:color w:val="auto"/>
        </w:rPr>
        <w:t>NINTH: Whenever a compromise or arrangement is proposed between the Corporation and its creditors or any class of them and/or between the Corporation and its stockholders or any class of them, any court of equitable jurisdiction within the State of Delaware may, on application in a summary way of the Corporation or of any creditor or stockholder thereof, or on the application of any receiver or receivers appointed for the Corporation under Section 291 of Title 8 of the Delaware Code or on the application of trustees in dissolution or of any receiver or receivers appointed for the Corporation under Section 279 of Title 8 of the Delaware Code, order a meeting of the creditors or class of creditors, and/or of the stockholders or class of stockholders of the Corporation, as the case may be, to be summoned in such manner as the said court directs. If a majority in number representing three- 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ind w:right="100"/>
        <w:spacing w:after="0" w:line="261" w:lineRule="auto"/>
        <w:rPr>
          <w:sz w:val="20"/>
          <w:szCs w:val="20"/>
          <w:color w:val="auto"/>
        </w:rPr>
      </w:pPr>
      <w:r>
        <w:rPr>
          <w:rFonts w:ascii="Times New Roman" w:cs="Times New Roman" w:eastAsia="Times New Roman" w:hAnsi="Times New Roman"/>
          <w:sz w:val="14"/>
          <w:szCs w:val="14"/>
          <w:color w:val="auto"/>
        </w:rPr>
        <w:t>court to which the said application has been made, be binding on all the creditors or class of creditors, and/or on all the stockholders or class of stockholders, of the Corporation, as the case may be, and also on the Corporation.</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TENTH: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w:t>
      </w:r>
    </w:p>
    <w:p>
      <w:pPr>
        <w:spacing w:after="0" w:line="163" w:lineRule="exact"/>
        <w:rPr>
          <w:sz w:val="20"/>
          <w:szCs w:val="20"/>
          <w:color w:val="auto"/>
        </w:rPr>
      </w:pPr>
    </w:p>
    <w:p>
      <w:pPr>
        <w:ind w:right="700" w:firstLine="968"/>
        <w:spacing w:after="0" w:line="261" w:lineRule="auto"/>
        <w:tabs>
          <w:tab w:leader="none" w:pos="115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Directors</w:t>
      </w:r>
      <w:r>
        <w:rPr>
          <w:rFonts w:ascii="Times New Roman" w:cs="Times New Roman" w:eastAsia="Times New Roman" w:hAnsi="Times New Roman"/>
          <w:sz w:val="14"/>
          <w:szCs w:val="14"/>
          <w:color w:val="auto"/>
        </w:rPr>
        <w:t>. The total number of directors which shall constitute the whole Board of Directors shall be determined in accordance with the By-laws of the Corporation, but shall not be less than two (2) nor more than nine (9).</w:t>
      </w:r>
    </w:p>
    <w:p>
      <w:pPr>
        <w:spacing w:after="0" w:line="108" w:lineRule="exact"/>
        <w:rPr>
          <w:rFonts w:ascii="Times New Roman" w:cs="Times New Roman" w:eastAsia="Times New Roman" w:hAnsi="Times New Roman"/>
          <w:sz w:val="14"/>
          <w:szCs w:val="14"/>
          <w:color w:val="auto"/>
        </w:rPr>
      </w:pPr>
    </w:p>
    <w:p>
      <w:pPr>
        <w:ind w:firstLine="966"/>
        <w:spacing w:after="0"/>
        <w:tabs>
          <w:tab w:leader="none" w:pos="116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Classification of Board</w:t>
      </w:r>
      <w:r>
        <w:rPr>
          <w:rFonts w:ascii="Times New Roman" w:cs="Times New Roman" w:eastAsia="Times New Roman" w:hAnsi="Times New Roman"/>
          <w:sz w:val="14"/>
          <w:szCs w:val="14"/>
          <w:color w:val="auto"/>
        </w:rPr>
        <w:t>. (i) Subject to the rights of any holders of any series of Preferred Stock that may be issued by the Corporation pursuant to a resolution or resolutions of the Board of Directors providing for such issuance, the directors of the Corporation shall be divided into three classes with respect to the term of office, each class to contain, as near as may be possible, one-third of the whole number of the Board, with the terms of office of one class expiring each successive year. At each annual meeting of stockholders, the successors to the class of directors whose term expires at that time shall be elected by the stockholders to serve until the annual meeting of stockholders held three years next following and until their successors shall be elected and qualified.</w:t>
      </w:r>
    </w:p>
    <w:p>
      <w:pPr>
        <w:spacing w:after="0" w:line="247" w:lineRule="exact"/>
        <w:rPr>
          <w:rFonts w:ascii="Times New Roman" w:cs="Times New Roman" w:eastAsia="Times New Roman" w:hAnsi="Times New Roman"/>
          <w:sz w:val="14"/>
          <w:szCs w:val="14"/>
          <w:color w:val="auto"/>
        </w:rPr>
      </w:pPr>
    </w:p>
    <w:p>
      <w:pPr>
        <w:ind w:right="140" w:firstLine="1582"/>
        <w:spacing w:after="0" w:line="241" w:lineRule="auto"/>
        <w:tabs>
          <w:tab w:leader="none" w:pos="1786"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intervening changes in the authorized number of directors, the Board of Directors shall designate the class or classes to which the increases or decreases in directorships shall be apportioned and may designate one or more directorships as directorships of another class in order more nearly to achieve equality of number of directors among the classes; provided, however, that no such apportionment or redesignation shall shorten the term of any incumbent director.</w:t>
      </w:r>
    </w:p>
    <w:p>
      <w:pPr>
        <w:spacing w:after="0" w:line="122" w:lineRule="exact"/>
        <w:rPr>
          <w:rFonts w:ascii="Times New Roman" w:cs="Times New Roman" w:eastAsia="Times New Roman" w:hAnsi="Times New Roman"/>
          <w:sz w:val="14"/>
          <w:szCs w:val="14"/>
          <w:color w:val="auto"/>
        </w:rPr>
      </w:pPr>
    </w:p>
    <w:p>
      <w:pPr>
        <w:jc w:val="both"/>
        <w:ind w:firstLine="966"/>
        <w:spacing w:after="0" w:line="236" w:lineRule="auto"/>
        <w:tabs>
          <w:tab w:leader="none" w:pos="115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Subject to the limitations prescribed by law and this Restated Certificate of Incorporation, all vacancies in the office of director, including vacancies created by newly created directorships resulting from an increase in the authorized number of directors, may be filled only by a vote of a majority of the directors then holding office, although less than a quorum, or by a sole remaining director; and any director so elected shall serve for the remainder of the full term of the class of directors in which the new directorship was created or the vacancy occurred and until such director’s successor is duly elected and shall qualify or until such director’s earlier resignation or removal.</w:t>
      </w:r>
    </w:p>
    <w:p>
      <w:pPr>
        <w:spacing w:after="0" w:line="109" w:lineRule="exact"/>
        <w:rPr>
          <w:rFonts w:ascii="Times New Roman" w:cs="Times New Roman" w:eastAsia="Times New Roman" w:hAnsi="Times New Roman"/>
          <w:sz w:val="14"/>
          <w:szCs w:val="14"/>
          <w:color w:val="auto"/>
        </w:rPr>
      </w:pPr>
    </w:p>
    <w:p>
      <w:pPr>
        <w:ind w:right="220" w:firstLine="963"/>
        <w:spacing w:after="0" w:line="241" w:lineRule="auto"/>
        <w:tabs>
          <w:tab w:leader="none" w:pos="115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to this Paragraph</w:t>
      </w:r>
      <w:r>
        <w:rPr>
          <w:rFonts w:ascii="Times New Roman" w:cs="Times New Roman" w:eastAsia="Times New Roman" w:hAnsi="Times New Roman"/>
          <w:sz w:val="14"/>
          <w:szCs w:val="14"/>
          <w:color w:val="auto"/>
        </w:rPr>
        <w:t>. In addition to any requirements of law or of any other provisions of this Restated Certificate of Incorporation, the affirmative vote of the holders of not less than eighty percent (80%) of the total number of votes eligible to be cast by the holders of all outstanding shares of capital stock entitled to vote thereon shall be required to amend, alter, rescind or repeal any provision of this Article TENTH.</w:t>
      </w:r>
    </w:p>
    <w:p>
      <w:pPr>
        <w:spacing w:after="0" w:line="109" w:lineRule="exact"/>
        <w:rPr>
          <w:rFonts w:ascii="Times New Roman" w:cs="Times New Roman" w:eastAsia="Times New Roman" w:hAnsi="Times New Roman"/>
          <w:sz w:val="14"/>
          <w:szCs w:val="14"/>
          <w:color w:val="auto"/>
        </w:rPr>
      </w:pPr>
    </w:p>
    <w:p>
      <w:pPr>
        <w:ind w:left="1160" w:hanging="194"/>
        <w:spacing w:after="0"/>
        <w:tabs>
          <w:tab w:leader="none" w:pos="1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Written Ballo</w:t>
      </w:r>
      <w:r>
        <w:rPr>
          <w:rFonts w:ascii="Times New Roman" w:cs="Times New Roman" w:eastAsia="Times New Roman" w:hAnsi="Times New Roman"/>
          <w:sz w:val="14"/>
          <w:szCs w:val="14"/>
          <w:color w:val="auto"/>
        </w:rPr>
        <w:t>t. Unless and to the extent that the By-Laws so provide, elections of directors need not be by written ballot.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6" w:name="page97"/>
    <w:bookmarkEnd w:id="96"/>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MEI Pharma, Inc. has caused this Amended and Restated Certificate of Incorporation to be signed by its President this 29th day of November, 2018.</w:t>
      </w:r>
    </w:p>
    <w:p>
      <w:pPr>
        <w:sectPr>
          <w:pgSz w:w="11900" w:h="16838" w:orient="portrait"/>
          <w:cols w:equalWidth="0" w:num="1">
            <w:col w:w="10160"/>
          </w:cols>
          <w:pgMar w:left="820" w:top="1440" w:right="919" w:bottom="1440" w:gutter="0" w:footer="0" w:header="0"/>
        </w:sectPr>
      </w:pPr>
    </w:p>
    <w:p>
      <w:pPr>
        <w:spacing w:after="0" w:line="3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MEI Pharma, Inc.</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270891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Daniel P. Gold</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1303655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820" w:top="1440" w:right="919" w:bottom="1440" w:gutter="0" w:footer="0" w:header="0"/>
          <w:type w:val="continuous"/>
        </w:sectPr>
      </w:pPr>
    </w:p>
    <w:bookmarkStart w:id="97" w:name="page98"/>
    <w:bookmarkEnd w:id="97"/>
    <w:p>
      <w:pPr>
        <w:ind w:left="10080"/>
        <w:spacing w:after="0"/>
        <w:rPr>
          <w:sz w:val="20"/>
          <w:szCs w:val="20"/>
          <w:color w:val="auto"/>
        </w:rPr>
      </w:pPr>
      <w:r>
        <w:rPr>
          <w:rFonts w:ascii="Times New Roman" w:cs="Times New Roman" w:eastAsia="Times New Roman" w:hAnsi="Times New Roman"/>
          <w:sz w:val="25"/>
          <w:szCs w:val="25"/>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341630</wp:posOffset>
            </wp:positionV>
            <wp:extent cx="745490" cy="7454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74549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Insider Trading Policy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04" w:lineRule="exact"/>
        <w:rPr>
          <w:sz w:val="20"/>
          <w:szCs w:val="20"/>
          <w:color w:val="auto"/>
        </w:rPr>
      </w:pPr>
    </w:p>
    <w:p>
      <w:pPr>
        <w:ind w:right="580"/>
        <w:spacing w:after="0" w:line="241" w:lineRule="auto"/>
        <w:rPr>
          <w:sz w:val="20"/>
          <w:szCs w:val="20"/>
          <w:color w:val="auto"/>
        </w:rPr>
      </w:pPr>
      <w:r>
        <w:rPr>
          <w:rFonts w:ascii="Arial" w:cs="Arial" w:eastAsia="Arial" w:hAnsi="Arial"/>
          <w:sz w:val="20"/>
          <w:szCs w:val="20"/>
          <w:color w:val="auto"/>
        </w:rPr>
        <w:t>The board of directors of MEI Pharma, Inc. (the “Company” or “MEI Pharma”) has adopted this Insider Trading Policy (the “Policy”) for our directors, officers, employees and consultants (collectively, “Insiders”) with respect to the trading of the Company’s securities, as well as the securities of publicly traded companies with whom we have a relationship.</w:t>
      </w:r>
    </w:p>
    <w:p>
      <w:pPr>
        <w:spacing w:after="0" w:line="171" w:lineRule="exact"/>
        <w:rPr>
          <w:sz w:val="20"/>
          <w:szCs w:val="20"/>
          <w:color w:val="auto"/>
        </w:rPr>
      </w:pPr>
    </w:p>
    <w:p>
      <w:pPr>
        <w:jc w:val="both"/>
        <w:ind w:right="120"/>
        <w:spacing w:after="0" w:line="243" w:lineRule="auto"/>
        <w:rPr>
          <w:sz w:val="20"/>
          <w:szCs w:val="20"/>
          <w:color w:val="auto"/>
        </w:rPr>
      </w:pPr>
      <w:r>
        <w:rPr>
          <w:rFonts w:ascii="Arial" w:cs="Arial" w:eastAsia="Arial" w:hAnsi="Arial"/>
          <w:sz w:val="19"/>
          <w:szCs w:val="19"/>
          <w:color w:val="auto"/>
        </w:rPr>
        <w:t>Federal and state securities laws prohibit the purchase or sale of a company’s securities by persons who are aware of material information about the company that is not generally known or available to the public. These laws also prohibit persons who are aware of such material nonpublic information from disclosing this information, directly or indirectly, to others who may trade.</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Companies and their controlling persons are also subject to liability if they fail to take reasonable steps to prevent insider trading by company personnel.</w:t>
      </w:r>
    </w:p>
    <w:p>
      <w:pPr>
        <w:spacing w:after="0" w:line="172" w:lineRule="exact"/>
        <w:rPr>
          <w:sz w:val="20"/>
          <w:szCs w:val="20"/>
          <w:color w:val="auto"/>
        </w:rPr>
      </w:pPr>
    </w:p>
    <w:p>
      <w:pPr>
        <w:jc w:val="both"/>
        <w:ind w:right="300"/>
        <w:spacing w:after="0" w:line="241" w:lineRule="auto"/>
        <w:rPr>
          <w:sz w:val="20"/>
          <w:szCs w:val="20"/>
          <w:color w:val="auto"/>
        </w:rPr>
      </w:pPr>
      <w:r>
        <w:rPr>
          <w:rFonts w:ascii="Arial" w:cs="Arial" w:eastAsia="Arial" w:hAnsi="Arial"/>
          <w:sz w:val="20"/>
          <w:szCs w:val="20"/>
          <w:color w:val="auto"/>
        </w:rPr>
        <w:t>It is important that you understand the breadth of activities that constitute illegal insider trading and the consequences, which can be severe. Both the U.S. Securities and Exchange Commission and the Nasdaq Stock Market, investigate and are very effective at detecting insider trading.</w:t>
      </w:r>
    </w:p>
    <w:p>
      <w:pPr>
        <w:spacing w:after="0" w:line="171" w:lineRule="exact"/>
        <w:rPr>
          <w:sz w:val="20"/>
          <w:szCs w:val="20"/>
          <w:color w:val="auto"/>
        </w:rPr>
      </w:pPr>
    </w:p>
    <w:p>
      <w:pPr>
        <w:jc w:val="both"/>
        <w:ind w:right="20"/>
        <w:spacing w:after="0" w:line="231" w:lineRule="auto"/>
        <w:rPr>
          <w:sz w:val="20"/>
          <w:szCs w:val="20"/>
          <w:color w:val="auto"/>
        </w:rPr>
      </w:pPr>
      <w:r>
        <w:rPr>
          <w:rFonts w:ascii="Arial" w:cs="Arial" w:eastAsia="Arial" w:hAnsi="Arial"/>
          <w:sz w:val="20"/>
          <w:szCs w:val="20"/>
          <w:color w:val="auto"/>
        </w:rPr>
        <w:t>The SEC, together with the U.S. Attorneys, pursue insider trading vigorously. Cases have been successfully prosecuted against trading by employees at all levels through foreign accounts, trading by family members and friends and trading involving only a small number of shares.</w:t>
      </w:r>
    </w:p>
    <w:p>
      <w:pPr>
        <w:spacing w:after="0" w:line="227" w:lineRule="auto"/>
        <w:rPr>
          <w:sz w:val="20"/>
          <w:szCs w:val="20"/>
          <w:color w:val="auto"/>
        </w:rPr>
      </w:pPr>
      <w:r>
        <w:rPr>
          <w:rFonts w:ascii="Arial" w:cs="Arial" w:eastAsia="Arial" w:hAnsi="Arial"/>
          <w:sz w:val="20"/>
          <w:szCs w:val="20"/>
          <w:color w:val="auto"/>
        </w:rPr>
        <w:t>This Policy is designed to prevent insider trading or allegations of insider trading, and to protect</w:t>
      </w:r>
    </w:p>
    <w:p>
      <w:pPr>
        <w:ind w:right="60"/>
        <w:spacing w:after="0" w:line="234" w:lineRule="auto"/>
        <w:rPr>
          <w:sz w:val="20"/>
          <w:szCs w:val="20"/>
          <w:color w:val="auto"/>
        </w:rPr>
      </w:pPr>
      <w:r>
        <w:rPr>
          <w:rFonts w:ascii="Arial" w:cs="Arial" w:eastAsia="Arial" w:hAnsi="Arial"/>
          <w:sz w:val="20"/>
          <w:szCs w:val="20"/>
          <w:color w:val="auto"/>
        </w:rPr>
        <w:t xml:space="preserve">MEI Pharma’s reputation for integrity and ethical conduct. It is your obligation to understand and comply with this Policy. Should you have any questions regarding this Policy, please contact the Company’s Chief Financial Officer, at 858-369-7111 or the Company’s Compliance Officer by e-mail at </w:t>
      </w:r>
      <w:r>
        <w:rPr>
          <w:rFonts w:ascii="Arial" w:cs="Arial" w:eastAsia="Arial" w:hAnsi="Arial"/>
          <w:sz w:val="20"/>
          <w:szCs w:val="20"/>
          <w:u w:val="single" w:color="auto"/>
          <w:color w:val="365F91"/>
        </w:rPr>
        <w:t>Compliance@MEIPharma.com</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PENALTIES FOR NONCOMPLIANCE</w:t>
      </w:r>
    </w:p>
    <w:p>
      <w:pPr>
        <w:spacing w:after="0" w:line="204" w:lineRule="exact"/>
        <w:rPr>
          <w:sz w:val="20"/>
          <w:szCs w:val="20"/>
          <w:color w:val="auto"/>
        </w:rPr>
      </w:pPr>
    </w:p>
    <w:p>
      <w:pPr>
        <w:ind w:right="2520"/>
        <w:spacing w:after="0" w:line="284" w:lineRule="auto"/>
        <w:rPr>
          <w:sz w:val="20"/>
          <w:szCs w:val="20"/>
          <w:color w:val="auto"/>
        </w:rPr>
      </w:pPr>
      <w:r>
        <w:rPr>
          <w:rFonts w:ascii="Arial" w:cs="Arial" w:eastAsia="Arial" w:hAnsi="Arial"/>
          <w:sz w:val="19"/>
          <w:szCs w:val="19"/>
          <w:i w:val="1"/>
          <w:iCs w:val="1"/>
          <w:color w:val="auto"/>
        </w:rPr>
        <w:t xml:space="preserve">Civil and Criminal Penalties. </w:t>
      </w:r>
      <w:r>
        <w:rPr>
          <w:rFonts w:ascii="Arial" w:cs="Arial" w:eastAsia="Arial" w:hAnsi="Arial"/>
          <w:sz w:val="19"/>
          <w:szCs w:val="19"/>
          <w:color w:val="auto"/>
        </w:rPr>
        <w:t>Potential penalties for insider trading violations include (1)</w:t>
      </w:r>
      <w:r>
        <w:rPr>
          <w:rFonts w:ascii="Arial" w:cs="Arial" w:eastAsia="Arial" w:hAnsi="Arial"/>
          <w:sz w:val="19"/>
          <w:szCs w:val="19"/>
          <w:i w:val="1"/>
          <w:iCs w:val="1"/>
          <w:color w:val="auto"/>
        </w:rPr>
        <w:t xml:space="preserve"> </w:t>
      </w:r>
      <w:r>
        <w:rPr>
          <w:rFonts w:ascii="Arial" w:cs="Arial" w:eastAsia="Arial" w:hAnsi="Arial"/>
          <w:sz w:val="19"/>
          <w:szCs w:val="19"/>
          <w:color w:val="auto"/>
        </w:rPr>
        <w:t>Imprisonment, (2) criminal fines and (3) civil fines of up to 3 times the profit gained, or loss avoided.</w:t>
      </w:r>
    </w:p>
    <w:p>
      <w:pPr>
        <w:spacing w:after="0" w:line="131" w:lineRule="exact"/>
        <w:rPr>
          <w:sz w:val="20"/>
          <w:szCs w:val="20"/>
          <w:color w:val="auto"/>
        </w:rPr>
      </w:pPr>
    </w:p>
    <w:p>
      <w:pPr>
        <w:spacing w:after="0" w:line="234" w:lineRule="auto"/>
        <w:rPr>
          <w:sz w:val="20"/>
          <w:szCs w:val="20"/>
          <w:color w:val="auto"/>
        </w:rPr>
      </w:pPr>
      <w:r>
        <w:rPr>
          <w:rFonts w:ascii="Arial" w:cs="Arial" w:eastAsia="Arial" w:hAnsi="Arial"/>
          <w:sz w:val="20"/>
          <w:szCs w:val="20"/>
          <w:i w:val="1"/>
          <w:iCs w:val="1"/>
          <w:color w:val="auto"/>
        </w:rPr>
        <w:t xml:space="preserve">Controlling Person Liability. </w:t>
      </w:r>
      <w:r>
        <w:rPr>
          <w:rFonts w:ascii="Arial" w:cs="Arial" w:eastAsia="Arial" w:hAnsi="Arial"/>
          <w:sz w:val="20"/>
          <w:szCs w:val="20"/>
          <w:color w:val="auto"/>
        </w:rPr>
        <w:t>If MEI Pharma fails to take appropriate steps to prevent illegal insider trading, the Company may</w:t>
      </w:r>
      <w:r>
        <w:rPr>
          <w:rFonts w:ascii="Arial" w:cs="Arial" w:eastAsia="Arial" w:hAnsi="Arial"/>
          <w:sz w:val="20"/>
          <w:szCs w:val="20"/>
          <w:i w:val="1"/>
          <w:iCs w:val="1"/>
          <w:color w:val="auto"/>
        </w:rPr>
        <w:t xml:space="preserve"> </w:t>
      </w:r>
      <w:r>
        <w:rPr>
          <w:rFonts w:ascii="Arial" w:cs="Arial" w:eastAsia="Arial" w:hAnsi="Arial"/>
          <w:sz w:val="20"/>
          <w:szCs w:val="20"/>
          <w:color w:val="auto"/>
        </w:rPr>
        <w:t>have “controlling person” liability for a trading violation, with civil penalties of up to the greater of a significant fixed monetary penalty amount or 3 times the profit gained or loss avoided, as well as a significant criminal penalty fine. The civil penalties can extend personal liability to MEI Pharma’s directors, officers and other supervisory personnel, if they fail to take appropriate steps to prevent insider trading.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Reviewed &amp; Approved: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5" w:right="379" w:bottom="1440" w:gutter="0" w:footer="0" w:header="0"/>
        </w:sectPr>
      </w:pPr>
    </w:p>
    <w:bookmarkStart w:id="98" w:name="page99"/>
    <w:bookmarkEnd w:id="98"/>
    <w:p>
      <w:pPr>
        <w:ind w:right="620"/>
        <w:spacing w:after="0" w:line="257" w:lineRule="auto"/>
        <w:rPr>
          <w:sz w:val="20"/>
          <w:szCs w:val="20"/>
          <w:color w:val="auto"/>
        </w:rPr>
      </w:pPr>
      <w:r>
        <w:rPr>
          <w:rFonts w:ascii="Arial" w:cs="Arial" w:eastAsia="Arial" w:hAnsi="Arial"/>
          <w:sz w:val="20"/>
          <w:szCs w:val="20"/>
          <w:i w:val="1"/>
          <w:iCs w:val="1"/>
          <w:color w:val="auto"/>
        </w:rPr>
        <w:t xml:space="preserve">Company Sanctions. </w:t>
      </w:r>
      <w:r>
        <w:rPr>
          <w:rFonts w:ascii="Arial" w:cs="Arial" w:eastAsia="Arial" w:hAnsi="Arial"/>
          <w:sz w:val="20"/>
          <w:szCs w:val="20"/>
          <w:color w:val="auto"/>
        </w:rPr>
        <w:t>Failure to comply with this Policy may also subject you to MEI Pharma imposed sanctions, including</w:t>
      </w:r>
      <w:r>
        <w:rPr>
          <w:rFonts w:ascii="Arial" w:cs="Arial" w:eastAsia="Arial" w:hAnsi="Arial"/>
          <w:sz w:val="20"/>
          <w:szCs w:val="20"/>
          <w:i w:val="1"/>
          <w:iCs w:val="1"/>
          <w:color w:val="auto"/>
        </w:rPr>
        <w:t xml:space="preserve"> </w:t>
      </w:r>
      <w:r>
        <w:rPr>
          <w:rFonts w:ascii="Arial" w:cs="Arial" w:eastAsia="Arial" w:hAnsi="Arial"/>
          <w:sz w:val="20"/>
          <w:szCs w:val="20"/>
          <w:color w:val="auto"/>
        </w:rPr>
        <w:t>dismissal for cause, whether or not your failure to comply with this Policy results in violations of law.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SCOPE OF POLICY</w:t>
      </w:r>
    </w:p>
    <w:p>
      <w:pPr>
        <w:spacing w:after="0" w:line="204" w:lineRule="exact"/>
        <w:rPr>
          <w:sz w:val="20"/>
          <w:szCs w:val="20"/>
          <w:color w:val="auto"/>
        </w:rPr>
      </w:pPr>
    </w:p>
    <w:p>
      <w:pPr>
        <w:spacing w:after="0" w:line="233" w:lineRule="auto"/>
        <w:rPr>
          <w:sz w:val="20"/>
          <w:szCs w:val="20"/>
          <w:color w:val="auto"/>
        </w:rPr>
      </w:pPr>
      <w:r>
        <w:rPr>
          <w:rFonts w:ascii="Arial" w:cs="Arial" w:eastAsia="Arial" w:hAnsi="Arial"/>
          <w:sz w:val="20"/>
          <w:szCs w:val="20"/>
          <w:i w:val="1"/>
          <w:iCs w:val="1"/>
          <w:color w:val="auto"/>
        </w:rPr>
        <w:t xml:space="preserve">Persons Covered. </w:t>
      </w:r>
      <w:r>
        <w:rPr>
          <w:rFonts w:ascii="Arial" w:cs="Arial" w:eastAsia="Arial" w:hAnsi="Arial"/>
          <w:sz w:val="20"/>
          <w:szCs w:val="20"/>
          <w:color w:val="auto"/>
        </w:rPr>
        <w:t>As a director, officer, employee or consultant of MEI Pharma or its subsidiary, this Policy applies to you. The</w:t>
      </w:r>
      <w:r>
        <w:rPr>
          <w:rFonts w:ascii="Arial" w:cs="Arial" w:eastAsia="Arial" w:hAnsi="Arial"/>
          <w:sz w:val="20"/>
          <w:szCs w:val="20"/>
          <w:i w:val="1"/>
          <w:iCs w:val="1"/>
          <w:color w:val="auto"/>
        </w:rPr>
        <w:t xml:space="preserve"> </w:t>
      </w:r>
      <w:r>
        <w:rPr>
          <w:rFonts w:ascii="Arial" w:cs="Arial" w:eastAsia="Arial" w:hAnsi="Arial"/>
          <w:sz w:val="20"/>
          <w:szCs w:val="20"/>
          <w:color w:val="auto"/>
        </w:rPr>
        <w:t>same restrictions that apply to you apply to your family members who reside with you, anyone else who lives in your household and any family members who do not live in your household but whose transactions in MEI Pharma securities are directed by you or are subject to your influence or control (such as parents or children who consult with you before they trade in MEI Pharma securities). You are responsible for making sure that the purchase or sale of any security covered by this Policy by any such person complies with this Policy.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Companies Covered. </w:t>
      </w:r>
      <w:r>
        <w:rPr>
          <w:rFonts w:ascii="Arial" w:cs="Arial" w:eastAsia="Arial" w:hAnsi="Arial"/>
          <w:sz w:val="20"/>
          <w:szCs w:val="20"/>
          <w:color w:val="auto"/>
        </w:rPr>
        <w:t>The prohibition on insider trading in this Policy is not limited to trading in</w:t>
      </w:r>
    </w:p>
    <w:p>
      <w:pPr>
        <w:spacing w:after="0" w:line="4" w:lineRule="exact"/>
        <w:rPr>
          <w:sz w:val="20"/>
          <w:szCs w:val="20"/>
          <w:color w:val="auto"/>
        </w:rPr>
      </w:pPr>
    </w:p>
    <w:p>
      <w:pPr>
        <w:ind w:right="180"/>
        <w:spacing w:after="0" w:line="231" w:lineRule="auto"/>
        <w:rPr>
          <w:sz w:val="20"/>
          <w:szCs w:val="20"/>
          <w:color w:val="auto"/>
        </w:rPr>
      </w:pPr>
      <w:r>
        <w:rPr>
          <w:rFonts w:ascii="Arial" w:cs="Arial" w:eastAsia="Arial" w:hAnsi="Arial"/>
          <w:sz w:val="20"/>
          <w:szCs w:val="20"/>
          <w:color w:val="auto"/>
        </w:rPr>
        <w:t>MEI Pharma’s securities. It includes trading in the securities of other firms, such as customers or suppliers of MEI Pharma and those with which MEI Pharma may be negotiating major transactions, such as a corporate collaboration, license, acquisition, investment or sale. Information that is not material to the Company may nevertheless be material to one of those other firms. The prohibition on insider trading in this Policy also applies to trading in the securities of all other companies from which you have obtained material nonpublic information in the scope of your employment.</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20"/>
          <w:szCs w:val="20"/>
          <w:i w:val="1"/>
          <w:iCs w:val="1"/>
          <w:color w:val="auto"/>
        </w:rPr>
        <w:t xml:space="preserve">Transactions Covered. </w:t>
      </w:r>
      <w:r>
        <w:rPr>
          <w:rFonts w:ascii="Arial" w:cs="Arial" w:eastAsia="Arial" w:hAnsi="Arial"/>
          <w:sz w:val="20"/>
          <w:szCs w:val="20"/>
          <w:color w:val="auto"/>
        </w:rPr>
        <w:t>Trading includes purchases and sales of stock, derivative securities in hedging transactions such as put</w:t>
      </w:r>
      <w:r>
        <w:rPr>
          <w:rFonts w:ascii="Arial" w:cs="Arial" w:eastAsia="Arial" w:hAnsi="Arial"/>
          <w:sz w:val="20"/>
          <w:szCs w:val="20"/>
          <w:i w:val="1"/>
          <w:iCs w:val="1"/>
          <w:color w:val="auto"/>
        </w:rPr>
        <w:t xml:space="preserve"> </w:t>
      </w:r>
      <w:r>
        <w:rPr>
          <w:rFonts w:ascii="Arial" w:cs="Arial" w:eastAsia="Arial" w:hAnsi="Arial"/>
          <w:sz w:val="20"/>
          <w:szCs w:val="20"/>
          <w:color w:val="auto"/>
        </w:rPr>
        <w:t>and call options and short and long sales, convertible debentures or preferred stock, and debt securities (debentures, bonds and notes).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OF POLICY</w:t>
      </w:r>
    </w:p>
    <w:p>
      <w:pPr>
        <w:spacing w:after="0" w:line="204"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i w:val="1"/>
          <w:iCs w:val="1"/>
          <w:color w:val="auto"/>
        </w:rPr>
        <w:t xml:space="preserve">No Trading on Inside Information. </w:t>
      </w:r>
      <w:r>
        <w:rPr>
          <w:rFonts w:ascii="Arial" w:cs="Arial" w:eastAsia="Arial" w:hAnsi="Arial"/>
          <w:sz w:val="20"/>
          <w:szCs w:val="20"/>
          <w:color w:val="auto"/>
        </w:rPr>
        <w:t>You may not trade in the securities of MEI Pharma, directly or through family members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 persons or entities, if you are aware of material nonpublic information relating to the Company. Similarly, you may not trade in the securities of any other company if you are aware of material nonpublic information about that company which you obtained in the course of your employment with MEI Pharma.</w:t>
      </w:r>
    </w:p>
    <w:p>
      <w:pPr>
        <w:spacing w:after="0" w:line="172"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i w:val="1"/>
          <w:iCs w:val="1"/>
          <w:color w:val="auto"/>
        </w:rPr>
        <w:t xml:space="preserve">No Tipping. </w:t>
      </w:r>
      <w:r>
        <w:rPr>
          <w:rFonts w:ascii="Arial" w:cs="Arial" w:eastAsia="Arial" w:hAnsi="Arial"/>
          <w:sz w:val="20"/>
          <w:szCs w:val="20"/>
          <w:color w:val="auto"/>
        </w:rPr>
        <w:t>You may not pass material nonpublic information directly or indirectly on to others or recommend to anyone the</w:t>
      </w:r>
      <w:r>
        <w:rPr>
          <w:rFonts w:ascii="Arial" w:cs="Arial" w:eastAsia="Arial" w:hAnsi="Arial"/>
          <w:sz w:val="20"/>
          <w:szCs w:val="20"/>
          <w:i w:val="1"/>
          <w:iCs w:val="1"/>
          <w:color w:val="auto"/>
        </w:rPr>
        <w:t xml:space="preserve"> </w:t>
      </w:r>
      <w:r>
        <w:rPr>
          <w:rFonts w:ascii="Arial" w:cs="Arial" w:eastAsia="Arial" w:hAnsi="Arial"/>
          <w:sz w:val="20"/>
          <w:szCs w:val="20"/>
          <w:color w:val="auto"/>
        </w:rPr>
        <w:t>purchase or sale of any securities when you are aware of such information. This practice, known as “tipping,” also violates the securities laws and can result in the same civil and criminal penalties that apply to insider trading, even though you did not trade and did not gain any benefit from another’s trading.</w:t>
      </w:r>
    </w:p>
    <w:p>
      <w:pPr>
        <w:spacing w:after="0" w:line="172"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i w:val="1"/>
          <w:iCs w:val="1"/>
          <w:color w:val="auto"/>
        </w:rPr>
        <w:t>No Recommendations</w:t>
      </w:r>
      <w:r>
        <w:rPr>
          <w:rFonts w:ascii="Arial" w:cs="Arial" w:eastAsia="Arial" w:hAnsi="Arial"/>
          <w:sz w:val="20"/>
          <w:szCs w:val="20"/>
          <w:color w:val="auto"/>
        </w:rPr>
        <w:t>. You may not make recommendations or express opinions to any person about trading in securities of</w:t>
      </w:r>
      <w:r>
        <w:rPr>
          <w:rFonts w:ascii="Arial" w:cs="Arial" w:eastAsia="Arial" w:hAnsi="Arial"/>
          <w:sz w:val="20"/>
          <w:szCs w:val="20"/>
          <w:i w:val="1"/>
          <w:iCs w:val="1"/>
          <w:color w:val="auto"/>
        </w:rPr>
        <w:t xml:space="preserve"> </w:t>
      </w:r>
      <w:r>
        <w:rPr>
          <w:rFonts w:ascii="Arial" w:cs="Arial" w:eastAsia="Arial" w:hAnsi="Arial"/>
          <w:sz w:val="20"/>
          <w:szCs w:val="20"/>
          <w:color w:val="auto"/>
        </w:rPr>
        <w:t>MEI Pharma on the basis of material nonpublic information, even if the specific material nonpublic information is not shared with the other party. You may not also answer questions or provide information, including material nonpublic information, about MEI Pharma and its business affairs to outsiders unless specifically authorized to do so, or as required by law.</w:t>
      </w:r>
    </w:p>
    <w:p>
      <w:pPr>
        <w:spacing w:after="0" w:line="172" w:lineRule="exact"/>
        <w:rPr>
          <w:sz w:val="20"/>
          <w:szCs w:val="20"/>
          <w:color w:val="auto"/>
        </w:rPr>
      </w:pPr>
    </w:p>
    <w:p>
      <w:pPr>
        <w:ind w:right="400"/>
        <w:spacing w:after="0" w:line="257" w:lineRule="auto"/>
        <w:rPr>
          <w:sz w:val="20"/>
          <w:szCs w:val="20"/>
          <w:color w:val="auto"/>
        </w:rPr>
      </w:pPr>
      <w:r>
        <w:rPr>
          <w:rFonts w:ascii="Arial" w:cs="Arial" w:eastAsia="Arial" w:hAnsi="Arial"/>
          <w:sz w:val="20"/>
          <w:szCs w:val="20"/>
          <w:i w:val="1"/>
          <w:iCs w:val="1"/>
          <w:color w:val="auto"/>
        </w:rPr>
        <w:t xml:space="preserve">No Exception for Hardship. </w:t>
      </w:r>
      <w:r>
        <w:rPr>
          <w:rFonts w:ascii="Arial" w:cs="Arial" w:eastAsia="Arial" w:hAnsi="Arial"/>
          <w:sz w:val="20"/>
          <w:szCs w:val="20"/>
          <w:color w:val="auto"/>
        </w:rPr>
        <w:t>The existence of a personal financial emergency does not excuse you from compliance with this</w:t>
      </w:r>
      <w:r>
        <w:rPr>
          <w:rFonts w:ascii="Arial" w:cs="Arial" w:eastAsia="Arial" w:hAnsi="Arial"/>
          <w:sz w:val="20"/>
          <w:szCs w:val="20"/>
          <w:i w:val="1"/>
          <w:iCs w:val="1"/>
          <w:color w:val="auto"/>
        </w:rPr>
        <w:t xml:space="preserve"> </w:t>
      </w:r>
      <w:r>
        <w:rPr>
          <w:rFonts w:ascii="Arial" w:cs="Arial" w:eastAsia="Arial" w:hAnsi="Arial"/>
          <w:sz w:val="20"/>
          <w:szCs w:val="20"/>
          <w:color w:val="auto"/>
        </w:rPr>
        <w:t>Policy.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Reviewed &amp; Approved: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7" w:right="359" w:bottom="1440" w:gutter="0" w:footer="0" w:header="0"/>
        </w:sectPr>
      </w:pPr>
    </w:p>
    <w:bookmarkStart w:id="99" w:name="page100"/>
    <w:bookmarkEnd w:id="99"/>
    <w:p>
      <w:pPr>
        <w:ind w:right="40"/>
        <w:spacing w:after="0" w:line="228" w:lineRule="auto"/>
        <w:rPr>
          <w:sz w:val="20"/>
          <w:szCs w:val="20"/>
          <w:color w:val="auto"/>
        </w:rPr>
      </w:pPr>
      <w:r>
        <w:rPr>
          <w:rFonts w:ascii="Arial" w:cs="Arial" w:eastAsia="Arial" w:hAnsi="Arial"/>
          <w:sz w:val="20"/>
          <w:szCs w:val="20"/>
          <w:i w:val="1"/>
          <w:iCs w:val="1"/>
          <w:color w:val="auto"/>
        </w:rPr>
        <w:t xml:space="preserve">Pre-Clearance Procedures. </w:t>
      </w:r>
      <w:r>
        <w:rPr>
          <w:rFonts w:ascii="Arial" w:cs="Arial" w:eastAsia="Arial" w:hAnsi="Arial"/>
          <w:sz w:val="20"/>
          <w:szCs w:val="20"/>
          <w:color w:val="auto"/>
        </w:rPr>
        <w:t>To help prevent inadvertent violations of the federal securities laws and to avoid even the</w:t>
      </w:r>
      <w:r>
        <w:rPr>
          <w:rFonts w:ascii="Arial" w:cs="Arial" w:eastAsia="Arial" w:hAnsi="Arial"/>
          <w:sz w:val="20"/>
          <w:szCs w:val="20"/>
          <w:i w:val="1"/>
          <w:iCs w:val="1"/>
          <w:color w:val="auto"/>
        </w:rPr>
        <w:t xml:space="preserve"> </w:t>
      </w:r>
      <w:r>
        <w:rPr>
          <w:rFonts w:ascii="Arial" w:cs="Arial" w:eastAsia="Arial" w:hAnsi="Arial"/>
          <w:sz w:val="20"/>
          <w:szCs w:val="20"/>
          <w:color w:val="auto"/>
        </w:rPr>
        <w:t>appearance of trading on the basis of inside information, MEI Pharma’s board of directors has adopted certain Pre-Clearance Procedures. All Insiders of MEI Pharma may not engage in any transaction involving MEI Pharma’s securities (including an option exercise, or a gift, loan, pledge or hedge, contribution to a trust or any other transfer) without first obtaining pre-clearance of the transaction from the Company’s Chief Financial Officer or if the Company’s Chief Financial Officer is unavailable, by the Chief Executive Officer. A request for pre-clearance should be submitted to the Chief Financial Officer at least two business days in advance of the proposed transaction whenever possible. The Chief Executive Officer himself may not trade in MEI Pharma securities unless the Company’s Chief Financial Officer or, if the Company’s Chief Financial Officer is unavailable, the Company’s Chief Operating Officer, has approved the trade(s) in accordance with the procedures set forth in this Policy. The Chief Financial Officer himself may not trade in MEI Pharma securities unless the Company’s Chief Executive Officer or, if the Company’s Chief Executive Officer is unavailable, the Company’s Chief Operating Officer, has approved the trade(s) in accordance with the procedures set forth in this Policy. However, none of the Company’s Chief Executive Officer, Chief Financial Officer or Chief Operating Officer (each, the “Applicable Compliance Officer”) is under any obligation to approve a trade submitted for pre-clearance, and such Applicable Compliance Officer may determine not to permit the trade.</w:t>
      </w:r>
    </w:p>
    <w:p>
      <w:pPr>
        <w:spacing w:after="0" w:line="181" w:lineRule="exact"/>
        <w:rPr>
          <w:sz w:val="20"/>
          <w:szCs w:val="20"/>
          <w:color w:val="auto"/>
        </w:rPr>
      </w:pPr>
    </w:p>
    <w:p>
      <w:pPr>
        <w:spacing w:after="0" w:line="232" w:lineRule="auto"/>
        <w:rPr>
          <w:sz w:val="20"/>
          <w:szCs w:val="20"/>
          <w:color w:val="auto"/>
        </w:rPr>
      </w:pPr>
      <w:r>
        <w:rPr>
          <w:rFonts w:ascii="Arial" w:cs="Arial" w:eastAsia="Arial" w:hAnsi="Arial"/>
          <w:sz w:val="20"/>
          <w:szCs w:val="20"/>
          <w:i w:val="1"/>
          <w:iCs w:val="1"/>
          <w:color w:val="auto"/>
        </w:rPr>
        <w:t xml:space="preserve">Stock Trading Periods (“Windows”) and Related Procedures. </w:t>
      </w:r>
      <w:r>
        <w:rPr>
          <w:rFonts w:ascii="Arial" w:cs="Arial" w:eastAsia="Arial" w:hAnsi="Arial"/>
          <w:sz w:val="20"/>
          <w:szCs w:val="20"/>
          <w:color w:val="auto"/>
        </w:rPr>
        <w:t>All Insiders of the Company are subject to certain Windows-Related Procedures. In general, Insiders of MEI Pharma may freely buy or sell the Company’s stock when the trading Window is open as long as they are not in possession of material nonpublic information and they first obtain pre-clearance for a proposed transaction from the Applicable Compliance Officer, as explained in this Policy. However, Insiders may not buy or sell the Company’s stock when the Window is closed. Officers of the Company will notify Insiders, by e-mail or otherwise, that trading of MEI Pharma securities or any other company is prohibited (i.e. that the Window is closed). Windows will generally be closed during the following time periods:</w:t>
      </w:r>
    </w:p>
    <w:p>
      <w:pPr>
        <w:spacing w:after="0" w:line="172" w:lineRule="exact"/>
        <w:rPr>
          <w:sz w:val="20"/>
          <w:szCs w:val="20"/>
          <w:color w:val="auto"/>
        </w:rPr>
      </w:pPr>
    </w:p>
    <w:p>
      <w:pPr>
        <w:ind w:left="940" w:right="120" w:hanging="183"/>
        <w:spacing w:after="0" w:line="234" w:lineRule="auto"/>
        <w:tabs>
          <w:tab w:leader="none" w:pos="877" w:val="left"/>
        </w:tabs>
        <w:numPr>
          <w:ilvl w:val="0"/>
          <w:numId w:val="69"/>
        </w:numPr>
        <w:rPr>
          <w:rFonts w:ascii="Arial" w:cs="Arial" w:eastAsia="Arial" w:hAnsi="Arial"/>
          <w:sz w:val="20"/>
          <w:szCs w:val="20"/>
          <w:color w:val="auto"/>
        </w:rPr>
      </w:pPr>
      <w:r>
        <w:rPr>
          <w:rFonts w:ascii="Arial" w:cs="Arial" w:eastAsia="Arial" w:hAnsi="Arial"/>
          <w:sz w:val="20"/>
          <w:szCs w:val="20"/>
          <w:i w:val="1"/>
          <w:iCs w:val="1"/>
          <w:color w:val="auto"/>
        </w:rPr>
        <w:t xml:space="preserve">Quarterly Closed Window Periods. </w:t>
      </w:r>
      <w:r>
        <w:rPr>
          <w:rFonts w:ascii="Arial" w:cs="Arial" w:eastAsia="Arial" w:hAnsi="Arial"/>
          <w:sz w:val="20"/>
          <w:szCs w:val="20"/>
          <w:color w:val="auto"/>
        </w:rPr>
        <w:t>The Company’s announcement of its quarterly financial results almost always has</w:t>
      </w:r>
      <w:r>
        <w:rPr>
          <w:rFonts w:ascii="Arial" w:cs="Arial" w:eastAsia="Arial" w:hAnsi="Arial"/>
          <w:sz w:val="20"/>
          <w:szCs w:val="20"/>
          <w:i w:val="1"/>
          <w:iCs w:val="1"/>
          <w:color w:val="auto"/>
        </w:rPr>
        <w:t xml:space="preserve"> </w:t>
      </w:r>
      <w:r>
        <w:rPr>
          <w:rFonts w:ascii="Arial" w:cs="Arial" w:eastAsia="Arial" w:hAnsi="Arial"/>
          <w:sz w:val="20"/>
          <w:szCs w:val="20"/>
          <w:color w:val="auto"/>
        </w:rPr>
        <w:t>the potential to have a material effect on the market for the Company’s securities. Therefore, to avoid even the appearance of trading on the basis of material nonpublic information, you may not trade in the Company’s securities during the period beginning after the last trading day of each quarter end and ending after the second full business day following the release of the Company’s earnings for that quarter.</w:t>
      </w:r>
    </w:p>
    <w:p>
      <w:pPr>
        <w:spacing w:after="0" w:line="174" w:lineRule="exact"/>
        <w:rPr>
          <w:rFonts w:ascii="Arial" w:cs="Arial" w:eastAsia="Arial" w:hAnsi="Arial"/>
          <w:sz w:val="20"/>
          <w:szCs w:val="20"/>
          <w:color w:val="auto"/>
        </w:rPr>
      </w:pPr>
    </w:p>
    <w:p>
      <w:pPr>
        <w:ind w:left="940" w:right="20" w:hanging="183"/>
        <w:spacing w:after="0" w:line="233" w:lineRule="auto"/>
        <w:tabs>
          <w:tab w:leader="none" w:pos="877" w:val="left"/>
        </w:tabs>
        <w:numPr>
          <w:ilvl w:val="0"/>
          <w:numId w:val="69"/>
        </w:numPr>
        <w:rPr>
          <w:rFonts w:ascii="Arial" w:cs="Arial" w:eastAsia="Arial" w:hAnsi="Arial"/>
          <w:sz w:val="20"/>
          <w:szCs w:val="20"/>
          <w:color w:val="auto"/>
        </w:rPr>
      </w:pPr>
      <w:r>
        <w:rPr>
          <w:rFonts w:ascii="Arial" w:cs="Arial" w:eastAsia="Arial" w:hAnsi="Arial"/>
          <w:sz w:val="20"/>
          <w:szCs w:val="20"/>
          <w:i w:val="1"/>
          <w:iCs w:val="1"/>
          <w:color w:val="auto"/>
        </w:rPr>
        <w:t xml:space="preserve">Closed Window Periods for Interim Earnings Releases and Event-Specific Releases. </w:t>
      </w:r>
      <w:r>
        <w:rPr>
          <w:rFonts w:ascii="Arial" w:cs="Arial" w:eastAsia="Arial" w:hAnsi="Arial"/>
          <w:sz w:val="20"/>
          <w:szCs w:val="20"/>
          <w:color w:val="auto"/>
        </w:rPr>
        <w:t>The Company may on occasion</w:t>
      </w:r>
      <w:r>
        <w:rPr>
          <w:rFonts w:ascii="Arial" w:cs="Arial" w:eastAsia="Arial" w:hAnsi="Arial"/>
          <w:sz w:val="20"/>
          <w:szCs w:val="20"/>
          <w:i w:val="1"/>
          <w:iCs w:val="1"/>
          <w:color w:val="auto"/>
        </w:rPr>
        <w:t xml:space="preserve"> </w:t>
      </w:r>
      <w:r>
        <w:rPr>
          <w:rFonts w:ascii="Arial" w:cs="Arial" w:eastAsia="Arial" w:hAnsi="Arial"/>
          <w:sz w:val="20"/>
          <w:szCs w:val="20"/>
          <w:color w:val="auto"/>
        </w:rPr>
        <w:t>issue interim earnings guidance or other potentially material information such as execution of an important contract or product development milestone, by means of a press release, SEC filing on Form 8-K, other SEC filing or other means designed to achieve widespread dissemination of the information. You should anticipate that the window will also be closed while the Company is in the process of assembling the information to be released until the second full business day following the release of that information.</w:t>
      </w:r>
    </w:p>
    <w:p>
      <w:pPr>
        <w:spacing w:after="0" w:line="172"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Windows may also be closed during times that the Company’s General Counsel in consultation with the Company’s appropriate executive officers deems appropriate.</w:t>
      </w:r>
    </w:p>
    <w:p>
      <w:pPr>
        <w:spacing w:after="0" w:line="155"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i w:val="1"/>
          <w:iCs w:val="1"/>
          <w:color w:val="auto"/>
        </w:rPr>
        <w:t xml:space="preserve">Exceptions for Approved 10b5-1 Plans. </w:t>
      </w:r>
      <w:r>
        <w:rPr>
          <w:rFonts w:ascii="Arial" w:cs="Arial" w:eastAsia="Arial" w:hAnsi="Arial"/>
          <w:sz w:val="20"/>
          <w:szCs w:val="20"/>
          <w:color w:val="auto"/>
        </w:rPr>
        <w:t>In certain circumstances, the Company may adopt a 10b5-1 selling program under Rule</w:t>
      </w:r>
      <w:r>
        <w:rPr>
          <w:rFonts w:ascii="Arial" w:cs="Arial" w:eastAsia="Arial" w:hAnsi="Arial"/>
          <w:sz w:val="20"/>
          <w:szCs w:val="20"/>
          <w:i w:val="1"/>
          <w:iCs w:val="1"/>
          <w:color w:val="auto"/>
        </w:rPr>
        <w:t xml:space="preserve"> </w:t>
      </w:r>
      <w:r>
        <w:rPr>
          <w:rFonts w:ascii="Arial" w:cs="Arial" w:eastAsia="Arial" w:hAnsi="Arial"/>
          <w:sz w:val="20"/>
          <w:szCs w:val="20"/>
          <w:color w:val="auto"/>
        </w:rPr>
        <w:t>10b-5 of the Securities Exchange Act of 1934, as amended (the “Exchange Act”) after prior review and consent of the Company’s Chief Executive Officer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Reviewed &amp; Approved: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7" w:right="359" w:bottom="1440" w:gutter="0" w:footer="0" w:header="0"/>
        </w:sectPr>
      </w:pPr>
    </w:p>
    <w:bookmarkStart w:id="100" w:name="page101"/>
    <w:bookmarkEnd w:id="100"/>
    <w:p>
      <w:pPr>
        <w:spacing w:after="0" w:line="229" w:lineRule="auto"/>
        <w:rPr>
          <w:sz w:val="20"/>
          <w:szCs w:val="20"/>
          <w:color w:val="auto"/>
        </w:rPr>
      </w:pPr>
      <w:r>
        <w:rPr>
          <w:rFonts w:ascii="Arial" w:cs="Arial" w:eastAsia="Arial" w:hAnsi="Arial"/>
          <w:sz w:val="20"/>
          <w:szCs w:val="20"/>
          <w:color w:val="auto"/>
        </w:rPr>
        <w:t>and Chief Financial Officer. 10b5-1 selling programs generally may not be adopted when the Window is closed and may only be adopted while the person adopting the program is not aware of any material nonpublic information. Trades by individuals in the Company’s securities that are executed pursuant to such an approved 10b5-1 plan are not subject to the prohibition on trading on the basis of material nonpublic information contained in this Policy or to the restrictions set forth above relating to pre-clearance procedures and Windows. Rule 10b5-1 provides an affirmative defense from insider trading liability under the federal securities laws for trading programs that meet certain requirements. Once the program is adopted, you must not exercise any influence over the amount of securities to be traded, the price at which they are to be traded or the date of the trade. The program must either specify (including by formula) the amount, pricing and timing of transactions in advance or delegate discretion on those matters to any independent third party. Additionally, the 10b5-1 plan must include a representation certifying that (i) at the time the 10b5-1 plan was adopted or modified the Insider was not aware of material nonpublic information and (ii) the Insider adopted or modified the 10b5-1 plan in good faith and not as part of a plan or scheme to evade the prohibitions of Rule 10b-5 of the Exchange Act.</w:t>
      </w:r>
    </w:p>
    <w:p>
      <w:pPr>
        <w:spacing w:after="0" w:line="175"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Any individual who wishes to enter into a 10b5-1 plan must submit the 10b5-1 plan to the Company for prior written approval. Subsequent modifications, amendments, replacements, or early terminations of any 10b5-1 plan must also be pre-approved by the Company. Whether or not pre-approval will be granted will depend on all the facts and circumstances at the time.</w:t>
      </w:r>
    </w:p>
    <w:p>
      <w:pPr>
        <w:spacing w:after="0" w:line="387"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10b5-1 plans for directors and Section 16 officers are prohibited from trading in MEI Pharma securities pursuant to a 10b5-1 plan until the later of (i) 90 days following the 10b5-1 plan’s adoption or modification or (ii) two business days following MEI Pharma’s disclosure of its financial results for the fiscal quarter in which the 10b5-1 plan was adopted or modified in an Annual Report on Form 10-K or a Quarterly Report on Form 10-Q (the “Covered Insider Cooling-Off Period”); provided, however, the Covered Insider Cooling-Off Period shall not exceed 120 days following the adoption or modification of the 10b5-1 plan. An individual who is not an Insider must comply with all applicable requirements of Rule 10b5-1, including, without limitation, any required cooling-off periods.</w:t>
      </w:r>
    </w:p>
    <w:p>
      <w:pPr>
        <w:spacing w:after="0" w:line="172"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In connection with an Insider’s entry into any 10b5-1 plan, the Insider agrees to promptly provide to MEI Pharma upon request any information relating to the 10b5-1 plan that would assist MEI Pharma in timely satisfying its disclosure obligations in connection with required Quarterly Reports on Form 10-Q, Annual Reports on Form 10-K, proxy statements, filings on Forms 3, 4, and 5, and other SEC filings.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MATERIAL NONPUBLIC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Note that inside information has two important elements - (1) materiality and (2) public availability.</w:t>
      </w:r>
    </w:p>
    <w:p>
      <w:pPr>
        <w:spacing w:after="0" w:line="202"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i w:val="1"/>
          <w:iCs w:val="1"/>
          <w:color w:val="auto"/>
        </w:rPr>
        <w:t xml:space="preserve">Materiality. </w:t>
      </w:r>
      <w:r>
        <w:rPr>
          <w:rFonts w:ascii="Arial" w:cs="Arial" w:eastAsia="Arial" w:hAnsi="Arial"/>
          <w:sz w:val="20"/>
          <w:szCs w:val="20"/>
          <w:color w:val="auto"/>
        </w:rPr>
        <w:t>Information is material if there is a substantial likelihood that a reasonable investor would consider it important in</w:t>
      </w:r>
      <w:r>
        <w:rPr>
          <w:rFonts w:ascii="Arial" w:cs="Arial" w:eastAsia="Arial" w:hAnsi="Arial"/>
          <w:sz w:val="20"/>
          <w:szCs w:val="20"/>
          <w:i w:val="1"/>
          <w:iCs w:val="1"/>
          <w:color w:val="auto"/>
        </w:rPr>
        <w:t xml:space="preserve"> </w:t>
      </w:r>
      <w:r>
        <w:rPr>
          <w:rFonts w:ascii="Arial" w:cs="Arial" w:eastAsia="Arial" w:hAnsi="Arial"/>
          <w:sz w:val="20"/>
          <w:szCs w:val="20"/>
          <w:color w:val="auto"/>
        </w:rPr>
        <w:t>deciding whether to buy, hold or sell a security. Any information that could reasonably be expected to affect the price of the security is material. It is not possible to define all categories of material information, as the ultimate determination of materiality by enforcement authorities will be based on an assessment of all the facts and circumstances, however, common examples of material information are: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Projections of future earnings or losses or other earnings guidance.</w:t>
      </w:r>
    </w:p>
    <w:p>
      <w:pPr>
        <w:spacing w:after="0" w:line="216"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Reviewed &amp; Approved: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7" w:right="399" w:bottom="1440" w:gutter="0" w:footer="0" w:header="0"/>
        </w:sectPr>
      </w:pPr>
    </w:p>
    <w:bookmarkStart w:id="101" w:name="page102"/>
    <w:bookmarkEnd w:id="101"/>
    <w:p>
      <w:pPr>
        <w:ind w:left="940" w:right="3040" w:hanging="183"/>
        <w:spacing w:after="0" w:line="257" w:lineRule="auto"/>
        <w:tabs>
          <w:tab w:leader="none" w:pos="877"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Earnings which are inconsistent with the consensus expectations of the investment community.</w:t>
      </w:r>
    </w:p>
    <w:p>
      <w:pPr>
        <w:spacing w:after="0" w:line="155" w:lineRule="exact"/>
        <w:rPr>
          <w:rFonts w:ascii="Arial" w:cs="Arial" w:eastAsia="Arial" w:hAnsi="Arial"/>
          <w:sz w:val="20"/>
          <w:szCs w:val="20"/>
          <w:color w:val="auto"/>
        </w:rPr>
      </w:pPr>
    </w:p>
    <w:p>
      <w:pPr>
        <w:ind w:left="940" w:right="360" w:hanging="183"/>
        <w:spacing w:after="0" w:line="257" w:lineRule="auto"/>
        <w:tabs>
          <w:tab w:leader="none" w:pos="877" w:val="left"/>
        </w:tabs>
        <w:numPr>
          <w:ilvl w:val="0"/>
          <w:numId w:val="70"/>
        </w:numPr>
        <w:rPr>
          <w:rFonts w:ascii="Arial" w:cs="Arial" w:eastAsia="Arial" w:hAnsi="Arial"/>
          <w:sz w:val="20"/>
          <w:szCs w:val="20"/>
          <w:color w:val="auto"/>
        </w:rPr>
      </w:pPr>
      <w:r>
        <w:rPr>
          <w:rFonts w:ascii="Arial" w:cs="Arial" w:eastAsia="Arial" w:hAnsi="Arial"/>
          <w:sz w:val="20"/>
          <w:szCs w:val="20"/>
          <w:color w:val="auto"/>
        </w:rPr>
        <w:t>A pending or proposed merger, acquisition, tender offer, joint venture or an acquisition or disposition of significant assets that has a reasonable expectation of being consummated.</w:t>
      </w:r>
    </w:p>
    <w:p>
      <w:pPr>
        <w:spacing w:after="0" w:line="155" w:lineRule="exact"/>
        <w:rPr>
          <w:rFonts w:ascii="Arial" w:cs="Arial" w:eastAsia="Arial" w:hAnsi="Arial"/>
          <w:sz w:val="20"/>
          <w:szCs w:val="20"/>
          <w:color w:val="auto"/>
        </w:rPr>
      </w:pPr>
    </w:p>
    <w:p>
      <w:pPr>
        <w:ind w:left="880" w:hanging="123"/>
        <w:spacing w:after="0"/>
        <w:tabs>
          <w:tab w:leader="none" w:pos="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 change in management.</w:t>
      </w:r>
    </w:p>
    <w:p>
      <w:pPr>
        <w:spacing w:after="0" w:line="202" w:lineRule="exact"/>
        <w:rPr>
          <w:rFonts w:ascii="Arial" w:cs="Arial" w:eastAsia="Arial" w:hAnsi="Arial"/>
          <w:sz w:val="20"/>
          <w:szCs w:val="20"/>
          <w:color w:val="auto"/>
        </w:rPr>
      </w:pPr>
    </w:p>
    <w:p>
      <w:pPr>
        <w:ind w:left="880" w:hanging="123"/>
        <w:spacing w:after="0"/>
        <w:tabs>
          <w:tab w:leader="none" w:pos="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Results of clinical trials, whether such results are overly positive, negative or as</w:t>
      </w:r>
    </w:p>
    <w:p>
      <w:pPr>
        <w:spacing w:after="0" w:line="4" w:lineRule="exact"/>
        <w:rPr>
          <w:sz w:val="20"/>
          <w:szCs w:val="20"/>
          <w:color w:val="auto"/>
        </w:rPr>
      </w:pPr>
    </w:p>
    <w:p>
      <w:pPr>
        <w:ind w:left="940"/>
        <w:spacing w:after="0"/>
        <w:rPr>
          <w:sz w:val="20"/>
          <w:szCs w:val="20"/>
          <w:color w:val="auto"/>
        </w:rPr>
      </w:pPr>
      <w:r>
        <w:rPr>
          <w:rFonts w:ascii="Arial" w:cs="Arial" w:eastAsia="Arial" w:hAnsi="Arial"/>
          <w:sz w:val="20"/>
          <w:szCs w:val="20"/>
          <w:color w:val="auto"/>
        </w:rPr>
        <w:t>expected.</w:t>
      </w:r>
    </w:p>
    <w:p>
      <w:pPr>
        <w:spacing w:after="0" w:line="184" w:lineRule="exact"/>
        <w:rPr>
          <w:sz w:val="20"/>
          <w:szCs w:val="20"/>
          <w:color w:val="auto"/>
        </w:rPr>
      </w:pPr>
    </w:p>
    <w:p>
      <w:pPr>
        <w:ind w:left="940" w:right="3080" w:hanging="183"/>
        <w:spacing w:after="0" w:line="237" w:lineRule="auto"/>
        <w:tabs>
          <w:tab w:leader="none" w:pos="877" w:val="left"/>
        </w:tabs>
        <w:numPr>
          <w:ilvl w:val="0"/>
          <w:numId w:val="71"/>
        </w:numPr>
        <w:rPr>
          <w:rFonts w:ascii="Arial" w:cs="Arial" w:eastAsia="Arial" w:hAnsi="Arial"/>
          <w:sz w:val="20"/>
          <w:szCs w:val="20"/>
          <w:color w:val="auto"/>
        </w:rPr>
      </w:pPr>
      <w:r>
        <w:rPr>
          <w:rFonts w:ascii="Arial" w:cs="Arial" w:eastAsia="Arial" w:hAnsi="Arial"/>
          <w:sz w:val="20"/>
          <w:szCs w:val="20"/>
          <w:color w:val="auto"/>
        </w:rPr>
        <w:t>Major events regarding MEI Pharma, generally, including the commencement or termination of corporate collaborations, receipt of governmental grants, the execution of licenses, financial developments, or patent or product developments, both positive and negative.</w:t>
      </w:r>
    </w:p>
    <w:p>
      <w:pPr>
        <w:spacing w:after="0" w:line="171" w:lineRule="exact"/>
        <w:rPr>
          <w:rFonts w:ascii="Arial" w:cs="Arial" w:eastAsia="Arial" w:hAnsi="Arial"/>
          <w:sz w:val="20"/>
          <w:szCs w:val="20"/>
          <w:color w:val="auto"/>
        </w:rPr>
      </w:pPr>
    </w:p>
    <w:p>
      <w:pPr>
        <w:ind w:left="880" w:hanging="123"/>
        <w:spacing w:after="0"/>
        <w:tabs>
          <w:tab w:leader="none" w:pos="8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Severe financial liquidity problems.</w:t>
      </w:r>
    </w:p>
    <w:p>
      <w:pPr>
        <w:spacing w:after="0" w:line="202" w:lineRule="exact"/>
        <w:rPr>
          <w:rFonts w:ascii="Arial" w:cs="Arial" w:eastAsia="Arial" w:hAnsi="Arial"/>
          <w:sz w:val="20"/>
          <w:szCs w:val="20"/>
          <w:color w:val="auto"/>
        </w:rPr>
      </w:pPr>
    </w:p>
    <w:p>
      <w:pPr>
        <w:ind w:left="880" w:hanging="123"/>
        <w:spacing w:after="0"/>
        <w:tabs>
          <w:tab w:leader="none" w:pos="8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Actual or threatened major litigation or the resolution of such litigation.</w:t>
      </w:r>
    </w:p>
    <w:p>
      <w:pPr>
        <w:spacing w:after="0" w:line="202" w:lineRule="exact"/>
        <w:rPr>
          <w:rFonts w:ascii="Arial" w:cs="Arial" w:eastAsia="Arial" w:hAnsi="Arial"/>
          <w:sz w:val="20"/>
          <w:szCs w:val="20"/>
          <w:color w:val="auto"/>
        </w:rPr>
      </w:pPr>
    </w:p>
    <w:p>
      <w:pPr>
        <w:ind w:left="940" w:right="3180" w:hanging="183"/>
        <w:spacing w:after="0" w:line="257" w:lineRule="auto"/>
        <w:tabs>
          <w:tab w:leader="none" w:pos="877" w:val="left"/>
        </w:tabs>
        <w:numPr>
          <w:ilvl w:val="0"/>
          <w:numId w:val="71"/>
        </w:numPr>
        <w:rPr>
          <w:rFonts w:ascii="Arial" w:cs="Arial" w:eastAsia="Arial" w:hAnsi="Arial"/>
          <w:sz w:val="20"/>
          <w:szCs w:val="20"/>
          <w:color w:val="auto"/>
        </w:rPr>
      </w:pPr>
      <w:r>
        <w:rPr>
          <w:rFonts w:ascii="Arial" w:cs="Arial" w:eastAsia="Arial" w:hAnsi="Arial"/>
          <w:sz w:val="20"/>
          <w:szCs w:val="20"/>
          <w:color w:val="auto"/>
        </w:rPr>
        <w:t>New major contracts, orders, suppliers, customers or finance sources, or the loss thereof.</w:t>
      </w:r>
    </w:p>
    <w:p>
      <w:pPr>
        <w:spacing w:after="0" w:line="155" w:lineRule="exact"/>
        <w:rPr>
          <w:rFonts w:ascii="Arial" w:cs="Arial" w:eastAsia="Arial" w:hAnsi="Arial"/>
          <w:sz w:val="20"/>
          <w:szCs w:val="20"/>
          <w:color w:val="auto"/>
        </w:rPr>
      </w:pPr>
    </w:p>
    <w:p>
      <w:pPr>
        <w:ind w:left="940" w:right="280" w:hanging="183"/>
        <w:spacing w:after="0" w:line="257" w:lineRule="auto"/>
        <w:tabs>
          <w:tab w:leader="none" w:pos="877" w:val="left"/>
        </w:tabs>
        <w:numPr>
          <w:ilvl w:val="0"/>
          <w:numId w:val="71"/>
        </w:numPr>
        <w:rPr>
          <w:rFonts w:ascii="Arial" w:cs="Arial" w:eastAsia="Arial" w:hAnsi="Arial"/>
          <w:sz w:val="20"/>
          <w:szCs w:val="20"/>
          <w:color w:val="auto"/>
        </w:rPr>
      </w:pPr>
      <w:r>
        <w:rPr>
          <w:rFonts w:ascii="Arial" w:cs="Arial" w:eastAsia="Arial" w:hAnsi="Arial"/>
          <w:sz w:val="20"/>
          <w:szCs w:val="20"/>
          <w:color w:val="auto"/>
        </w:rPr>
        <w:t>Major events regarding MEI Pharma’s securities, including the declaration of stock split or the offering of additional securities.</w:t>
      </w:r>
    </w:p>
    <w:p>
      <w:pPr>
        <w:spacing w:after="0" w:line="155" w:lineRule="exact"/>
        <w:rPr>
          <w:rFonts w:ascii="Arial" w:cs="Arial" w:eastAsia="Arial" w:hAnsi="Arial"/>
          <w:sz w:val="20"/>
          <w:szCs w:val="20"/>
          <w:color w:val="auto"/>
        </w:rPr>
      </w:pPr>
    </w:p>
    <w:p>
      <w:pPr>
        <w:ind w:left="880" w:hanging="123"/>
        <w:spacing w:after="0"/>
        <w:tabs>
          <w:tab w:leader="none" w:pos="8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E-mails or other notices prohibiting the trading of MEI Pharma securities (i.e.</w:t>
      </w:r>
    </w:p>
    <w:p>
      <w:pPr>
        <w:spacing w:after="0" w:line="4" w:lineRule="exact"/>
        <w:rPr>
          <w:sz w:val="20"/>
          <w:szCs w:val="20"/>
          <w:color w:val="auto"/>
        </w:rPr>
      </w:pPr>
    </w:p>
    <w:p>
      <w:pPr>
        <w:ind w:left="940"/>
        <w:spacing w:after="0"/>
        <w:rPr>
          <w:sz w:val="20"/>
          <w:szCs w:val="20"/>
          <w:color w:val="auto"/>
        </w:rPr>
      </w:pPr>
      <w:r>
        <w:rPr>
          <w:rFonts w:ascii="Arial" w:cs="Arial" w:eastAsia="Arial" w:hAnsi="Arial"/>
          <w:sz w:val="20"/>
          <w:szCs w:val="20"/>
          <w:color w:val="auto"/>
        </w:rPr>
        <w:t>opening or closing the Window) or any other company.</w:t>
      </w:r>
    </w:p>
    <w:p>
      <w:pPr>
        <w:spacing w:after="0" w:line="184" w:lineRule="exact"/>
        <w:rPr>
          <w:sz w:val="20"/>
          <w:szCs w:val="20"/>
          <w:color w:val="auto"/>
        </w:rPr>
      </w:pPr>
    </w:p>
    <w:p>
      <w:pPr>
        <w:ind w:left="960" w:hanging="189"/>
        <w:spacing w:after="0"/>
        <w:tabs>
          <w:tab w:leader="none" w:pos="960" w:val="left"/>
        </w:tabs>
        <w:numPr>
          <w:ilvl w:val="0"/>
          <w:numId w:val="72"/>
        </w:numPr>
        <w:rPr>
          <w:rFonts w:ascii="Times New Roman" w:cs="Times New Roman" w:eastAsia="Times New Roman" w:hAnsi="Times New Roman"/>
          <w:sz w:val="20"/>
          <w:szCs w:val="20"/>
          <w:color w:val="auto"/>
        </w:rPr>
      </w:pPr>
      <w:r>
        <w:rPr>
          <w:rFonts w:ascii="Arial" w:cs="Arial" w:eastAsia="Arial" w:hAnsi="Arial"/>
          <w:sz w:val="20"/>
          <w:szCs w:val="20"/>
          <w:color w:val="auto"/>
        </w:rPr>
        <w:t>Knowledge of a significant data security, privacy or cybersecurity incident.</w:t>
      </w:r>
    </w:p>
    <w:p>
      <w:pPr>
        <w:spacing w:after="0" w:line="215" w:lineRule="exact"/>
        <w:rPr>
          <w:sz w:val="20"/>
          <w:szCs w:val="20"/>
          <w:color w:val="auto"/>
        </w:rPr>
      </w:pPr>
    </w:p>
    <w:p>
      <w:pPr>
        <w:ind w:right="2680"/>
        <w:spacing w:after="0" w:line="260" w:lineRule="auto"/>
        <w:rPr>
          <w:sz w:val="20"/>
          <w:szCs w:val="20"/>
          <w:color w:val="auto"/>
        </w:rPr>
      </w:pPr>
      <w:r>
        <w:rPr>
          <w:rFonts w:ascii="Arial" w:cs="Arial" w:eastAsia="Arial" w:hAnsi="Arial"/>
          <w:sz w:val="19"/>
          <w:szCs w:val="19"/>
          <w:color w:val="auto"/>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spacing w:after="0" w:line="154" w:lineRule="exact"/>
        <w:rPr>
          <w:sz w:val="20"/>
          <w:szCs w:val="20"/>
          <w:color w:val="auto"/>
        </w:rPr>
      </w:pPr>
    </w:p>
    <w:p>
      <w:pPr>
        <w:spacing w:after="0" w:line="229" w:lineRule="auto"/>
        <w:rPr>
          <w:sz w:val="20"/>
          <w:szCs w:val="20"/>
          <w:color w:val="auto"/>
        </w:rPr>
      </w:pPr>
      <w:r>
        <w:rPr>
          <w:rFonts w:ascii="Arial" w:cs="Arial" w:eastAsia="Arial" w:hAnsi="Arial"/>
          <w:sz w:val="20"/>
          <w:szCs w:val="20"/>
          <w:i w:val="1"/>
          <w:iCs w:val="1"/>
          <w:color w:val="auto"/>
        </w:rPr>
        <w:t xml:space="preserve">Public Availability. </w:t>
      </w:r>
      <w:r>
        <w:rPr>
          <w:rFonts w:ascii="Arial" w:cs="Arial" w:eastAsia="Arial" w:hAnsi="Arial"/>
          <w:sz w:val="20"/>
          <w:szCs w:val="20"/>
          <w:color w:val="auto"/>
        </w:rPr>
        <w:t>Nonpublic information is information that is not generally known or available to the public. One common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an SEC filing) </w:t>
      </w:r>
      <w:r>
        <w:rPr>
          <w:rFonts w:ascii="Arial" w:cs="Arial" w:eastAsia="Arial" w:hAnsi="Arial"/>
          <w:sz w:val="20"/>
          <w:szCs w:val="20"/>
          <w:b w:val="1"/>
          <w:bCs w:val="1"/>
          <w:i w:val="1"/>
          <w:iCs w:val="1"/>
          <w:color w:val="auto"/>
        </w:rPr>
        <w:t>and</w:t>
      </w:r>
      <w:r>
        <w:rPr>
          <w:rFonts w:ascii="Arial" w:cs="Arial" w:eastAsia="Arial" w:hAnsi="Arial"/>
          <w:sz w:val="20"/>
          <w:szCs w:val="20"/>
          <w:color w:val="auto"/>
        </w:rPr>
        <w:t xml:space="preserve"> the investing public has had time to absorb the information fully. As a general rule and pursuant to this Policy, information is considered nonpublic until after the second full trading day after the information is released. For example, if the Company announces financial earnings after trading begins or ends on a Monday or before trading begins on a Tuesday, the first time you can buy or sell the Company’s securities is the opening of the market on Thursday </w:t>
      </w:r>
      <w:r>
        <w:rPr>
          <w:rFonts w:ascii="Arial" w:cs="Arial" w:eastAsia="Arial" w:hAnsi="Arial"/>
          <w:sz w:val="20"/>
          <w:szCs w:val="20"/>
          <w:b w:val="1"/>
          <w:bCs w:val="1"/>
          <w:color w:val="auto"/>
        </w:rPr>
        <w:t>(assuming you are not aware of other material nonpublic information at that time and you have received pre-clearance on the transaction from the Applicable Compliance Officer)</w:t>
      </w:r>
      <w:r>
        <w:rPr>
          <w:rFonts w:ascii="Arial" w:cs="Arial" w:eastAsia="Arial" w:hAnsi="Arial"/>
          <w:sz w:val="20"/>
          <w:szCs w:val="20"/>
          <w:color w:val="auto"/>
        </w:rPr>
        <w:t>. However, if the Company announces earnings after</w:t>
      </w:r>
      <w:r>
        <w:rPr>
          <w:rFonts w:ascii="Arial" w:cs="Arial" w:eastAsia="Arial" w:hAnsi="Arial"/>
          <w:sz w:val="20"/>
          <w:szCs w:val="20"/>
          <w:b w:val="1"/>
          <w:bCs w:val="1"/>
          <w:color w:val="auto"/>
        </w:rPr>
        <w:t xml:space="preserve"> </w:t>
      </w:r>
      <w:r>
        <w:rPr>
          <w:rFonts w:ascii="Arial" w:cs="Arial" w:eastAsia="Arial" w:hAnsi="Arial"/>
          <w:sz w:val="20"/>
          <w:szCs w:val="20"/>
          <w:color w:val="auto"/>
        </w:rPr>
        <w:t>trading begins or ends on that Tuesday, the first time you can buy or sell the Company’s securities is the opening of the market on Friday.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“TIPPING”</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Reviewed &amp; Approved: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47" w:right="419" w:bottom="1440" w:gutter="0" w:footer="0" w:header="0"/>
        </w:sectPr>
      </w:pPr>
    </w:p>
    <w:bookmarkStart w:id="102" w:name="page103"/>
    <w:bookmarkEnd w:id="102"/>
    <w:p>
      <w:pPr>
        <w:spacing w:after="0" w:line="233" w:lineRule="auto"/>
        <w:rPr>
          <w:sz w:val="20"/>
          <w:szCs w:val="20"/>
          <w:color w:val="auto"/>
        </w:rPr>
      </w:pPr>
      <w:r>
        <w:rPr>
          <w:rFonts w:ascii="Arial" w:cs="Arial" w:eastAsia="Arial" w:hAnsi="Arial"/>
          <w:sz w:val="20"/>
          <w:szCs w:val="20"/>
          <w:color w:val="auto"/>
        </w:rPr>
        <w:t>In addition to being forbidden from using material non-public information to trade in securities for your own advantage, you are also prohibited from tipping material non-public information – even if you do not share the specifics of the Inside Information – to any other Insider, or to any other person (including, but not limited to, friends, business associates, spouses, or other family members), who then trades on, or passes along, that information. Under the securities laws, both the discloser (“tipper”) and recipient (“tippee”) of material non-public information are liable for violations and you will be held accountable for trading by your family members and related entities.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Material non-public information must be protected. Common sense applies. Avoid inadvertent communication. For example:</w:t>
      </w:r>
    </w:p>
    <w:p>
      <w:pPr>
        <w:spacing w:after="0" w:line="202" w:lineRule="exact"/>
        <w:rPr>
          <w:sz w:val="20"/>
          <w:szCs w:val="20"/>
          <w:color w:val="auto"/>
        </w:rPr>
      </w:pPr>
    </w:p>
    <w:p>
      <w:pPr>
        <w:ind w:left="760" w:right="40" w:hanging="378"/>
        <w:spacing w:after="0" w:line="256" w:lineRule="auto"/>
        <w:tabs>
          <w:tab w:leader="none" w:pos="76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Do not discuss new developments in public places such as elevators, hallways, restaurants, airplanes, taxicabs, or any place where you can be overheard.</w:t>
      </w:r>
    </w:p>
    <w:p>
      <w:pPr>
        <w:spacing w:after="0" w:line="15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Do not gossip.</w:t>
      </w:r>
    </w:p>
    <w:p>
      <w:pPr>
        <w:spacing w:after="0" w:line="214" w:lineRule="exact"/>
        <w:rPr>
          <w:rFonts w:ascii="Times New Roman" w:cs="Times New Roman" w:eastAsia="Times New Roman" w:hAnsi="Times New Roman"/>
          <w:sz w:val="20"/>
          <w:szCs w:val="20"/>
          <w:color w:val="auto"/>
        </w:rPr>
      </w:pPr>
    </w:p>
    <w:p>
      <w:pPr>
        <w:ind w:left="760" w:right="80" w:hanging="378"/>
        <w:spacing w:after="0" w:line="256" w:lineRule="auto"/>
        <w:tabs>
          <w:tab w:leader="none" w:pos="76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Do not read documents with material non-public information in public places or discard them where others can retrieve them.</w:t>
      </w:r>
    </w:p>
    <w:p>
      <w:pPr>
        <w:spacing w:after="0" w:line="15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Do not carry documents with material non-public information in public places in an exposed manner.</w:t>
      </w:r>
    </w:p>
    <w:p>
      <w:pPr>
        <w:spacing w:after="0" w:line="214" w:lineRule="exact"/>
        <w:rPr>
          <w:rFonts w:ascii="Times New Roman" w:cs="Times New Roman" w:eastAsia="Times New Roman" w:hAnsi="Times New Roman"/>
          <w:sz w:val="20"/>
          <w:szCs w:val="20"/>
          <w:color w:val="auto"/>
        </w:rPr>
      </w:pPr>
    </w:p>
    <w:p>
      <w:pPr>
        <w:ind w:left="760" w:right="300" w:hanging="378"/>
        <w:spacing w:after="0" w:line="256" w:lineRule="auto"/>
        <w:tabs>
          <w:tab w:leader="none" w:pos="760" w:val="left"/>
        </w:tabs>
        <w:numPr>
          <w:ilvl w:val="0"/>
          <w:numId w:val="73"/>
        </w:numPr>
        <w:rPr>
          <w:rFonts w:ascii="Times New Roman" w:cs="Times New Roman" w:eastAsia="Times New Roman" w:hAnsi="Times New Roman"/>
          <w:sz w:val="20"/>
          <w:szCs w:val="20"/>
          <w:color w:val="auto"/>
        </w:rPr>
      </w:pPr>
      <w:r>
        <w:rPr>
          <w:rFonts w:ascii="Arial" w:cs="Arial" w:eastAsia="Arial" w:hAnsi="Arial"/>
          <w:sz w:val="20"/>
          <w:szCs w:val="20"/>
          <w:color w:val="auto"/>
        </w:rPr>
        <w:t>Cover documents with material non-public information on your desk before you leave your office or room and do not leave them where visitors can read them.</w:t>
      </w:r>
    </w:p>
    <w:p>
      <w:pPr>
        <w:spacing w:after="0" w:line="15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19"/>
          <w:szCs w:val="19"/>
          <w:color w:val="auto"/>
        </w:rPr>
      </w:pPr>
      <w:r>
        <w:rPr>
          <w:rFonts w:ascii="Arial" w:cs="Arial" w:eastAsia="Arial" w:hAnsi="Arial"/>
          <w:sz w:val="19"/>
          <w:szCs w:val="19"/>
          <w:color w:val="auto"/>
        </w:rPr>
        <w:t>Do not copy documents with material non-public information for personal use, without express consent of a supervisor.</w:t>
      </w:r>
    </w:p>
    <w:p>
      <w:pPr>
        <w:spacing w:after="0" w:line="226"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Do not disclose material non-public information to other MEI Pharma personnel unless they have a legitimate business need to be made aware of such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GUIDANCE</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MEI Pharma considers it improper and inappropriate for those employed by or associated with the Company to engage in short-term, speculative transactions, including derivatives or hedges, in or related to the Company’s securities or in other transactions in the Company’s securities that may lead to inadvertent violations of the insider trading laws. Accordingly, your trading in the Company’s securities is subject to the following additional guidance.</w:t>
      </w:r>
    </w:p>
    <w:p>
      <w:pPr>
        <w:spacing w:after="0" w:line="172" w:lineRule="exact"/>
        <w:rPr>
          <w:sz w:val="20"/>
          <w:szCs w:val="20"/>
          <w:color w:val="auto"/>
        </w:rPr>
      </w:pPr>
    </w:p>
    <w:p>
      <w:pPr>
        <w:ind w:right="360"/>
        <w:spacing w:after="0" w:line="242" w:lineRule="auto"/>
        <w:rPr>
          <w:sz w:val="20"/>
          <w:szCs w:val="20"/>
          <w:color w:val="auto"/>
        </w:rPr>
      </w:pPr>
      <w:r>
        <w:rPr>
          <w:rFonts w:ascii="Arial" w:cs="Arial" w:eastAsia="Arial" w:hAnsi="Arial"/>
          <w:sz w:val="20"/>
          <w:szCs w:val="20"/>
          <w:i w:val="1"/>
          <w:iCs w:val="1"/>
          <w:color w:val="auto"/>
        </w:rPr>
        <w:t xml:space="preserve">Short Sales. </w:t>
      </w:r>
      <w:r>
        <w:rPr>
          <w:rFonts w:ascii="Arial" w:cs="Arial" w:eastAsia="Arial" w:hAnsi="Arial"/>
          <w:sz w:val="20"/>
          <w:szCs w:val="20"/>
          <w:color w:val="auto"/>
        </w:rPr>
        <w:t>You may not engage in short sales of the Company’s securities, defined as sales of securities that are not then</w:t>
      </w:r>
      <w:r>
        <w:rPr>
          <w:rFonts w:ascii="Arial" w:cs="Arial" w:eastAsia="Arial" w:hAnsi="Arial"/>
          <w:sz w:val="20"/>
          <w:szCs w:val="20"/>
          <w:i w:val="1"/>
          <w:iCs w:val="1"/>
          <w:color w:val="auto"/>
        </w:rPr>
        <w:t xml:space="preserve"> </w:t>
      </w:r>
      <w:r>
        <w:rPr>
          <w:rFonts w:ascii="Arial" w:cs="Arial" w:eastAsia="Arial" w:hAnsi="Arial"/>
          <w:sz w:val="20"/>
          <w:szCs w:val="20"/>
          <w:color w:val="auto"/>
        </w:rPr>
        <w:t>owned, including a “sale against the box,” defined as a sale with delayed delivery.</w:t>
      </w:r>
    </w:p>
    <w:p>
      <w:pPr>
        <w:spacing w:after="0" w:line="400" w:lineRule="exact"/>
        <w:rPr>
          <w:sz w:val="20"/>
          <w:szCs w:val="20"/>
          <w:color w:val="auto"/>
        </w:rPr>
      </w:pPr>
    </w:p>
    <w:p>
      <w:pPr>
        <w:ind w:right="860"/>
        <w:spacing w:after="0" w:line="234" w:lineRule="auto"/>
        <w:rPr>
          <w:sz w:val="20"/>
          <w:szCs w:val="20"/>
          <w:color w:val="auto"/>
        </w:rPr>
      </w:pPr>
      <w:r>
        <w:rPr>
          <w:rFonts w:ascii="Arial" w:cs="Arial" w:eastAsia="Arial" w:hAnsi="Arial"/>
          <w:sz w:val="20"/>
          <w:szCs w:val="20"/>
          <w:i w:val="1"/>
          <w:iCs w:val="1"/>
          <w:color w:val="auto"/>
        </w:rPr>
        <w:t xml:space="preserve">Publicly Traded Options. </w:t>
      </w:r>
      <w:r>
        <w:rPr>
          <w:rFonts w:ascii="Arial" w:cs="Arial" w:eastAsia="Arial" w:hAnsi="Arial"/>
          <w:sz w:val="20"/>
          <w:szCs w:val="20"/>
          <w:color w:val="auto"/>
        </w:rPr>
        <w:t>You may not engage in transactions in publicly traded options with respect to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such 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puts, calls and other derivative securities, on an exchange or in any other organized market.</w:t>
      </w:r>
    </w:p>
    <w:p>
      <w:pPr>
        <w:spacing w:after="0" w:line="184" w:lineRule="exact"/>
        <w:rPr>
          <w:sz w:val="20"/>
          <w:szCs w:val="20"/>
          <w:color w:val="auto"/>
        </w:rPr>
      </w:pPr>
    </w:p>
    <w:p>
      <w:pPr>
        <w:ind w:right="720"/>
        <w:spacing w:after="0" w:line="241" w:lineRule="auto"/>
        <w:rPr>
          <w:sz w:val="20"/>
          <w:szCs w:val="20"/>
          <w:color w:val="auto"/>
        </w:rPr>
      </w:pPr>
      <w:r>
        <w:rPr>
          <w:rFonts w:ascii="Arial" w:cs="Arial" w:eastAsia="Arial" w:hAnsi="Arial"/>
          <w:sz w:val="20"/>
          <w:szCs w:val="20"/>
          <w:i w:val="1"/>
          <w:iCs w:val="1"/>
          <w:color w:val="auto"/>
        </w:rPr>
        <w:t xml:space="preserve">Exercising Stock Options. </w:t>
      </w:r>
      <w:r>
        <w:rPr>
          <w:rFonts w:ascii="Arial" w:cs="Arial" w:eastAsia="Arial" w:hAnsi="Arial"/>
          <w:sz w:val="20"/>
          <w:szCs w:val="20"/>
          <w:color w:val="auto"/>
        </w:rPr>
        <w:t>You may exercise your vested options to purchase shares of common stock of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However, any sale of those shares is subject to the prohibition</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Reviewed &amp; Approved: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7" w:right="399" w:bottom="1440" w:gutter="0" w:footer="0" w:header="0"/>
        </w:sectPr>
      </w:pPr>
    </w:p>
    <w:bookmarkStart w:id="103" w:name="page104"/>
    <w:bookmarkEnd w:id="103"/>
    <w:p>
      <w:pPr>
        <w:spacing w:after="0" w:line="237" w:lineRule="auto"/>
        <w:rPr>
          <w:sz w:val="20"/>
          <w:szCs w:val="20"/>
          <w:color w:val="auto"/>
        </w:rPr>
      </w:pPr>
      <w:r>
        <w:rPr>
          <w:rFonts w:ascii="Arial" w:cs="Arial" w:eastAsia="Arial" w:hAnsi="Arial"/>
          <w:sz w:val="20"/>
          <w:szCs w:val="20"/>
          <w:color w:val="auto"/>
        </w:rPr>
        <w:t>on trading in the securities under this policy. This prohibition applies to cashless exercises and sales made to cover any tax liability arising from the exercise of the options. Thus, if you choose to exercise stock options when the window is closed or you are in possession of material non-public information, then you must hold all of the shares of stock purchased upon such exercise until the window is open or the inside information is no longer material or is publicly available.</w:t>
      </w:r>
    </w:p>
    <w:p>
      <w:pPr>
        <w:spacing w:after="0" w:line="172"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i w:val="1"/>
          <w:iCs w:val="1"/>
          <w:color w:val="auto"/>
        </w:rPr>
        <w:t xml:space="preserve">Standing Orders. </w:t>
      </w:r>
      <w:r>
        <w:rPr>
          <w:rFonts w:ascii="Arial" w:cs="Arial" w:eastAsia="Arial" w:hAnsi="Arial"/>
          <w:sz w:val="20"/>
          <w:szCs w:val="20"/>
          <w:color w:val="auto"/>
        </w:rPr>
        <w:t>Standing orders should be used only for a very brief period of time. A standing order placed with a broker to</w:t>
      </w:r>
      <w:r>
        <w:rPr>
          <w:rFonts w:ascii="Arial" w:cs="Arial" w:eastAsia="Arial" w:hAnsi="Arial"/>
          <w:sz w:val="20"/>
          <w:szCs w:val="20"/>
          <w:i w:val="1"/>
          <w:iCs w:val="1"/>
          <w:color w:val="auto"/>
        </w:rPr>
        <w:t xml:space="preserve"> </w:t>
      </w:r>
      <w:r>
        <w:rPr>
          <w:rFonts w:ascii="Arial" w:cs="Arial" w:eastAsia="Arial" w:hAnsi="Arial"/>
          <w:sz w:val="20"/>
          <w:szCs w:val="20"/>
          <w:color w:val="auto"/>
        </w:rPr>
        <w:t>sell or purchase stock at a specified price leaves you with no control over the timing of the transaction. A standing order transaction executed by the broker when you are aware of material nonpublic information may result in unlawful insider trading. However, as previously explained in this Policy, trades by individuals in the Company’s securities that are executed pursuant to a pre-approved 10b5-1 plan are not subject to the</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auto"/>
        </w:rPr>
        <w:t>prohibition on trading on the basis of material nonpublic information contained in this Policy or to the restrictions set forth above relating to pre-clearance procedures and Windows.</w:t>
      </w:r>
    </w:p>
    <w:p>
      <w:pPr>
        <w:spacing w:after="0" w:line="172"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i w:val="1"/>
          <w:iCs w:val="1"/>
          <w:color w:val="auto"/>
        </w:rPr>
        <w:t xml:space="preserve">Margin Accounts and Pledges. </w:t>
      </w:r>
      <w:r>
        <w:rPr>
          <w:rFonts w:ascii="Arial" w:cs="Arial" w:eastAsia="Arial" w:hAnsi="Arial"/>
          <w:sz w:val="20"/>
          <w:szCs w:val="20"/>
          <w:color w:val="auto"/>
        </w:rPr>
        <w:t>When securities are held in a margin account or pledged as collateral for a loan, such securities</w:t>
      </w:r>
      <w:r>
        <w:rPr>
          <w:rFonts w:ascii="Arial" w:cs="Arial" w:eastAsia="Arial" w:hAnsi="Arial"/>
          <w:sz w:val="20"/>
          <w:szCs w:val="20"/>
          <w:i w:val="1"/>
          <w:iCs w:val="1"/>
          <w:color w:val="auto"/>
        </w:rPr>
        <w:t xml:space="preserve"> </w:t>
      </w:r>
      <w:r>
        <w:rPr>
          <w:rFonts w:ascii="Arial" w:cs="Arial" w:eastAsia="Arial" w:hAnsi="Arial"/>
          <w:sz w:val="20"/>
          <w:szCs w:val="20"/>
          <w:color w:val="auto"/>
        </w:rPr>
        <w:t>may be sold without your consent by the broker if you fail to</w:t>
      </w:r>
    </w:p>
    <w:p>
      <w:pPr>
        <w:spacing w:after="0" w:line="2" w:lineRule="exact"/>
        <w:rPr>
          <w:sz w:val="20"/>
          <w:szCs w:val="20"/>
          <w:color w:val="auto"/>
        </w:rPr>
      </w:pPr>
    </w:p>
    <w:p>
      <w:pPr>
        <w:ind w:right="220"/>
        <w:spacing w:after="0" w:line="225" w:lineRule="auto"/>
        <w:rPr>
          <w:sz w:val="20"/>
          <w:szCs w:val="20"/>
          <w:color w:val="auto"/>
        </w:rPr>
      </w:pPr>
      <w:r>
        <w:rPr>
          <w:rFonts w:ascii="Arial" w:cs="Arial" w:eastAsia="Arial" w:hAnsi="Arial"/>
          <w:sz w:val="20"/>
          <w:szCs w:val="20"/>
          <w:color w:val="auto"/>
        </w:rPr>
        <w:t>meet a margin call or by the lender in foreclosure if you default on the loan. A margin or foreclosure sale that occurs when you are aware of material nonpublic information may, under</w:t>
      </w:r>
    </w:p>
    <w:p>
      <w:pPr>
        <w:spacing w:after="0" w:line="1" w:lineRule="exact"/>
        <w:rPr>
          <w:sz w:val="20"/>
          <w:szCs w:val="20"/>
          <w:color w:val="auto"/>
        </w:rPr>
      </w:pPr>
    </w:p>
    <w:p>
      <w:pPr>
        <w:ind w:right="680"/>
        <w:spacing w:after="0" w:line="239" w:lineRule="auto"/>
        <w:rPr>
          <w:sz w:val="20"/>
          <w:szCs w:val="20"/>
          <w:color w:val="auto"/>
        </w:rPr>
      </w:pPr>
      <w:r>
        <w:rPr>
          <w:rFonts w:ascii="Arial" w:cs="Arial" w:eastAsia="Arial" w:hAnsi="Arial"/>
          <w:sz w:val="20"/>
          <w:szCs w:val="20"/>
          <w:color w:val="auto"/>
        </w:rPr>
        <w:t>some circumstances result in unlawful insider trading. Because of this danger, you should exercise caution in holding the Company’s securities in a margin account or pledging the Company’s securities as collateral for a loan.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POST-TERMINATION TRANSACTIONS</w:t>
      </w:r>
    </w:p>
    <w:p>
      <w:pPr>
        <w:spacing w:after="0" w:line="204"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This Policy continues to apply to your transactions in MEI Pharma securities even after you have terminated your employment or other services to MEI Pharma as follows: if you are aware of material nonpublic information when your employment or service relationship terminates, you may not trade in MEI Pharma securities until that information has become public or is no longer material. In all other respects, the procedures set forth in this Policy will cease to apply to your transactions in MEI Pharma securities upon the expiration of any closed Window period that is applicable to your transactions at the time of your termination of employment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UNAUTHORIZED DISCLOSURE</w:t>
      </w:r>
    </w:p>
    <w:p>
      <w:pPr>
        <w:spacing w:after="0" w:line="204"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auto"/>
        </w:rPr>
        <w:t>Maintaining the confidentiality of MEI Pharma’s information is essential for competitive, security and other business reasons, as well as to comply with securities laws and the confidentiality obligations you have promised to the Company upon commencing your employment or other affiliation with the Company. You should treat all information you learn about MEI Pharma or its business plans in connection with your employment as confidential and proprietary to the Company. Inadvertent disclosure of confidential or inside information may expose MEI Pharma and you to significant risk of investigation and litigation.</w:t>
      </w:r>
    </w:p>
    <w:p>
      <w:pPr>
        <w:spacing w:after="0" w:line="167"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The timing and nature of MEI Pharma’s disclosure of material information to outsiders is subject to legal rules, the breach of which could result in substantial liability to you, the Company and its management. Accordingly, it is important that responses to inquiries about MEI Pharma by the press, investment analysts or others in the financial community be made on MEI Pharma’s behalf only through authorized individuals. Please consult MEI Pharma’s Non-Disclosure policy in the Company’s Employee Handbook for more details regarding its policy.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PERSONAL RESPONSIBILITY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Reviewed &amp; Approved: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04" w:name="page105"/>
    <w:bookmarkEnd w:id="104"/>
    <w:p>
      <w:pPr>
        <w:ind w:right="200"/>
        <w:spacing w:after="0" w:line="257" w:lineRule="auto"/>
        <w:rPr>
          <w:sz w:val="20"/>
          <w:szCs w:val="20"/>
          <w:color w:val="auto"/>
        </w:rPr>
      </w:pPr>
      <w:r>
        <w:rPr>
          <w:rFonts w:ascii="Arial" w:cs="Arial" w:eastAsia="Arial" w:hAnsi="Arial"/>
          <w:sz w:val="20"/>
          <w:szCs w:val="20"/>
          <w:color w:val="auto"/>
        </w:rPr>
        <w:t>You should remember that the ultimate responsibility for adhering to this Policy and avoiding improper trading rests with you. If you violate this Policy, MEI Pharma may take disciplinary action, including dismissal for cause.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ASSISTANCE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Your compliance with this Policy is of the utmost importance both for you and for the Company.</w:t>
      </w:r>
    </w:p>
    <w:p>
      <w:pPr>
        <w:spacing w:after="0" w:line="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If you have any questions about this Policy or its application to any proposed transaction, you may obtain additional guidance from the Company’s Chief Financial Officer at 3611 Valley Centre Drive, San Diego, CA 92130 or 858-369-7111. Do not try to resolve uncertainties on your own, as the rules relating to insider trading are often complex, not always intuitive and carry severe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w:t>
      </w:r>
    </w:p>
    <w:p>
      <w:pPr>
        <w:spacing w:after="0" w:line="204"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All employees must certify their understanding of, and intent to comply with, this Policy. A copy of the certification that employees must sign is enclosed with this Policy. This Policy is dated March 18 2020 and supersedes any previous policy of MEI Pharma, Inc. concerning insider trading.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Reviewed &amp; Approved: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b w:val="1"/>
          <w:bCs w:val="1"/>
          <w:color w:val="auto"/>
        </w:rPr>
        <w:t>MEI PHARMA, INC.</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POLICY 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To MEI Pharma, Inc.:</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I, _____________________________ (name), have received and read a copy of the MEI Pharma, Inc. Insider Trading Policy</w:t>
      </w:r>
    </w:p>
    <w:p>
      <w:pPr>
        <w:spacing w:after="0" w:line="16"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dated [•], 2023 (the “Policy”). I hereby agree to comply with the specific requirements of the Policy in all respects during my employment or other service relationship with MEI Pharma, Inc. I understand that my failure to comply in all respects with the Policy is a basis for termination for cause of my employment or other service relationship with MEI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655320</wp:posOffset>
            </wp:positionV>
            <wp:extent cx="2794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27940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655320</wp:posOffset>
            </wp:positionV>
            <wp:extent cx="2794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74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(Date)</w:t>
      </w: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Reviewed &amp; Approved: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45" w:right="619" w:bottom="1440" w:gutter="0" w:footer="0" w:header="0"/>
        </w:sectPr>
      </w:pPr>
    </w:p>
    <w:bookmarkStart w:id="106" w:name="page107"/>
    <w:bookmarkEnd w:id="106"/>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333-277201, 333-186070, 333-184011, 333-174789, 333-146453, and 333-136440 on Form S-3 and Registration Statement Nos. 333-272627, 333-269666, 333-255830, 333-251976, 333-229554, 333-216103, 333-213278, 333-201703, 333-179591, 333-174790, 333-169719, and 333-156985 on Form S-8 of our report dated September 26, 2025 relating to the financial statements of Lite Strategy, Inc. appearing in this Annual Report on Form 10-K for the year ended June 30,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1213485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June 30, 2025, of MEI Pharma,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Date: September 26, 2025</w:t>
            </w:r>
          </w:p>
        </w:tc>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Justin J. File</w:t>
            </w:r>
          </w:p>
        </w:tc>
      </w:tr>
      <w:tr>
        <w:trPr>
          <w:trHeight w:val="210"/>
        </w:trPr>
        <w:tc>
          <w:tcPr>
            <w:tcW w:w="5740" w:type="dxa"/>
            <w:vAlign w:val="bottom"/>
          </w:tcPr>
          <w:p>
            <w:pPr>
              <w:spacing w:after="0"/>
              <w:rPr>
                <w:sz w:val="18"/>
                <w:szCs w:val="18"/>
                <w:color w:val="auto"/>
              </w:rPr>
            </w:pPr>
          </w:p>
        </w:tc>
        <w:tc>
          <w:tcPr>
            <w:tcW w:w="5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Justin J. File</w:t>
            </w:r>
          </w:p>
        </w:tc>
        <w:tc>
          <w:tcPr>
            <w:tcW w:w="20" w:type="dxa"/>
            <w:vAlign w:val="bottom"/>
          </w:tcPr>
          <w:p>
            <w:pPr>
              <w:spacing w:after="0"/>
              <w:rPr>
                <w:sz w:val="18"/>
                <w:szCs w:val="18"/>
                <w:color w:val="auto"/>
              </w:rPr>
            </w:pPr>
          </w:p>
        </w:tc>
      </w:tr>
      <w:tr>
        <w:trPr>
          <w:trHeight w:val="229"/>
        </w:trPr>
        <w:tc>
          <w:tcPr>
            <w:tcW w:w="574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Acting Chief Executive Officer and</w:t>
            </w:r>
          </w:p>
        </w:tc>
      </w:tr>
      <w:tr>
        <w:trPr>
          <w:trHeight w:val="243"/>
        </w:trPr>
        <w:tc>
          <w:tcPr>
            <w:tcW w:w="5740" w:type="dxa"/>
            <w:vAlign w:val="bottom"/>
          </w:tcPr>
          <w:p>
            <w:pPr>
              <w:spacing w:after="0"/>
              <w:rPr>
                <w:sz w:val="21"/>
                <w:szCs w:val="21"/>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 and Secretary</w:t>
            </w:r>
          </w:p>
        </w:tc>
      </w:tr>
      <w:tr>
        <w:trPr>
          <w:trHeight w:val="243"/>
        </w:trPr>
        <w:tc>
          <w:tcPr>
            <w:tcW w:w="5740" w:type="dxa"/>
            <w:vAlign w:val="bottom"/>
          </w:tcPr>
          <w:p>
            <w:pPr>
              <w:spacing w:after="0"/>
              <w:rPr>
                <w:sz w:val="21"/>
                <w:szCs w:val="21"/>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Executive Officer and Principal Financial Officer)</w:t>
            </w:r>
          </w:p>
        </w:tc>
      </w:tr>
      <w:tr>
        <w:trPr>
          <w:trHeight w:val="1025"/>
        </w:trPr>
        <w:tc>
          <w:tcPr>
            <w:tcW w:w="57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for the purposes of Section 1350 of Chapter 63 of Title 18 of the U.S. Code, as adopted pursuant to Section 906 of the Sarbanes-Oxley Act of 2002, in his capacity as Acting Chief Executive Officer and Chief Financial Officer of MEI Pharma, Inc. (“MEI Pharma”) that, to his knowledge, this Annual Report on Form 10-K of MEI Pharma, for the year ended June 30, 2025, fully complies with the requirements of Section 13(a) or Section 15(d) of the Securities Exchange Act of 1934, as amended, and that the information contained in such report fairly presents, in all material respects, the financial condition and results of operations of MEI Pharma.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26, 2025</w:t>
      </w:r>
    </w:p>
    <w:p>
      <w:pPr>
        <w:spacing w:after="0" w:line="200" w:lineRule="exact"/>
        <w:rPr>
          <w:sz w:val="20"/>
          <w:szCs w:val="20"/>
          <w:color w:val="auto"/>
        </w:rPr>
      </w:pPr>
    </w:p>
    <w:p>
      <w:pPr>
        <w:spacing w:after="0" w:line="27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/s/ Justin J. File</w:t>
      </w:r>
    </w:p>
    <w:p>
      <w:pPr>
        <w:spacing w:after="0" w:line="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-116205</wp:posOffset>
            </wp:positionV>
            <wp:extent cx="33261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Acting Chief Executive Officer and Chief Financial Officer</w:t>
      </w:r>
    </w:p>
    <w:p>
      <w:pPr>
        <w:spacing w:after="0" w:line="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(Principal Executive Officer and Principal Financial Officer)</w:t>
      </w:r>
    </w:p>
    <w:p>
      <w:pPr>
        <w:spacing w:after="0" w:line="22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report to which they relate, are not deemed filed with the Securities and Exchange Commission and are not to be incorporated by reference into any filing of MEI Pharma under the Securities Act of 1933, as amended, or the Securities Exchange Act of 1934, as amended, except to the extent MEI Pharma specifically incorporates it by reference.</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MEI Pharma and will be retained by MEI Pharma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1."/>
      <w:numFmt w:val="decimal"/>
      <w:start w:val="15"/>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1."/>
      <w:numFmt w:val="decimal"/>
      <w:start w:val="606"/>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lowerRoman"/>
      <w:start w:val="2"/>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o"/>
      <w:numFmt w:val="bullet"/>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2"/>
    </w:lvl>
  </w:abstractNum>
  <w:abstractNum w:abstractNumId="44">
    <w:nsid w:val="15B5AF5C"/>
    <w:multiLevelType w:val="hybridMultilevel"/>
    <w:lvl w:ilvl="0">
      <w:lvlJc w:val="left"/>
      <w:lvlText w:val="%1"/>
      <w:numFmt w:val="decimal"/>
      <w:start w:val="1"/>
    </w:lvl>
    <w:lvl w:ilvl="1">
      <w:lvlJc w:val="left"/>
      <w:lvlText w:val="(%2)"/>
      <w:numFmt w:val="lowerRoman"/>
      <w:start w:val="1"/>
    </w:lvl>
  </w:abstractNum>
  <w:abstractNum w:abstractNumId="45">
    <w:nsid w:val="741226BB"/>
    <w:multiLevelType w:val="hybridMultilevel"/>
    <w:lvl w:ilvl="0">
      <w:lvlJc w:val="left"/>
      <w:lvlText w:val="(%1)"/>
      <w:numFmt w:val="decimal"/>
      <w:start w:val="4"/>
    </w:lvl>
    <w:lvl w:ilvl="1">
      <w:lvlJc w:val="left"/>
      <w:lvlText w:val="%2"/>
      <w:numFmt w:val="lowerRoman"/>
      <w:start w:val="1"/>
    </w:lvl>
  </w:abstractNum>
  <w:abstractNum w:abstractNumId="46">
    <w:nsid w:val="D34B6A8"/>
    <w:multiLevelType w:val="hybridMultilevel"/>
    <w:lvl w:ilvl="0">
      <w:lvlJc w:val="left"/>
      <w:lvlText w:val="%1"/>
      <w:numFmt w:val="decimal"/>
      <w:start w:val="1"/>
    </w:lvl>
    <w:lvl w:ilvl="1">
      <w:lvlJc w:val="left"/>
      <w:lvlText w:val="(%2)"/>
      <w:numFmt w:val="decimal"/>
      <w:start w:val="1"/>
    </w:lvl>
  </w:abstractNum>
  <w:abstractNum w:abstractNumId="47">
    <w:nsid w:val="10233C99"/>
    <w:multiLevelType w:val="hybridMultilevel"/>
    <w:lvl w:ilvl="0">
      <w:lvlJc w:val="left"/>
      <w:lvlText w:val="(%1)"/>
      <w:numFmt w:val="decimal"/>
      <w:start w:val="2"/>
    </w:lvl>
    <w:lvl w:ilvl="1">
      <w:lvlJc w:val="left"/>
      <w:lvlText w:val="%2"/>
      <w:numFmt w:val="decimal"/>
      <w:start w:val="1"/>
    </w:lvl>
  </w:abstractNum>
  <w:abstractNum w:abstractNumId="48">
    <w:nsid w:val="3F6AB60F"/>
    <w:multiLevelType w:val="hybridMultilevel"/>
    <w:lvl w:ilvl="0">
      <w:lvlJc w:val="left"/>
      <w:lvlText w:val="(%1)"/>
      <w:numFmt w:val="decimal"/>
      <w:start w:val="9"/>
    </w:lvl>
  </w:abstractNum>
  <w:abstractNum w:abstractNumId="49">
    <w:nsid w:val="61574095"/>
    <w:multiLevelType w:val="hybridMultilevel"/>
    <w:lvl w:ilvl="0">
      <w:lvlJc w:val="left"/>
      <w:lvlText w:val="(%1)"/>
      <w:numFmt w:val="decimal"/>
    </w:lvl>
    <w:lvl w:ilvl="1">
      <w:lvlJc w:val="left"/>
      <w:lvlText w:val="*"/>
      <w:numFmt w:val="bullet"/>
      <w:start w:val="1"/>
    </w:lvl>
  </w:abstractNum>
  <w:abstractNum w:abstractNumId="50">
    <w:nsid w:val="7E0C57B1"/>
    <w:multiLevelType w:val="hybridMultilevel"/>
    <w:lvl w:ilvl="0">
      <w:lvlJc w:val="left"/>
      <w:lvlText w:val="(%1)"/>
      <w:numFmt w:val="decimal"/>
      <w:start w:val="3"/>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lowerLetter"/>
      <w:start w:val="1"/>
    </w:lvl>
  </w:abstractNum>
  <w:abstractNum w:abstractNumId="53">
    <w:nsid w:val="310C50B3"/>
    <w:multiLevelType w:val="hybridMultilevel"/>
    <w:lvl w:ilvl="0">
      <w:lvlJc w:val="left"/>
      <w:lvlText w:val="%1"/>
      <w:numFmt w:val="decimal"/>
      <w:start w:val="97"/>
    </w:lvl>
  </w:abstractNum>
  <w:abstractNum w:abstractNumId="54">
    <w:nsid w:val="5FF87E05"/>
    <w:multiLevelType w:val="hybridMultilevel"/>
    <w:lvl w:ilvl="0">
      <w:lvlJc w:val="left"/>
      <w:lvlText w:val="%1"/>
      <w:numFmt w:val="decimal"/>
      <w:start w:val="104"/>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3"/>
    </w:lvl>
  </w:abstractNum>
  <w:abstractNum w:abstractNumId="61">
    <w:nsid w:val="5DB70AE5"/>
    <w:multiLevelType w:val="hybridMultilevel"/>
    <w:lvl w:ilvl="0">
      <w:lvlJc w:val="left"/>
      <w:lvlText w:val="%1."/>
      <w:numFmt w:val="upperLetter"/>
      <w:start w:val="9"/>
    </w:lvl>
  </w:abstractNum>
  <w:abstractNum w:abstractNumId="62">
    <w:nsid w:val="100F8FCA"/>
    <w:multiLevelType w:val="hybridMultilevel"/>
    <w:lvl w:ilvl="0">
      <w:lvlJc w:val="left"/>
      <w:lvlText w:val="%1."/>
      <w:numFmt w:val="upperLetter"/>
      <w:start w:val="35"/>
    </w:lvl>
    <w:lvl w:ilvl="1">
      <w:lvlJc w:val="left"/>
      <w:lvlText w:val="%2"/>
      <w:numFmt w:val="upperLetter"/>
      <w:start w:val="1"/>
    </w:lvl>
  </w:abstractNum>
  <w:abstractNum w:abstractNumId="63">
    <w:nsid w:val="6590700B"/>
    <w:multiLevelType w:val="hybridMultilevel"/>
    <w:lvl w:ilvl="0">
      <w:lvlJc w:val="left"/>
      <w:lvlText w:val="%1."/>
      <w:numFmt w:val="upperLetter"/>
      <w:start w:val="61"/>
    </w:lvl>
    <w:lvl w:ilvl="1">
      <w:lvlJc w:val="left"/>
      <w:lvlText w:val="%2"/>
      <w:numFmt w:val="upperLetter"/>
      <w:start w:val="1"/>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lowerLetter"/>
      <w:start w:val="1"/>
    </w:lvl>
    <w:lvl w:ilvl="1">
      <w:lvlJc w:val="left"/>
      <w:lvlText w:val="(%2)"/>
      <w:numFmt w:val="lowerLetter"/>
      <w:start w:val="6"/>
    </w:lvl>
  </w:abstractNum>
  <w:abstractNum w:abstractNumId="66">
    <w:nsid w:val="98A3148"/>
    <w:multiLevelType w:val="hybridMultilevel"/>
    <w:lvl w:ilvl="0">
      <w:lvlJc w:val="left"/>
      <w:lvlText w:val="(%1)"/>
      <w:numFmt w:val="lowerLetter"/>
      <w:start w:val="11"/>
    </w:lvl>
    <w:lvl w:ilvl="1">
      <w:lvlJc w:val="left"/>
      <w:lvlText w:val="%2"/>
      <w:numFmt w:val="lowerLetter"/>
      <w:start w:val="1"/>
    </w:lvl>
  </w:abstractNum>
  <w:abstractNum w:abstractNumId="67">
    <w:nsid w:val="799D0247"/>
    <w:multiLevelType w:val="hybridMultilevel"/>
    <w:lvl w:ilvl="0">
      <w:lvlJc w:val="left"/>
      <w:lvlText w:val="(%1)"/>
      <w:numFmt w:val="lowerLetter"/>
      <w:start w:val="1"/>
    </w:lvl>
    <w:lvl w:ilvl="1">
      <w:lvlJc w:val="left"/>
      <w:lvlText w:val="(%2)"/>
      <w:numFmt w:val="lowerLetter"/>
      <w:start w:val="35"/>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jpe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04" Type="http://schemas.openxmlformats.org/officeDocument/2006/relationships/hyperlink" Target="https://www.sec.gov/Archives/edgar/data/1262104/000095017023072612/meip-ex3_1.htm" TargetMode="External"/><Relationship Id="rId305" Type="http://schemas.openxmlformats.org/officeDocument/2006/relationships/hyperlink" Target="https://www.sec.gov/Archives/edgar/data/1262104/000095012303012005/y90124a1exv4w1.txt" TargetMode="External"/><Relationship Id="rId306" Type="http://schemas.openxmlformats.org/officeDocument/2006/relationships/hyperlink" Target="https://www.sec.gov/Archives/edgar/data/1262104/000119312518165462/d586784dex101.htm" TargetMode="External"/><Relationship Id="rId307" Type="http://schemas.openxmlformats.org/officeDocument/2006/relationships/hyperlink" Target="https://www.sec.gov/Archives/edgar/data/1262104/000119312520242169/d58841dex43.htm" TargetMode="External"/><Relationship Id="rId308" Type="http://schemas.openxmlformats.org/officeDocument/2006/relationships/hyperlink" Target="https://www.sec.gov/Archives/edgar/data/1262104/000095017023049927/meip-ex4_4.htm" TargetMode="External"/><Relationship Id="rId309" Type="http://schemas.openxmlformats.org/officeDocument/2006/relationships/hyperlink" Target="https://www.sec.gov/Archives/edgar/data/1262104/000114036125026773/ef20052363_ex4-1.htm" TargetMode="External"/><Relationship Id="rId310" Type="http://schemas.openxmlformats.org/officeDocument/2006/relationships/hyperlink" Target="https://www.sec.gov/Archives/edgar/data/1262104/000114036125026773/ef20052363_ex4-2.htm" TargetMode="External"/><Relationship Id="rId311" Type="http://schemas.openxmlformats.org/officeDocument/2006/relationships/hyperlink" Target="https://www.sec.gov/Archives/edgar/data/1262104/000114036125026773/ef20052363_ex4-3.htm" TargetMode="External"/><Relationship Id="rId312" Type="http://schemas.openxmlformats.org/officeDocument/2006/relationships/hyperlink" Target="https://www.sec.gov/Archives/edgar/data/1262104/000114036125026773/ef20052363_ex4-4.htm" TargetMode="External"/><Relationship Id="rId313" Type="http://schemas.openxmlformats.org/officeDocument/2006/relationships/hyperlink" Target="https://www.sec.gov/Archives/edgar/data/1262104/000114036125026773/ef20052363_ex4-5.htm" TargetMode="External"/><Relationship Id="rId314" Type="http://schemas.openxmlformats.org/officeDocument/2006/relationships/hyperlink" Target="https://www.sec.gov/Archives/edgar/data/1262104/000114036125026773/ef20052363_ex4-6.htm" TargetMode="External"/><Relationship Id="rId315" Type="http://schemas.openxmlformats.org/officeDocument/2006/relationships/hyperlink" Target="https://www.sec.gov/Archives/edgar/data/1262104/000095017023049927/meip-ex10_22.htm" TargetMode="External"/><Relationship Id="rId316" Type="http://schemas.openxmlformats.org/officeDocument/2006/relationships/hyperlink" Target="https://www.sec.gov/Archives/edgar/data/1262104/000095017024056834/meip-ex10_1.htm" TargetMode="External"/><Relationship Id="rId317" Type="http://schemas.openxmlformats.org/officeDocument/2006/relationships/hyperlink" Target="https://www.sec.gov/Archives/edgar/data/1262104/000119312511235271/dex101.htm" TargetMode="External"/><Relationship Id="rId318" Type="http://schemas.openxmlformats.org/officeDocument/2006/relationships/hyperlink" Target="https://www.sec.gov/Archives/edgar/data/1262104/000119312517336509/d445348dex101.htm" TargetMode="External"/><Relationship Id="rId319" Type="http://schemas.openxmlformats.org/officeDocument/2006/relationships/hyperlink" Target="https://www.sec.gov/Archives/edgar/data/1262104/000119312519030835/d656704dex101.htm" TargetMode="External"/><Relationship Id="rId320" Type="http://schemas.openxmlformats.org/officeDocument/2006/relationships/hyperlink" Target="https://www.sec.gov/Archives/edgar/data/1262104/000119312520242169/d58841dex1018.htm" TargetMode="External"/><Relationship Id="rId321" Type="http://schemas.openxmlformats.org/officeDocument/2006/relationships/hyperlink" Target="https://www.sec.gov/Archives/edgar/data/1262104/000119312523166013/d516259dex101.htm" TargetMode="External"/><Relationship Id="rId324" Type="http://schemas.openxmlformats.org/officeDocument/2006/relationships/hyperlink" Target="https://www.sec.gov/Archives/edgar/data/1262104/000095017025035544/meip-ex10_1.htm" TargetMode="External"/><Relationship Id="rId325" Type="http://schemas.openxmlformats.org/officeDocument/2006/relationships/hyperlink" Target="https://www.sec.gov/Archives/edgar/data/1262104/000119312523166013/d516259dex103.htm" TargetMode="External"/><Relationship Id="rId326" Type="http://schemas.openxmlformats.org/officeDocument/2006/relationships/hyperlink" Target="https://www.sec.gov/Archives/edgar/data/1262104/000119312523189610/d529233dex101.htm" TargetMode="External"/><Relationship Id="rId327" Type="http://schemas.openxmlformats.org/officeDocument/2006/relationships/hyperlink" Target="https://www.sec.gov/Archives/edgar/data/1262104/000095017024125328/meip-ex10_4.htm" TargetMode="External"/><Relationship Id="rId328" Type="http://schemas.openxmlformats.org/officeDocument/2006/relationships/hyperlink" Target="https://www.sec.gov/Archives/edgar/data/1262104/000114036125026773/ef20052363_ex10-1.htm" TargetMode="External"/><Relationship Id="rId329" Type="http://schemas.openxmlformats.org/officeDocument/2006/relationships/hyperlink" Target="https://www.sec.gov/Archives/edgar/data/1262104/000114036125026773/ef20052363_ex10-2.htm" TargetMode="External"/><Relationship Id="rId330" Type="http://schemas.openxmlformats.org/officeDocument/2006/relationships/hyperlink" Target="https://www.sec.gov/Archives/edgar/data/1262104/000114036125026773/ef20052363_ex10-3.htm" TargetMode="External"/><Relationship Id="rId331" Type="http://schemas.openxmlformats.org/officeDocument/2006/relationships/hyperlink" Target="https://www.sec.gov/Archives/edgar/data/1262104/000114036125026773/ef20052363_ex10-4.htm" TargetMode="External"/><Relationship Id="rId332" Type="http://schemas.openxmlformats.org/officeDocument/2006/relationships/hyperlink" Target="https://www.sec.gov/Archives/edgar/data/1262104/000114036125026773/ef20052363_ex10-5.htm" TargetMode="External"/><Relationship Id="rId333" Type="http://schemas.openxmlformats.org/officeDocument/2006/relationships/hyperlink" Target="https://www.sec.gov/Archives/edgar/data/1262104/000114036125026773/ef20052363_ex10-6.htm" TargetMode="External"/><Relationship Id="rId334" Type="http://schemas.openxmlformats.org/officeDocument/2006/relationships/hyperlink" Target="https://www.sec.gov/Archives/edgar/data/1262104/000114036125026773/ef20052363_ex10-7.htm" TargetMode="External"/><Relationship Id="rId335" Type="http://schemas.openxmlformats.org/officeDocument/2006/relationships/hyperlink" Target="https://www.sec.gov/Archives/edgar/data/1262104/000092963825003398/exhibit10-1.htm" TargetMode="External"/><Relationship Id="rId336" Type="http://schemas.openxmlformats.org/officeDocument/2006/relationships/hyperlink" Target="https://www.sec.gov/Archives/edgar/data/1262104/000095017024108185/meip-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2025-09-26T15:23:08Z</dcterms:created>
  <dcterms:modified xsi:type="dcterms:W3CDTF">2025-09-26T15:23:08Z</dcterms:modified>
</cp:coreProperties>
</file>