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660" w:right="1620" w:hanging="3639"/>
        <w:spacing w:after="0" w:line="400"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4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06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MEI Pharma,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860" w:type="dxa"/>
            <w:vAlign w:val="bottom"/>
          </w:tcPr>
          <w:p>
            <w:pPr>
              <w:jc w:val="center"/>
              <w:ind w:left="2028"/>
              <w:spacing w:after="0"/>
              <w:rPr>
                <w:sz w:val="20"/>
                <w:szCs w:val="20"/>
                <w:color w:val="auto"/>
              </w:rPr>
            </w:pPr>
            <w:r>
              <w:rPr>
                <w:rFonts w:ascii="Arial" w:cs="Arial" w:eastAsia="Arial" w:hAnsi="Arial"/>
                <w:sz w:val="16"/>
                <w:szCs w:val="16"/>
                <w:b w:val="1"/>
                <w:bCs w:val="1"/>
                <w:color w:val="auto"/>
                <w:w w:val="99"/>
              </w:rPr>
              <w:t>DELAWARE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60" w:type="dxa"/>
            <w:vAlign w:val="bottom"/>
          </w:tcPr>
          <w:p>
            <w:pPr>
              <w:jc w:val="center"/>
              <w:ind w:right="1468"/>
              <w:spacing w:after="0"/>
              <w:rPr>
                <w:sz w:val="20"/>
                <w:szCs w:val="20"/>
                <w:color w:val="auto"/>
              </w:rPr>
            </w:pPr>
            <w:r>
              <w:rPr>
                <w:rFonts w:ascii="Arial" w:cs="Arial" w:eastAsia="Arial" w:hAnsi="Arial"/>
                <w:sz w:val="16"/>
                <w:szCs w:val="16"/>
                <w:b w:val="1"/>
                <w:bCs w:val="1"/>
                <w:color w:val="auto"/>
                <w:w w:val="91"/>
              </w:rPr>
              <w:t>51-0407811</w:t>
            </w:r>
          </w:p>
        </w:tc>
        <w:tc>
          <w:tcPr>
            <w:tcW w:w="0" w:type="dxa"/>
            <w:vAlign w:val="bottom"/>
          </w:tcPr>
          <w:p>
            <w:pPr>
              <w:spacing w:after="0"/>
              <w:rPr>
                <w:sz w:val="1"/>
                <w:szCs w:val="1"/>
                <w:color w:val="auto"/>
              </w:rPr>
            </w:pPr>
          </w:p>
        </w:tc>
      </w:tr>
      <w:tr>
        <w:trPr>
          <w:trHeight w:val="135"/>
        </w:trPr>
        <w:tc>
          <w:tcPr>
            <w:tcW w:w="3860" w:type="dxa"/>
            <w:vAlign w:val="bottom"/>
          </w:tcPr>
          <w:p>
            <w:pPr>
              <w:jc w:val="center"/>
              <w:ind w:left="200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60" w:type="dxa"/>
            <w:vAlign w:val="bottom"/>
          </w:tcPr>
          <w:p>
            <w:pPr>
              <w:jc w:val="center"/>
              <w:ind w:right="1468"/>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860" w:type="dxa"/>
            <w:vAlign w:val="bottom"/>
          </w:tcPr>
          <w:p>
            <w:pPr>
              <w:jc w:val="center"/>
              <w:ind w:left="2028"/>
              <w:spacing w:after="0"/>
              <w:rPr>
                <w:sz w:val="20"/>
                <w:szCs w:val="20"/>
                <w:color w:val="auto"/>
              </w:rPr>
            </w:pPr>
            <w:r>
              <w:rPr>
                <w:rFonts w:ascii="Arial" w:cs="Arial" w:eastAsia="Arial" w:hAnsi="Arial"/>
                <w:sz w:val="13"/>
                <w:szCs w:val="13"/>
                <w:b w:val="1"/>
                <w:bCs w:val="1"/>
                <w:color w:val="auto"/>
                <w:w w:val="88"/>
              </w:rPr>
              <w:t>incorporation or organization)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60" w:type="dxa"/>
            <w:vAlign w:val="bottom"/>
          </w:tcPr>
          <w:p>
            <w:pPr>
              <w:jc w:val="center"/>
              <w:ind w:right="1468"/>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389"/>
        </w:trPr>
        <w:tc>
          <w:tcPr>
            <w:tcW w:w="3860" w:type="dxa"/>
            <w:vAlign w:val="bottom"/>
          </w:tcPr>
          <w:p>
            <w:pPr>
              <w:spacing w:after="0"/>
              <w:rPr>
                <w:sz w:val="24"/>
                <w:szCs w:val="2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6"/>
                <w:szCs w:val="16"/>
                <w:b w:val="1"/>
                <w:bCs w:val="1"/>
                <w:color w:val="auto"/>
                <w:w w:val="92"/>
              </w:rPr>
              <w:t>11455 El Camino Real, San Diego, CA 92130</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3420" w:type="dxa"/>
            <w:vAlign w:val="bottom"/>
            <w:gridSpan w:val="7"/>
          </w:tcPr>
          <w:p>
            <w:pPr>
              <w:jc w:val="center"/>
              <w:ind w:left="46"/>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860" w:type="dxa"/>
            <w:vAlign w:val="bottom"/>
          </w:tcPr>
          <w:p>
            <w:pPr>
              <w:spacing w:after="0"/>
              <w:rPr>
                <w:sz w:val="23"/>
                <w:szCs w:val="23"/>
                <w:color w:val="auto"/>
              </w:rPr>
            </w:pPr>
          </w:p>
        </w:tc>
        <w:tc>
          <w:tcPr>
            <w:tcW w:w="2340" w:type="dxa"/>
            <w:vAlign w:val="bottom"/>
            <w:gridSpan w:val="5"/>
          </w:tcPr>
          <w:p>
            <w:pPr>
              <w:jc w:val="center"/>
              <w:ind w:left="1126"/>
              <w:spacing w:after="0"/>
              <w:rPr>
                <w:sz w:val="20"/>
                <w:szCs w:val="20"/>
                <w:color w:val="auto"/>
              </w:rPr>
            </w:pPr>
            <w:r>
              <w:rPr>
                <w:rFonts w:ascii="Arial" w:cs="Arial" w:eastAsia="Arial" w:hAnsi="Arial"/>
                <w:sz w:val="16"/>
                <w:szCs w:val="16"/>
                <w:b w:val="1"/>
                <w:bCs w:val="1"/>
                <w:color w:val="auto"/>
                <w:w w:val="93"/>
              </w:rPr>
              <w:t>(858) 369-7100</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1"/>
                <w:szCs w:val="21"/>
                <w:color w:val="auto"/>
              </w:rPr>
            </w:pPr>
          </w:p>
        </w:tc>
        <w:tc>
          <w:tcPr>
            <w:tcW w:w="7380" w:type="dxa"/>
            <w:vAlign w:val="bottom"/>
            <w:gridSpan w:val="8"/>
          </w:tcPr>
          <w:p>
            <w:pPr>
              <w:ind w:left="8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61"/>
        </w:trPr>
        <w:tc>
          <w:tcPr>
            <w:tcW w:w="38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89"/>
              </w:rPr>
              <w:t>Title of each class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7"/>
              </w:rPr>
              <w:t>Trading</w:t>
            </w:r>
          </w:p>
        </w:tc>
        <w:tc>
          <w:tcPr>
            <w:tcW w:w="3960" w:type="dxa"/>
            <w:vAlign w:val="bottom"/>
            <w:vMerge w:val="restart"/>
          </w:tcPr>
          <w:p>
            <w:pPr>
              <w:jc w:val="center"/>
              <w:ind w:right="100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1"/>
              </w:rPr>
              <w:t>Symbol(s)</w:t>
            </w: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60" w:type="dxa"/>
            <w:vAlign w:val="bottom"/>
            <w:tcBorders>
              <w:top w:val="single" w:sz="8" w:color="auto"/>
            </w:tcBorders>
          </w:tcPr>
          <w:p>
            <w:pPr>
              <w:jc w:val="center"/>
              <w:ind w:left="368"/>
              <w:spacing w:after="0"/>
              <w:rPr>
                <w:sz w:val="20"/>
                <w:szCs w:val="20"/>
                <w:color w:val="auto"/>
              </w:rPr>
            </w:pPr>
            <w:r>
              <w:rPr>
                <w:rFonts w:ascii="Arial" w:cs="Arial" w:eastAsia="Arial" w:hAnsi="Arial"/>
                <w:sz w:val="16"/>
                <w:szCs w:val="16"/>
                <w:b w:val="1"/>
                <w:bCs w:val="1"/>
                <w:color w:val="auto"/>
                <w:w w:val="91"/>
              </w:rPr>
              <w:t>Common Stock, $0.00000002 par value</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MEIP</w:t>
            </w:r>
          </w:p>
        </w:tc>
        <w:tc>
          <w:tcPr>
            <w:tcW w:w="120" w:type="dxa"/>
            <w:vAlign w:val="bottom"/>
          </w:tcPr>
          <w:p>
            <w:pPr>
              <w:spacing w:after="0"/>
              <w:rPr>
                <w:sz w:val="17"/>
                <w:szCs w:val="17"/>
                <w:color w:val="auto"/>
              </w:rPr>
            </w:pPr>
          </w:p>
        </w:tc>
        <w:tc>
          <w:tcPr>
            <w:tcW w:w="1080" w:type="dxa"/>
            <w:vAlign w:val="bottom"/>
            <w:tcBorders>
              <w:top w:val="single" w:sz="8" w:color="auto"/>
            </w:tcBorders>
            <w:gridSpan w:val="2"/>
          </w:tcPr>
          <w:p>
            <w:pPr>
              <w:spacing w:after="0"/>
              <w:rPr>
                <w:sz w:val="17"/>
                <w:szCs w:val="17"/>
                <w:color w:val="auto"/>
              </w:rPr>
            </w:pPr>
          </w:p>
        </w:tc>
        <w:tc>
          <w:tcPr>
            <w:tcW w:w="3960" w:type="dxa"/>
            <w:vAlign w:val="bottom"/>
            <w:tcBorders>
              <w:top w:val="single" w:sz="8" w:color="auto"/>
            </w:tcBorders>
          </w:tcPr>
          <w:p>
            <w:pPr>
              <w:jc w:val="center"/>
              <w:ind w:right="1008"/>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7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67"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756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300"/>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10, 2022, the number of shares outstanding of the issuer’s common stock, $0.00000002 par value, was 133,260,865.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40" w:type="dxa"/>
            <w:vAlign w:val="bottom"/>
            <w:gridSpan w:val="22"/>
          </w:tcPr>
          <w:p>
            <w:pPr>
              <w:spacing w:after="0"/>
              <w:rPr>
                <w:sz w:val="20"/>
                <w:szCs w:val="20"/>
                <w:color w:val="auto"/>
              </w:rPr>
            </w:pPr>
            <w:r>
              <w:rPr>
                <w:rFonts w:ascii="Arial" w:cs="Arial" w:eastAsia="Arial" w:hAnsi="Arial"/>
                <w:sz w:val="18"/>
                <w:szCs w:val="18"/>
                <w:color w:val="0000FF"/>
              </w:rPr>
              <w:t>Table of Contents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rPr>
              <w:t>MEI PHARMA,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w w:val="89"/>
              </w:rPr>
              <w:t>Table of Contents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38"/>
        </w:trPr>
        <w:tc>
          <w:tcPr>
            <w:tcW w:w="1280" w:type="dxa"/>
            <w:vAlign w:val="bottom"/>
          </w:tcPr>
          <w:p>
            <w:pPr>
              <w:ind w:left="240"/>
              <w:spacing w:after="0"/>
              <w:rPr>
                <w:sz w:val="20"/>
                <w:szCs w:val="20"/>
                <w:color w:val="auto"/>
              </w:rPr>
            </w:pPr>
            <w:r>
              <w:rPr>
                <w:rFonts w:ascii="Arial" w:cs="Arial" w:eastAsia="Arial" w:hAnsi="Arial"/>
                <w:sz w:val="18"/>
                <w:szCs w:val="18"/>
                <w:b w:val="1"/>
                <w:bCs w:val="1"/>
                <w:color w:val="auto"/>
              </w:rPr>
              <w:t>PART I</w:t>
            </w:r>
          </w:p>
        </w:tc>
        <w:tc>
          <w:tcPr>
            <w:tcW w:w="8360" w:type="dxa"/>
            <w:vAlign w:val="bottom"/>
            <w:gridSpan w:val="21"/>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360" w:type="dxa"/>
            <w:vAlign w:val="bottom"/>
            <w:gridSpan w:val="21"/>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40"/>
              <w:spacing w:after="0"/>
              <w:rPr>
                <w:sz w:val="20"/>
                <w:szCs w:val="20"/>
                <w:color w:val="auto"/>
              </w:rPr>
            </w:pPr>
            <w:r>
              <w:rPr>
                <w:rFonts w:ascii="Arial" w:cs="Arial" w:eastAsia="Arial" w:hAnsi="Arial"/>
                <w:sz w:val="18"/>
                <w:szCs w:val="18"/>
                <w:color w:val="auto"/>
              </w:rPr>
              <w:t>Item 1.</w:t>
            </w: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vMerge w:val="continue"/>
          </w:tcPr>
          <w:p>
            <w:pPr>
              <w:spacing w:after="0"/>
              <w:rPr>
                <w:sz w:val="24"/>
                <w:szCs w:val="24"/>
                <w:color w:val="auto"/>
              </w:rPr>
            </w:pPr>
          </w:p>
        </w:tc>
        <w:tc>
          <w:tcPr>
            <w:tcW w:w="3260" w:type="dxa"/>
            <w:vAlign w:val="bottom"/>
            <w:gridSpan w:val="12"/>
            <w:vMerge w:val="restart"/>
          </w:tcPr>
          <w:p>
            <w:pPr>
              <w:spacing w:after="0"/>
              <w:rPr>
                <w:sz w:val="20"/>
                <w:szCs w:val="20"/>
                <w:color w:val="auto"/>
              </w:rPr>
            </w:pPr>
            <w:r>
              <w:rPr>
                <w:rFonts w:ascii="Arial" w:cs="Arial" w:eastAsia="Arial" w:hAnsi="Arial"/>
                <w:sz w:val="18"/>
                <w:szCs w:val="18"/>
                <w:color w:val="0000FF"/>
                <w:w w:val="88"/>
              </w:rPr>
              <w:t>Condensed Financial Statements (Unaudited)</w:t>
            </w:r>
          </w:p>
        </w:tc>
        <w:tc>
          <w:tcPr>
            <w:tcW w:w="20" w:type="dxa"/>
            <w:vAlign w:val="bottom"/>
            <w:vMerge w:val="restart"/>
          </w:tcPr>
          <w:p>
            <w:pPr>
              <w:spacing w:after="0"/>
              <w:rPr>
                <w:sz w:val="24"/>
                <w:szCs w:val="24"/>
                <w:color w:val="auto"/>
              </w:rPr>
            </w:pPr>
          </w:p>
        </w:tc>
        <w:tc>
          <w:tcPr>
            <w:tcW w:w="5080" w:type="dxa"/>
            <w:vAlign w:val="bottom"/>
            <w:gridSpan w:val="8"/>
            <w:vMerge w:val="restart"/>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2"/>
                <w:szCs w:val="12"/>
                <w:color w:val="auto"/>
              </w:rPr>
            </w:pPr>
          </w:p>
        </w:tc>
        <w:tc>
          <w:tcPr>
            <w:tcW w:w="3260" w:type="dxa"/>
            <w:vAlign w:val="bottom"/>
            <w:tcBorders>
              <w:bottom w:val="single" w:sz="8" w:color="0000FF"/>
            </w:tcBorders>
            <w:gridSpan w:val="12"/>
            <w:vMerge w:val="continue"/>
          </w:tcPr>
          <w:p>
            <w:pPr>
              <w:spacing w:after="0"/>
              <w:rPr>
                <w:sz w:val="12"/>
                <w:szCs w:val="12"/>
                <w:color w:val="auto"/>
              </w:rPr>
            </w:pPr>
          </w:p>
        </w:tc>
        <w:tc>
          <w:tcPr>
            <w:tcW w:w="20" w:type="dxa"/>
            <w:vAlign w:val="bottom"/>
            <w:tcBorders>
              <w:bottom w:val="single" w:sz="8" w:color="0000EE"/>
            </w:tcBorders>
            <w:vMerge w:val="continue"/>
          </w:tcPr>
          <w:p>
            <w:pPr>
              <w:spacing w:after="0"/>
              <w:rPr>
                <w:sz w:val="12"/>
                <w:szCs w:val="12"/>
                <w:color w:val="auto"/>
              </w:rPr>
            </w:pPr>
          </w:p>
        </w:tc>
        <w:tc>
          <w:tcPr>
            <w:tcW w:w="5080" w:type="dxa"/>
            <w:vAlign w:val="bottom"/>
            <w:gridSpan w:val="8"/>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1"/>
        </w:trPr>
        <w:tc>
          <w:tcPr>
            <w:tcW w:w="1280" w:type="dxa"/>
            <w:vAlign w:val="bottom"/>
          </w:tcPr>
          <w:p>
            <w:pPr>
              <w:spacing w:after="0"/>
              <w:rPr>
                <w:sz w:val="24"/>
                <w:szCs w:val="24"/>
                <w:color w:val="auto"/>
              </w:rPr>
            </w:pPr>
          </w:p>
        </w:tc>
        <w:tc>
          <w:tcPr>
            <w:tcW w:w="8360" w:type="dxa"/>
            <w:vAlign w:val="bottom"/>
            <w:gridSpan w:val="21"/>
          </w:tcPr>
          <w:p>
            <w:pPr>
              <w:spacing w:after="0"/>
              <w:rPr>
                <w:sz w:val="20"/>
                <w:szCs w:val="20"/>
                <w:color w:val="auto"/>
              </w:rPr>
            </w:pPr>
            <w:r>
              <w:rPr>
                <w:rFonts w:ascii="Arial" w:cs="Arial" w:eastAsia="Arial" w:hAnsi="Arial"/>
                <w:sz w:val="18"/>
                <w:szCs w:val="18"/>
                <w:color w:val="0000FF"/>
              </w:rPr>
              <w:t>Condensed Balance Sheets as of September 30, 2022 and June 30, 2022</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280" w:type="dxa"/>
            <w:vAlign w:val="bottom"/>
          </w:tcPr>
          <w:p>
            <w:pPr>
              <w:spacing w:after="0"/>
              <w:rPr>
                <w:sz w:val="24"/>
                <w:szCs w:val="24"/>
                <w:color w:val="auto"/>
              </w:rPr>
            </w:pPr>
          </w:p>
        </w:tc>
        <w:tc>
          <w:tcPr>
            <w:tcW w:w="8360" w:type="dxa"/>
            <w:vAlign w:val="bottom"/>
            <w:gridSpan w:val="21"/>
          </w:tcPr>
          <w:p>
            <w:pPr>
              <w:spacing w:after="0"/>
              <w:rPr>
                <w:sz w:val="20"/>
                <w:szCs w:val="20"/>
                <w:color w:val="auto"/>
              </w:rPr>
            </w:pPr>
            <w:r>
              <w:rPr>
                <w:rFonts w:ascii="Arial" w:cs="Arial" w:eastAsia="Arial" w:hAnsi="Arial"/>
                <w:sz w:val="18"/>
                <w:szCs w:val="18"/>
                <w:color w:val="0000FF"/>
              </w:rPr>
              <w:t>Condensed Statements of Operations for the three months ended September 30, 2022 and 2021</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280" w:type="dxa"/>
            <w:vAlign w:val="bottom"/>
          </w:tcPr>
          <w:p>
            <w:pPr>
              <w:spacing w:after="0"/>
              <w:rPr>
                <w:sz w:val="24"/>
                <w:szCs w:val="24"/>
                <w:color w:val="auto"/>
              </w:rPr>
            </w:pPr>
          </w:p>
        </w:tc>
        <w:tc>
          <w:tcPr>
            <w:tcW w:w="8360" w:type="dxa"/>
            <w:vAlign w:val="bottom"/>
            <w:gridSpan w:val="21"/>
          </w:tcPr>
          <w:p>
            <w:pPr>
              <w:spacing w:after="0"/>
              <w:rPr>
                <w:sz w:val="20"/>
                <w:szCs w:val="20"/>
                <w:color w:val="auto"/>
              </w:rPr>
            </w:pPr>
            <w:r>
              <w:rPr>
                <w:rFonts w:ascii="Arial" w:cs="Arial" w:eastAsia="Arial" w:hAnsi="Arial"/>
                <w:sz w:val="18"/>
                <w:szCs w:val="18"/>
                <w:color w:val="0000FF"/>
                <w:w w:val="98"/>
              </w:rPr>
              <w:t>Condensed Statements of Stockholders’ Equity for the three months ended September 30, 2022 and 2021</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01"/>
        </w:trPr>
        <w:tc>
          <w:tcPr>
            <w:tcW w:w="1280" w:type="dxa"/>
            <w:vAlign w:val="bottom"/>
          </w:tcPr>
          <w:p>
            <w:pPr>
              <w:spacing w:after="0"/>
              <w:rPr>
                <w:sz w:val="24"/>
                <w:szCs w:val="24"/>
                <w:color w:val="auto"/>
              </w:rPr>
            </w:pPr>
          </w:p>
        </w:tc>
        <w:tc>
          <w:tcPr>
            <w:tcW w:w="756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w w:val="97"/>
              </w:rPr>
              <w:t>Condensed Statements of Cash Flows for the three months ended September 30, 2022 and 2021</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01"/>
        </w:trPr>
        <w:tc>
          <w:tcPr>
            <w:tcW w:w="1280" w:type="dxa"/>
            <w:vAlign w:val="bottom"/>
          </w:tcPr>
          <w:p>
            <w:pPr>
              <w:spacing w:after="0"/>
              <w:rPr>
                <w:sz w:val="24"/>
                <w:szCs w:val="24"/>
                <w:color w:val="auto"/>
              </w:rPr>
            </w:pPr>
          </w:p>
        </w:tc>
        <w:tc>
          <w:tcPr>
            <w:tcW w:w="30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8"/>
              </w:rPr>
              <w:t>Notes to Condensed Financial Statements</w:t>
            </w:r>
          </w:p>
        </w:tc>
        <w:tc>
          <w:tcPr>
            <w:tcW w:w="3880" w:type="dxa"/>
            <w:vAlign w:val="bottom"/>
            <w:tcBorders>
              <w:top w:val="single" w:sz="8" w:color="0000FF"/>
            </w:tcBorders>
            <w:gridSpan w:val="8"/>
          </w:tcPr>
          <w:p>
            <w:pPr>
              <w:spacing w:after="0"/>
              <w:rPr>
                <w:sz w:val="24"/>
                <w:szCs w:val="24"/>
                <w:color w:val="auto"/>
              </w:rPr>
            </w:pPr>
          </w:p>
        </w:tc>
        <w:tc>
          <w:tcPr>
            <w:tcW w:w="148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53"/>
        </w:trPr>
        <w:tc>
          <w:tcPr>
            <w:tcW w:w="1280" w:type="dxa"/>
            <w:vAlign w:val="bottom"/>
          </w:tcPr>
          <w:p>
            <w:pPr>
              <w:ind w:left="240"/>
              <w:spacing w:after="0"/>
              <w:rPr>
                <w:sz w:val="20"/>
                <w:szCs w:val="20"/>
                <w:color w:val="auto"/>
              </w:rPr>
            </w:pPr>
            <w:r>
              <w:rPr>
                <w:rFonts w:ascii="Arial" w:cs="Arial" w:eastAsia="Arial" w:hAnsi="Arial"/>
                <w:sz w:val="18"/>
                <w:szCs w:val="18"/>
                <w:color w:val="auto"/>
              </w:rPr>
              <w:t>Item 2.</w:t>
            </w:r>
          </w:p>
        </w:tc>
        <w:tc>
          <w:tcPr>
            <w:tcW w:w="8360" w:type="dxa"/>
            <w:vAlign w:val="bottom"/>
            <w:gridSpan w:val="21"/>
            <w:vMerge w:val="restart"/>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360" w:type="dxa"/>
            <w:vAlign w:val="bottom"/>
            <w:gridSpan w:val="21"/>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1280" w:type="dxa"/>
            <w:vAlign w:val="bottom"/>
          </w:tcPr>
          <w:p>
            <w:pPr>
              <w:ind w:left="24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FF"/>
            </w:tcBorders>
            <w:gridSpan w:val="14"/>
            <w:vMerge w:val="restart"/>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tcBorders>
              <w:top w:val="single" w:sz="8" w:color="0000FF"/>
            </w:tcBorders>
            <w:gridSpan w:val="3"/>
            <w:vMerge w:val="restart"/>
          </w:tcPr>
          <w:p>
            <w:pPr>
              <w:spacing w:after="0"/>
              <w:rPr>
                <w:sz w:val="24"/>
                <w:szCs w:val="24"/>
                <w:color w:val="auto"/>
              </w:rPr>
            </w:pPr>
          </w:p>
        </w:tc>
        <w:tc>
          <w:tcPr>
            <w:tcW w:w="1920" w:type="dxa"/>
            <w:vAlign w:val="bottom"/>
            <w:gridSpan w:val="4"/>
            <w:vMerge w:val="restart"/>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2"/>
                <w:szCs w:val="12"/>
                <w:color w:val="auto"/>
              </w:rPr>
            </w:pPr>
          </w:p>
        </w:tc>
        <w:tc>
          <w:tcPr>
            <w:tcW w:w="4300" w:type="dxa"/>
            <w:vAlign w:val="bottom"/>
            <w:tcBorders>
              <w:bottom w:val="single" w:sz="8" w:color="0000FF"/>
            </w:tcBorders>
            <w:gridSpan w:val="14"/>
            <w:vMerge w:val="continue"/>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1280" w:type="dxa"/>
            <w:vAlign w:val="bottom"/>
          </w:tcPr>
          <w:p>
            <w:pPr>
              <w:ind w:left="240"/>
              <w:spacing w:after="0"/>
              <w:rPr>
                <w:sz w:val="20"/>
                <w:szCs w:val="20"/>
                <w:color w:val="auto"/>
              </w:rPr>
            </w:pPr>
            <w:r>
              <w:rPr>
                <w:rFonts w:ascii="Arial" w:cs="Arial" w:eastAsia="Arial" w:hAnsi="Arial"/>
                <w:sz w:val="18"/>
                <w:szCs w:val="18"/>
                <w:color w:val="auto"/>
              </w:rPr>
              <w:t>Item 4.</w:t>
            </w:r>
          </w:p>
        </w:tc>
        <w:tc>
          <w:tcPr>
            <w:tcW w:w="8360" w:type="dxa"/>
            <w:vAlign w:val="bottom"/>
            <w:gridSpan w:val="21"/>
            <w:vMerge w:val="restart"/>
          </w:tcPr>
          <w:p>
            <w:pPr>
              <w:spacing w:after="0"/>
              <w:rPr>
                <w:sz w:val="20"/>
                <w:szCs w:val="20"/>
                <w:color w:val="auto"/>
              </w:rPr>
            </w:pPr>
            <w:r>
              <w:rPr>
                <w:rFonts w:ascii="Arial" w:cs="Arial" w:eastAsia="Arial" w:hAnsi="Arial"/>
                <w:sz w:val="18"/>
                <w:szCs w:val="18"/>
                <w:color w:val="0000FF"/>
              </w:rPr>
              <w:t>Controls and Procedures</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360" w:type="dxa"/>
            <w:vAlign w:val="bottom"/>
            <w:gridSpan w:val="21"/>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80" w:type="dxa"/>
            <w:vAlign w:val="bottom"/>
            <w:vMerge w:val="continue"/>
          </w:tcPr>
          <w:p>
            <w:pPr>
              <w:spacing w:after="0"/>
              <w:rPr>
                <w:sz w:val="24"/>
                <w:szCs w:val="24"/>
                <w:color w:val="auto"/>
              </w:rPr>
            </w:pPr>
          </w:p>
        </w:tc>
        <w:tc>
          <w:tcPr>
            <w:tcW w:w="2020" w:type="dxa"/>
            <w:vAlign w:val="bottom"/>
            <w:gridSpan w:val="8"/>
            <w:vMerge w:val="restart"/>
          </w:tcPr>
          <w:p>
            <w:pPr>
              <w:spacing w:after="0"/>
              <w:rPr>
                <w:sz w:val="20"/>
                <w:szCs w:val="20"/>
                <w:color w:val="auto"/>
              </w:rPr>
            </w:pPr>
            <w:r>
              <w:rPr>
                <w:rFonts w:ascii="Arial" w:cs="Arial" w:eastAsia="Arial" w:hAnsi="Arial"/>
                <w:sz w:val="18"/>
                <w:szCs w:val="18"/>
                <w:b w:val="1"/>
                <w:bCs w:val="1"/>
                <w:color w:val="0000FF"/>
              </w:rPr>
              <w:t>OTHER INFORMATION</w:t>
            </w:r>
          </w:p>
        </w:tc>
        <w:tc>
          <w:tcPr>
            <w:tcW w:w="6340" w:type="dxa"/>
            <w:vAlign w:val="bottom"/>
            <w:gridSpan w:val="13"/>
            <w:vMerge w:val="restart"/>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2"/>
                <w:szCs w:val="12"/>
                <w:color w:val="auto"/>
              </w:rPr>
            </w:pPr>
          </w:p>
        </w:tc>
        <w:tc>
          <w:tcPr>
            <w:tcW w:w="2020" w:type="dxa"/>
            <w:vAlign w:val="bottom"/>
            <w:tcBorders>
              <w:bottom w:val="single" w:sz="8" w:color="0000FF"/>
            </w:tcBorders>
            <w:gridSpan w:val="8"/>
            <w:vMerge w:val="continue"/>
          </w:tcPr>
          <w:p>
            <w:pPr>
              <w:spacing w:after="0"/>
              <w:rPr>
                <w:sz w:val="12"/>
                <w:szCs w:val="12"/>
                <w:color w:val="auto"/>
              </w:rPr>
            </w:pPr>
          </w:p>
        </w:tc>
        <w:tc>
          <w:tcPr>
            <w:tcW w:w="6340" w:type="dxa"/>
            <w:vAlign w:val="bottom"/>
            <w:gridSpan w:val="13"/>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280" w:type="dxa"/>
            <w:vAlign w:val="bottom"/>
          </w:tcPr>
          <w:p>
            <w:pPr>
              <w:ind w:left="240"/>
              <w:spacing w:after="0"/>
              <w:rPr>
                <w:sz w:val="20"/>
                <w:szCs w:val="20"/>
                <w:color w:val="auto"/>
              </w:rPr>
            </w:pPr>
            <w:r>
              <w:rPr>
                <w:rFonts w:ascii="Arial" w:cs="Arial" w:eastAsia="Arial" w:hAnsi="Arial"/>
                <w:sz w:val="18"/>
                <w:szCs w:val="18"/>
                <w:color w:val="auto"/>
              </w:rPr>
              <w:t>Item 1.</w:t>
            </w:r>
          </w:p>
        </w:tc>
        <w:tc>
          <w:tcPr>
            <w:tcW w:w="836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53"/>
        </w:trPr>
        <w:tc>
          <w:tcPr>
            <w:tcW w:w="1280" w:type="dxa"/>
            <w:vAlign w:val="bottom"/>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tcBorders>
            <w:gridSpan w:val="3"/>
            <w:vMerge w:val="restart"/>
          </w:tcPr>
          <w:p>
            <w:pPr>
              <w:spacing w:after="0"/>
              <w:rPr>
                <w:sz w:val="20"/>
                <w:szCs w:val="20"/>
                <w:color w:val="auto"/>
              </w:rPr>
            </w:pPr>
            <w:r>
              <w:rPr>
                <w:rFonts w:ascii="Arial" w:cs="Arial" w:eastAsia="Arial" w:hAnsi="Arial"/>
                <w:sz w:val="18"/>
                <w:szCs w:val="18"/>
                <w:color w:val="0000FF"/>
                <w:w w:val="87"/>
              </w:rPr>
              <w:t>Risk Factors</w:t>
            </w:r>
          </w:p>
        </w:tc>
        <w:tc>
          <w:tcPr>
            <w:tcW w:w="20" w:type="dxa"/>
            <w:vAlign w:val="bottom"/>
            <w:tcBorders>
              <w:top w:val="single" w:sz="8" w:color="0000FF"/>
            </w:tcBorders>
            <w:vMerge w:val="restart"/>
          </w:tcPr>
          <w:p>
            <w:pPr>
              <w:spacing w:after="0"/>
              <w:rPr>
                <w:sz w:val="24"/>
                <w:szCs w:val="24"/>
                <w:color w:val="auto"/>
              </w:rPr>
            </w:pPr>
          </w:p>
        </w:tc>
        <w:tc>
          <w:tcPr>
            <w:tcW w:w="400" w:type="dxa"/>
            <w:vAlign w:val="bottom"/>
            <w:tcBorders>
              <w:top w:val="single" w:sz="8" w:color="0000FF"/>
            </w:tcBorders>
            <w:gridSpan w:val="2"/>
            <w:vMerge w:val="restart"/>
          </w:tcPr>
          <w:p>
            <w:pPr>
              <w:spacing w:after="0"/>
              <w:rPr>
                <w:sz w:val="24"/>
                <w:szCs w:val="24"/>
                <w:color w:val="auto"/>
              </w:rPr>
            </w:pPr>
          </w:p>
        </w:tc>
        <w:tc>
          <w:tcPr>
            <w:tcW w:w="7040" w:type="dxa"/>
            <w:vAlign w:val="bottom"/>
            <w:gridSpan w:val="15"/>
            <w:vMerge w:val="restart"/>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2"/>
                <w:szCs w:val="12"/>
                <w:color w:val="auto"/>
              </w:rPr>
            </w:pPr>
          </w:p>
        </w:tc>
        <w:tc>
          <w:tcPr>
            <w:tcW w:w="900" w:type="dxa"/>
            <w:vAlign w:val="bottom"/>
            <w:tcBorders>
              <w:bottom w:val="single" w:sz="8" w:color="0000FF"/>
            </w:tcBorders>
            <w:gridSpan w:val="3"/>
            <w:vMerge w:val="continue"/>
          </w:tcPr>
          <w:p>
            <w:pPr>
              <w:spacing w:after="0"/>
              <w:rPr>
                <w:sz w:val="12"/>
                <w:szCs w:val="12"/>
                <w:color w:val="auto"/>
              </w:rPr>
            </w:pPr>
          </w:p>
        </w:tc>
        <w:tc>
          <w:tcPr>
            <w:tcW w:w="20" w:type="dxa"/>
            <w:vAlign w:val="bottom"/>
            <w:tcBorders>
              <w:bottom w:val="single" w:sz="8" w:color="0000EE"/>
            </w:tcBorders>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7040" w:type="dxa"/>
            <w:vAlign w:val="bottom"/>
            <w:gridSpan w:val="15"/>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280" w:type="dxa"/>
            <w:vAlign w:val="bottom"/>
          </w:tcPr>
          <w:p>
            <w:pPr>
              <w:ind w:left="24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020" w:type="dxa"/>
            <w:vAlign w:val="bottom"/>
            <w:gridSpan w:val="6"/>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280" w:type="dxa"/>
            <w:vAlign w:val="bottom"/>
          </w:tcPr>
          <w:p>
            <w:pPr>
              <w:ind w:left="240"/>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Defaults upon Senior Securities</w:t>
            </w:r>
          </w:p>
        </w:tc>
        <w:tc>
          <w:tcPr>
            <w:tcW w:w="6080" w:type="dxa"/>
            <w:vAlign w:val="bottom"/>
            <w:gridSpan w:val="1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280" w:type="dxa"/>
            <w:vAlign w:val="bottom"/>
          </w:tcPr>
          <w:p>
            <w:pPr>
              <w:ind w:left="240"/>
              <w:spacing w:after="0"/>
              <w:rPr>
                <w:sz w:val="20"/>
                <w:szCs w:val="20"/>
                <w:color w:val="auto"/>
              </w:rPr>
            </w:pPr>
            <w:r>
              <w:rPr>
                <w:rFonts w:ascii="Arial" w:cs="Arial" w:eastAsia="Arial" w:hAnsi="Arial"/>
                <w:sz w:val="18"/>
                <w:szCs w:val="18"/>
                <w:color w:val="auto"/>
              </w:rPr>
              <w:t>Item 4.</w:t>
            </w:r>
          </w:p>
        </w:tc>
        <w:tc>
          <w:tcPr>
            <w:tcW w:w="836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280" w:type="dxa"/>
            <w:vAlign w:val="bottom"/>
          </w:tcPr>
          <w:p>
            <w:pPr>
              <w:ind w:left="24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Other Information</w:t>
            </w:r>
          </w:p>
        </w:tc>
        <w:tc>
          <w:tcPr>
            <w:tcW w:w="6600" w:type="dxa"/>
            <w:vAlign w:val="bottom"/>
            <w:gridSpan w:val="1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53"/>
        </w:trPr>
        <w:tc>
          <w:tcPr>
            <w:tcW w:w="1280" w:type="dxa"/>
            <w:vAlign w:val="bottom"/>
          </w:tcPr>
          <w:p>
            <w:pPr>
              <w:ind w:left="24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tcBorders>
            <w:vMerge w:val="restart"/>
          </w:tcPr>
          <w:p>
            <w:pPr>
              <w:spacing w:after="0"/>
              <w:rPr>
                <w:sz w:val="20"/>
                <w:szCs w:val="20"/>
                <w:color w:val="auto"/>
              </w:rPr>
            </w:pPr>
            <w:r>
              <w:rPr>
                <w:rFonts w:ascii="Arial" w:cs="Arial" w:eastAsia="Arial" w:hAnsi="Arial"/>
                <w:sz w:val="18"/>
                <w:szCs w:val="18"/>
                <w:color w:val="0000FF"/>
                <w:w w:val="91"/>
              </w:rPr>
              <w:t>Exhibits</w:t>
            </w:r>
          </w:p>
        </w:tc>
        <w:tc>
          <w:tcPr>
            <w:tcW w:w="20" w:type="dxa"/>
            <w:vAlign w:val="bottom"/>
            <w:tcBorders>
              <w:top w:val="single" w:sz="8" w:color="0000FF"/>
            </w:tcBorders>
            <w:vMerge w:val="restart"/>
          </w:tcPr>
          <w:p>
            <w:pPr>
              <w:spacing w:after="0"/>
              <w:rPr>
                <w:sz w:val="24"/>
                <w:szCs w:val="24"/>
                <w:color w:val="auto"/>
              </w:rPr>
            </w:pPr>
          </w:p>
        </w:tc>
        <w:tc>
          <w:tcPr>
            <w:tcW w:w="680" w:type="dxa"/>
            <w:vAlign w:val="bottom"/>
            <w:tcBorders>
              <w:top w:val="single" w:sz="8" w:color="0000FF"/>
            </w:tcBorders>
            <w:gridSpan w:val="3"/>
            <w:vMerge w:val="restart"/>
          </w:tcPr>
          <w:p>
            <w:pPr>
              <w:spacing w:after="0"/>
              <w:rPr>
                <w:sz w:val="24"/>
                <w:szCs w:val="24"/>
                <w:color w:val="auto"/>
              </w:rPr>
            </w:pPr>
          </w:p>
        </w:tc>
        <w:tc>
          <w:tcPr>
            <w:tcW w:w="7060" w:type="dxa"/>
            <w:vAlign w:val="bottom"/>
            <w:gridSpan w:val="16"/>
            <w:vMerge w:val="restart"/>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2"/>
                <w:szCs w:val="12"/>
                <w:color w:val="auto"/>
              </w:rPr>
            </w:pPr>
          </w:p>
        </w:tc>
        <w:tc>
          <w:tcPr>
            <w:tcW w:w="60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EE"/>
            </w:tcBorders>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060" w:type="dxa"/>
            <w:vAlign w:val="bottom"/>
            <w:gridSpan w:val="16"/>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-7620</wp:posOffset>
            </wp:positionV>
            <wp:extent cx="734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320" w:top="108"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8" w:right="5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color w:val="auto"/>
        </w:rPr>
        <w:t>(In thousands, except par value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(Unaudited)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123,714</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137,512</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cash, cash equivalents and short-term investments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138,367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148,907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167,126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163,583</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ind w:left="18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8,418</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23,435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24,443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long-term</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89,973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90,610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liability, long-term</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12,381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 liability</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126,275</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$0.01 par value; 100 shares authorized; none outstanding</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7720" w:type="dxa"/>
            <w:vAlign w:val="bottom"/>
          </w:tcPr>
          <w:p>
            <w:pPr>
              <w:ind w:left="200"/>
              <w:spacing w:after="0" w:line="175" w:lineRule="exact"/>
              <w:rPr>
                <w:sz w:val="20"/>
                <w:szCs w:val="20"/>
                <w:color w:val="auto"/>
              </w:rPr>
            </w:pPr>
            <w:r>
              <w:rPr>
                <w:rFonts w:ascii="Arial" w:cs="Arial" w:eastAsia="Arial" w:hAnsi="Arial"/>
                <w:sz w:val="18"/>
                <w:szCs w:val="18"/>
                <w:color w:val="auto"/>
              </w:rPr>
              <w:t>Common stock, $0.00000002 par value; 226,000 shares authorized; 133,261 and</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20" w:type="dxa"/>
            <w:vAlign w:val="bottom"/>
          </w:tcPr>
          <w:p>
            <w:pPr>
              <w:ind w:left="340"/>
              <w:spacing w:after="0" w:line="189" w:lineRule="exact"/>
              <w:rPr>
                <w:sz w:val="20"/>
                <w:szCs w:val="20"/>
                <w:color w:val="auto"/>
              </w:rPr>
            </w:pPr>
            <w:r>
              <w:rPr>
                <w:rFonts w:ascii="Arial" w:cs="Arial" w:eastAsia="Arial" w:hAnsi="Arial"/>
                <w:sz w:val="18"/>
                <w:szCs w:val="18"/>
                <w:color w:val="auto"/>
              </w:rPr>
              <w:t>133,152 shares issued and outstanding at September 30, 2022 and June 30, 2022,</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72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428,091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(390,783 )</w:t>
            </w: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(374,159 )</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37,308</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163,583</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177,840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-3505200</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-2939415</wp:posOffset>
            </wp:positionV>
            <wp:extent cx="122555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555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-2091055</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-1533525</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34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Three Months Ended 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6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auto"/>
            </w:tcBorders>
            <w:shd w:val="clear" w:color="auto" w:fill="CFF0FC"/>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8,730</w:t>
            </w:r>
          </w:p>
        </w:tc>
        <w:tc>
          <w:tcPr>
            <w:tcW w:w="3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1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19,463</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19,953</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3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8"/>
                <w:szCs w:val="18"/>
                <w:color w:val="auto"/>
              </w:rPr>
            </w:pPr>
          </w:p>
        </w:tc>
      </w:tr>
      <w:tr>
        <w:trPr>
          <w:trHeight w:val="209"/>
        </w:trPr>
        <w:tc>
          <w:tcPr>
            <w:tcW w:w="6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26,949</w:t>
            </w:r>
          </w:p>
        </w:tc>
        <w:tc>
          <w:tcPr>
            <w:tcW w:w="3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20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(18,219 )</w:t>
            </w: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(20,105 )</w:t>
            </w:r>
          </w:p>
        </w:tc>
      </w:tr>
      <w:tr>
        <w:trPr>
          <w:trHeight w:val="216"/>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1,117</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and dividend income</w:t>
            </w: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120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(2 )</w:t>
            </w:r>
          </w:p>
        </w:tc>
        <w:tc>
          <w:tcPr>
            <w:tcW w:w="1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6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1200" w:type="dxa"/>
            <w:vAlign w:val="bottom"/>
            <w:tcBorders>
              <w:top w:val="single" w:sz="8" w:color="auto"/>
              <w:bottom w:val="single" w:sz="8" w:color="auto"/>
            </w:tcBorders>
            <w:shd w:val="clear" w:color="auto" w:fill="CFF0FC"/>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(16,624</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shd w:val="clear" w:color="auto" w:fill="CFF0FC"/>
          </w:tcPr>
          <w:p>
            <w:pPr>
              <w:jc w:val="right"/>
              <w:ind w:right="1013"/>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698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200" w:type="dxa"/>
            <w:vAlign w:val="bottom"/>
            <w:shd w:val="clear" w:color="auto" w:fill="CFF0FC"/>
          </w:tcPr>
          <w:p>
            <w:pPr>
              <w:jc w:val="right"/>
              <w:ind w:right="99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(16,624 )</w:t>
            </w:r>
          </w:p>
        </w:tc>
        <w:tc>
          <w:tcPr>
            <w:tcW w:w="1200" w:type="dxa"/>
            <w:vAlign w:val="bottom"/>
            <w:shd w:val="clear" w:color="auto" w:fill="CFF0FC"/>
          </w:tcPr>
          <w:p>
            <w:pPr>
              <w:jc w:val="right"/>
              <w:ind w:right="1013"/>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(17,510 )</w:t>
            </w: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980" w:type="dxa"/>
            <w:vAlign w:val="bottom"/>
          </w:tcPr>
          <w:p>
            <w:pPr>
              <w:ind w:left="380"/>
              <w:spacing w:after="0" w:line="196" w:lineRule="exact"/>
              <w:rPr>
                <w:sz w:val="20"/>
                <w:szCs w:val="20"/>
                <w:color w:val="auto"/>
              </w:rPr>
            </w:pPr>
            <w:r>
              <w:rPr>
                <w:rFonts w:ascii="Arial" w:cs="Arial" w:eastAsia="Arial" w:hAnsi="Arial"/>
                <w:sz w:val="18"/>
                <w:szCs w:val="18"/>
                <w:color w:val="auto"/>
              </w:rPr>
              <w:t>Diluted</w:t>
            </w:r>
          </w:p>
        </w:tc>
        <w:tc>
          <w:tcPr>
            <w:tcW w:w="1200" w:type="dxa"/>
            <w:vAlign w:val="bottom"/>
          </w:tcPr>
          <w:p>
            <w:pPr>
              <w:jc w:val="right"/>
              <w:ind w:right="995"/>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1"/>
              <w:spacing w:after="0" w:line="196" w:lineRule="exact"/>
              <w:rPr>
                <w:sz w:val="20"/>
                <w:szCs w:val="20"/>
                <w:color w:val="auto"/>
              </w:rPr>
            </w:pPr>
            <w:r>
              <w:rPr>
                <w:rFonts w:ascii="Arial" w:cs="Arial" w:eastAsia="Arial" w:hAnsi="Arial"/>
                <w:sz w:val="18"/>
                <w:szCs w:val="18"/>
                <w:color w:val="auto"/>
              </w:rPr>
              <w:t>(16,624 )</w:t>
            </w:r>
          </w:p>
        </w:tc>
        <w:tc>
          <w:tcPr>
            <w:tcW w:w="1200" w:type="dxa"/>
            <w:vAlign w:val="bottom"/>
          </w:tcPr>
          <w:p>
            <w:pPr>
              <w:jc w:val="right"/>
              <w:ind w:right="1013"/>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(20,097 )</w:t>
            </w:r>
          </w:p>
        </w:tc>
      </w:tr>
      <w:tr>
        <w:trPr>
          <w:trHeight w:val="20"/>
        </w:trPr>
        <w:tc>
          <w:tcPr>
            <w:tcW w:w="6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w:t>
            </w:r>
          </w:p>
        </w:tc>
        <w:tc>
          <w:tcPr>
            <w:tcW w:w="1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Basic</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(0.12 )</w:t>
            </w:r>
          </w:p>
        </w:tc>
        <w:tc>
          <w:tcPr>
            <w:tcW w:w="1200" w:type="dxa"/>
            <w:vAlign w:val="bottom"/>
          </w:tcPr>
          <w:p>
            <w:pPr>
              <w:jc w:val="right"/>
              <w:ind w:right="1013"/>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(0.16 )</w:t>
            </w:r>
          </w:p>
        </w:tc>
      </w:tr>
      <w:tr>
        <w:trPr>
          <w:trHeight w:val="20"/>
        </w:trPr>
        <w:tc>
          <w:tcPr>
            <w:tcW w:w="6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9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Diluted</w:t>
            </w:r>
          </w:p>
        </w:tc>
        <w:tc>
          <w:tcPr>
            <w:tcW w:w="1200" w:type="dxa"/>
            <w:vAlign w:val="bottom"/>
            <w:tcBorders>
              <w:bottom w:val="single" w:sz="8" w:color="auto"/>
            </w:tcBorders>
            <w:shd w:val="clear" w:color="auto" w:fill="CFF0FC"/>
          </w:tcPr>
          <w:p>
            <w:pPr>
              <w:jc w:val="right"/>
              <w:ind w:right="995"/>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(0.12</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1200" w:type="dxa"/>
            <w:vAlign w:val="bottom"/>
            <w:tcBorders>
              <w:bottom w:val="single" w:sz="8" w:color="auto"/>
            </w:tcBorders>
            <w:shd w:val="clear" w:color="auto" w:fill="CFF0FC"/>
          </w:tcPr>
          <w:p>
            <w:pPr>
              <w:jc w:val="right"/>
              <w:ind w:right="1013"/>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6980" w:type="dxa"/>
            <w:vAlign w:val="bottom"/>
          </w:tcPr>
          <w:p>
            <w:pPr>
              <w:ind w:left="20"/>
              <w:spacing w:after="0" w:line="196" w:lineRule="exact"/>
              <w:rPr>
                <w:sz w:val="20"/>
                <w:szCs w:val="20"/>
                <w:color w:val="auto"/>
              </w:rPr>
            </w:pPr>
            <w:r>
              <w:rPr>
                <w:rFonts w:ascii="Arial" w:cs="Arial" w:eastAsia="Arial" w:hAnsi="Arial"/>
                <w:sz w:val="18"/>
                <w:szCs w:val="18"/>
                <w:color w:val="auto"/>
              </w:rPr>
              <w:t>Shares used in computing net loss per share:</w:t>
            </w: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6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133,255</w:t>
            </w:r>
          </w:p>
        </w:tc>
        <w:tc>
          <w:tcPr>
            <w:tcW w:w="3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112,677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6980" w:type="dxa"/>
            <w:vAlign w:val="bottom"/>
          </w:tcPr>
          <w:p>
            <w:pPr>
              <w:ind w:left="380"/>
              <w:spacing w:after="0" w:line="196" w:lineRule="exact"/>
              <w:rPr>
                <w:sz w:val="20"/>
                <w:szCs w:val="20"/>
                <w:color w:val="auto"/>
              </w:rPr>
            </w:pPr>
            <w:r>
              <w:rPr>
                <w:rFonts w:ascii="Arial" w:cs="Arial" w:eastAsia="Arial" w:hAnsi="Arial"/>
                <w:sz w:val="18"/>
                <w:szCs w:val="18"/>
                <w:color w:val="auto"/>
              </w:rPr>
              <w:t>Diluted</w:t>
            </w: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133,255</w:t>
            </w:r>
          </w:p>
        </w:tc>
        <w:tc>
          <w:tcPr>
            <w:tcW w:w="3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113,917</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-2820035</wp:posOffset>
            </wp:positionV>
            <wp:extent cx="685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-2820035</wp:posOffset>
            </wp:positionV>
            <wp:extent cx="6858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-2254250</wp:posOffset>
            </wp:positionV>
            <wp:extent cx="6858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-2254250</wp:posOffset>
            </wp:positionV>
            <wp:extent cx="6858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-1414145</wp:posOffset>
            </wp:positionV>
            <wp:extent cx="149161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91615" cy="1631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-1113790</wp:posOffset>
            </wp:positionV>
            <wp:extent cx="149161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91615"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-488315</wp:posOffset>
            </wp:positionV>
            <wp:extent cx="149161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91615" cy="1631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149161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91615" cy="18859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jc w:val="center"/>
        <w:spacing w:after="0"/>
        <w:rPr>
          <w:sz w:val="20"/>
          <w:szCs w:val="20"/>
          <w:color w:val="auto"/>
        </w:rPr>
      </w:pPr>
      <w:r>
        <w:rPr>
          <w:rFonts w:ascii="Arial" w:cs="Arial" w:eastAsia="Arial" w:hAnsi="Arial"/>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28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5"/>
              </w:rPr>
              <w:t>Common Shares</w:t>
            </w:r>
          </w:p>
        </w:tc>
        <w:tc>
          <w:tcPr>
            <w:tcW w:w="260" w:type="dxa"/>
            <w:vAlign w:val="bottom"/>
          </w:tcPr>
          <w:p>
            <w:pPr>
              <w:spacing w:after="0"/>
              <w:rPr>
                <w:sz w:val="16"/>
                <w:szCs w:val="16"/>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20" w:type="dxa"/>
            <w:vAlign w:val="bottom"/>
          </w:tcPr>
          <w:p>
            <w:pPr>
              <w:spacing w:after="0"/>
              <w:rPr>
                <w:sz w:val="16"/>
                <w:szCs w:val="16"/>
                <w:color w:val="auto"/>
              </w:rPr>
            </w:pPr>
          </w:p>
        </w:tc>
        <w:tc>
          <w:tcPr>
            <w:tcW w:w="12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133,152</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426,572</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(374,159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(16,624 )</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(16,624 )</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for vested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133,261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428,091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(390,783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57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Common Shares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1280" w:type="dxa"/>
            <w:vAlign w:val="bottom"/>
            <w:gridSpan w:val="2"/>
          </w:tcPr>
          <w:p>
            <w:pPr>
              <w:jc w:val="center"/>
              <w:ind w:right="290"/>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1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20" w:type="dxa"/>
            <w:vAlign w:val="bottom"/>
          </w:tcPr>
          <w:p>
            <w:pPr>
              <w:spacing w:after="0"/>
              <w:rPr>
                <w:sz w:val="16"/>
                <w:szCs w:val="16"/>
                <w:color w:val="auto"/>
              </w:rPr>
            </w:pPr>
          </w:p>
        </w:tc>
        <w:tc>
          <w:tcPr>
            <w:tcW w:w="12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112,615</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369,171</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(319,705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(17,510 )</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(17,510 )</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for vested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(194 )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112,678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371,516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(337,215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-1199515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-1182370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-1199515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-1182370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-1199515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-1182370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3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September 30,</w:t>
            </w:r>
          </w:p>
        </w:tc>
      </w:tr>
      <w:tr>
        <w:trPr>
          <w:trHeight w:val="169"/>
        </w:trPr>
        <w:tc>
          <w:tcPr>
            <w:tcW w:w="79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(16,624 )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(17,510 )</w:t>
            </w:r>
          </w:p>
        </w:tc>
      </w:tr>
      <w:tr>
        <w:trPr>
          <w:trHeight w:val="216"/>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8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(1,117 )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(2,587 )</w:t>
            </w:r>
          </w:p>
        </w:tc>
      </w:tr>
      <w:tr>
        <w:trPr>
          <w:trHeight w:val="216"/>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(10,000 )</w:t>
            </w:r>
          </w:p>
        </w:tc>
      </w:tr>
      <w:tr>
        <w:trPr>
          <w:trHeight w:val="216"/>
        </w:trPr>
        <w:tc>
          <w:tcPr>
            <w:tcW w:w="7940" w:type="dxa"/>
            <w:vAlign w:val="bottom"/>
          </w:tcPr>
          <w:p>
            <w:pPr>
              <w:ind w:left="380"/>
              <w:spacing w:after="0"/>
              <w:rPr>
                <w:sz w:val="20"/>
                <w:szCs w:val="20"/>
                <w:color w:val="auto"/>
              </w:rPr>
            </w:pPr>
            <w:r>
              <w:rPr>
                <w:rFonts w:ascii="Arial" w:cs="Arial" w:eastAsia="Arial" w:hAnsi="Arial"/>
                <w:sz w:val="18"/>
                <w:szCs w:val="18"/>
                <w:color w:val="auto"/>
              </w:rPr>
              <w:t>Unbilled receivables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(538 )</w:t>
            </w:r>
          </w:p>
        </w:tc>
      </w:tr>
      <w:tr>
        <w:trPr>
          <w:trHeight w:val="216"/>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liabilities</w:t>
            </w:r>
          </w:p>
        </w:tc>
        <w:tc>
          <w:tcPr>
            <w:tcW w:w="8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(1,604 )</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(2,303 )</w:t>
            </w:r>
          </w:p>
        </w:tc>
      </w:tr>
      <w:tr>
        <w:trPr>
          <w:trHeight w:val="216"/>
        </w:trPr>
        <w:tc>
          <w:tcPr>
            <w:tcW w:w="79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8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(971 )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20,417</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liability</w:t>
            </w:r>
          </w:p>
        </w:tc>
        <w:tc>
          <w:tcPr>
            <w:tcW w:w="8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(307 )</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r>
      <w:tr>
        <w:trPr>
          <w:trHeight w:val="20"/>
        </w:trPr>
        <w:tc>
          <w:tcPr>
            <w:tcW w:w="79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9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(14,782 )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(7,721 )</w:t>
            </w:r>
          </w:p>
        </w:tc>
      </w:tr>
      <w:tr>
        <w:trPr>
          <w:trHeight w:val="210"/>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8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(34,052 )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(59,992 )</w:t>
            </w:r>
          </w:p>
        </w:tc>
      </w:tr>
      <w:tr>
        <w:trPr>
          <w:trHeight w:val="216"/>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maturity of short-term investments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74,993</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(63 )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09"/>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RSU tax withholdings in exchange for common shares surrendered by RSU holders</w:t>
            </w:r>
          </w:p>
        </w:tc>
        <w:tc>
          <w:tcPr>
            <w:tcW w:w="8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(40 )</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(194 )</w:t>
            </w:r>
          </w:p>
        </w:tc>
      </w:tr>
      <w:tr>
        <w:trPr>
          <w:trHeight w:val="20"/>
        </w:trPr>
        <w:tc>
          <w:tcPr>
            <w:tcW w:w="79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9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(40 )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(194 )</w:t>
            </w:r>
          </w:p>
        </w:tc>
      </w:tr>
      <w:tr>
        <w:trPr>
          <w:trHeight w:val="210"/>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7,078</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18"/>
                <w:szCs w:val="18"/>
                <w:color w:val="auto"/>
              </w:rPr>
            </w:pPr>
          </w:p>
        </w:tc>
      </w:tr>
      <w:tr>
        <w:trPr>
          <w:trHeight w:val="250"/>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the period</w:t>
            </w: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14,653</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9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Supplemental disclosures:</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-2030730</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-1182370</wp:posOffset>
            </wp:positionV>
            <wp:extent cx="6858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-899795</wp:posOffset>
            </wp:positionV>
            <wp:extent cx="6858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-325120</wp:posOffset>
            </wp:positionV>
            <wp:extent cx="116586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65860" cy="1625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16"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 xml:space="preserve">MEI Pharma, Inc. is a late-stage pharmaceutical company </w:t>
      </w:r>
      <w:r>
        <w:rPr>
          <w:rFonts w:ascii="Arial" w:cs="Arial" w:eastAsia="Arial" w:hAnsi="Arial"/>
          <w:sz w:val="18"/>
          <w:szCs w:val="18"/>
          <w:color w:val="333333"/>
        </w:rPr>
        <w:t>committed to the development and commercialization of novel cancer therapies intended</w:t>
      </w:r>
      <w:r>
        <w:rPr>
          <w:rFonts w:ascii="Arial" w:cs="Arial" w:eastAsia="Arial" w:hAnsi="Arial"/>
          <w:sz w:val="18"/>
          <w:szCs w:val="18"/>
          <w:color w:val="auto"/>
        </w:rPr>
        <w:t xml:space="preserve"> </w:t>
      </w:r>
      <w:r>
        <w:rPr>
          <w:rFonts w:ascii="Arial" w:cs="Arial" w:eastAsia="Arial" w:hAnsi="Arial"/>
          <w:sz w:val="18"/>
          <w:szCs w:val="18"/>
          <w:color w:val="333333"/>
        </w:rPr>
        <w:t xml:space="preserve">to improve outcomes for patients. Our portfolio of drug candidates includes three clinical-stage assets, including zandelisib (f/k/a ME-401), currently in multiple ongoing clinical studies intended to support marketing applications with the United States (“U.S.”) Food and Drug Administration (“FDA”) and other regulatory authorities globally. Our approach to building our pipeline is to license or acquire promising cancer agents and build value in programs through development, commercialization and strategic partnerships, as appropriate. </w:t>
      </w:r>
      <w:r>
        <w:rPr>
          <w:rFonts w:ascii="Arial" w:cs="Arial" w:eastAsia="Arial" w:hAnsi="Arial"/>
          <w:sz w:val="18"/>
          <w:szCs w:val="18"/>
          <w:color w:val="000000"/>
        </w:rPr>
        <w:t>Our common stock is listed on the Nasdaq Capital Market under the</w:t>
      </w:r>
      <w:r>
        <w:rPr>
          <w:rFonts w:ascii="Arial" w:cs="Arial" w:eastAsia="Arial" w:hAnsi="Arial"/>
          <w:sz w:val="18"/>
          <w:szCs w:val="18"/>
          <w:color w:val="333333"/>
        </w:rPr>
        <w:t xml:space="preserve"> </w:t>
      </w:r>
      <w:r>
        <w:rPr>
          <w:rFonts w:ascii="Arial" w:cs="Arial" w:eastAsia="Arial" w:hAnsi="Arial"/>
          <w:sz w:val="18"/>
          <w:szCs w:val="18"/>
          <w:color w:val="000000"/>
        </w:rPr>
        <w:t>symbol “MEIP.”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 xml:space="preserve">We build our pipeline by licensing or acquiring promising cancer agents and creating value in programs through development, commercialization and strategic partnerships, as appropriate. </w:t>
      </w:r>
      <w:r>
        <w:rPr>
          <w:rFonts w:ascii="Arial" w:cs="Arial" w:eastAsia="Arial" w:hAnsi="Arial"/>
          <w:sz w:val="16"/>
          <w:szCs w:val="16"/>
          <w:color w:val="333333"/>
        </w:rPr>
        <w:t>Our objective is to leverage the mechanisms and properties of our pipeline drug candidates to optimize the</w:t>
      </w:r>
      <w:r>
        <w:rPr>
          <w:rFonts w:ascii="Arial" w:cs="Arial" w:eastAsia="Arial" w:hAnsi="Arial"/>
          <w:sz w:val="16"/>
          <w:szCs w:val="16"/>
          <w:color w:val="auto"/>
        </w:rPr>
        <w:t xml:space="preserve"> </w:t>
      </w:r>
      <w:r>
        <w:rPr>
          <w:rFonts w:ascii="Arial" w:cs="Arial" w:eastAsia="Arial" w:hAnsi="Arial"/>
          <w:sz w:val="16"/>
          <w:szCs w:val="16"/>
          <w:color w:val="333333"/>
        </w:rPr>
        <w:t xml:space="preserve">balance between efficacy and tolerability to meet the needs of patients with cancer. </w:t>
      </w:r>
      <w:r>
        <w:rPr>
          <w:rFonts w:ascii="Arial" w:cs="Arial" w:eastAsia="Arial" w:hAnsi="Arial"/>
          <w:sz w:val="16"/>
          <w:szCs w:val="16"/>
          <w:color w:val="000000"/>
        </w:rPr>
        <w:t>Our drug candidate pipeline includes:</w:t>
      </w:r>
    </w:p>
    <w:p>
      <w:pPr>
        <w:spacing w:after="0" w:line="39"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Zandelisib, an oral phosphatidylinositol 3-kinase delta (“PI3Kδ”) inhibitor;</w:t>
      </w:r>
    </w:p>
    <w:p>
      <w:pPr>
        <w:spacing w:after="0" w:line="23"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 and</w:t>
      </w: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w:t>
      </w:r>
    </w:p>
    <w:p>
      <w:pPr>
        <w:spacing w:after="0" w:line="88"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zandelisib, voruciclib, and ME-344, and to develop new compounds. The actual amount of funds that will be needed are determined by a number of factors, some of which are beyond our control. Negative U.S. and global economic conditions may pose challenges to our business strategy, which relies on funding from the financial markets or collaborators.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We have accumulated losses of $390.8 million since inception and expect to incur operating losses and generate negative cash flows from operations for the foreseeable future. As of September 30, 2022, we had $138.4 million in cash and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4"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financial statements reflect all adjustments (consisting of normal recurring adjustments) that are necessary for a fair statement of the financial position, results of operations and cash flows for the periods presented.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notes thereto as of and for the fiscal year ended June 30, 2022, included in our Annual Report on Form 10-K filed with the Securities and Exchange Commission on September 8, 2022 ("2022 Annual Report"). Interim results are not necessarily indicative of results for a full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160" w:firstLine="509"/>
        <w:spacing w:after="0" w:line="30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56"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03" w:lineRule="exact"/>
        <w:rPr>
          <w:rFonts w:ascii="Arial" w:cs="Arial" w:eastAsia="Arial" w:hAnsi="Arial"/>
          <w:sz w:val="18"/>
          <w:szCs w:val="18"/>
          <w:color w:val="auto"/>
        </w:rPr>
      </w:pPr>
    </w:p>
    <w:p>
      <w:pPr>
        <w:ind w:left="1020" w:right="40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7"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Customers</w:t>
      </w:r>
    </w:p>
    <w:p>
      <w:pPr>
        <w:spacing w:after="0" w:line="10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 xml:space="preserve">In accordance with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42" w:lineRule="exact"/>
        <w:rPr>
          <w:sz w:val="20"/>
          <w:szCs w:val="20"/>
          <w:color w:val="auto"/>
        </w:rPr>
      </w:pPr>
    </w:p>
    <w:p>
      <w:pPr>
        <w:ind w:right="240" w:firstLine="509"/>
        <w:spacing w:after="0" w:line="280"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w:t>
      </w:r>
    </w:p>
    <w:p>
      <w:pPr>
        <w:spacing w:after="0" w:line="50"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We may enter into arrangements that consist of multiple performance obligations. Such arrangements may include any combination of our deliverables. To the extent a contract includes multiple promised deliverables, we apply judgment to determine whether promised deliverables are capable of being distinct and are distinct in the context of the contract. If these criteria are not met, the promised deliverables are accounted for as a combined performance obligation. For arrangements with multiple distinct performance obligations, we allocate variable consideration related to our 50-50 cost share for development services directly to the associated performance obligation and then allocate the remaining consideration among the performance obligations based on their relative stand-alone selling price.</w:t>
      </w:r>
    </w:p>
    <w:p>
      <w:pPr>
        <w:spacing w:after="0" w:line="7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Stand-alone selling price is the price at which we would sell a promised good or service separately to the customer. When not directly observable, we typically estimate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8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93"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8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8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7"/>
          <w:szCs w:val="17"/>
          <w:color w:val="auto"/>
        </w:rPr>
        <w:t>In connection with our License, Development and Commercialization Agreement (the "KKC Commercialization Agreement") with Kyowa Kirin Co., Ltd. ("KKC"), we perform development services related to our 50-50 cost sharing arrangement for which revenue is recognized over time. Additionally, we perform services for KKC at their request, the costs of which are fully reimbursed to us. We record the reimbursement for such pass through services as revenue at 100% of reimbursed costs, as control of the additional services for KKC is transferred at the time we incur such costs. The costs of these services are recognized in the Condensed Statements of Operations as research and development expense.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revenue associated with the KKC Commercialization Agreement for the periods presented (in thousands):</w:t>
      </w:r>
    </w:p>
    <w:p>
      <w:pPr>
        <w:spacing w:after="0" w:line="217"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49"/>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auto"/>
            </w:tcBorders>
            <w:shd w:val="clear" w:color="auto" w:fill="CFF0FC"/>
          </w:tcPr>
          <w:p>
            <w:pPr>
              <w:jc w:val="right"/>
              <w:ind w:right="71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8,730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Timing of Revenue Recognition:</w:t>
            </w: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Services performed over time</w:t>
            </w:r>
          </w:p>
        </w:tc>
        <w:tc>
          <w:tcPr>
            <w:tcW w:w="920" w:type="dxa"/>
            <w:vAlign w:val="bottom"/>
          </w:tcPr>
          <w:p>
            <w:pPr>
              <w:jc w:val="right"/>
              <w:ind w:right="71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8,359</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Pass through services at a point in time</w:t>
            </w:r>
          </w:p>
        </w:tc>
        <w:tc>
          <w:tcPr>
            <w:tcW w:w="9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18"/>
                <w:szCs w:val="18"/>
                <w:color w:val="auto"/>
              </w:rPr>
            </w:pPr>
          </w:p>
        </w:tc>
        <w:tc>
          <w:tcPr>
            <w:tcW w:w="920" w:type="dxa"/>
            <w:vAlign w:val="bottom"/>
          </w:tcPr>
          <w:p>
            <w:pPr>
              <w:jc w:val="right"/>
              <w:ind w:right="71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8,730</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-745490</wp:posOffset>
            </wp:positionV>
            <wp:extent cx="111442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4425"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Accounts receivable are included in “Prepaid expenses and other current assets”, and contract liabilities are included in “Deferred revenue" and "Deferred revenue, long-term” on our Condensed Balance Sheets. The following table presents changes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unbilled receivables and contract liabilities accounted for under Topic 606 for the periods presented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Accounts receivable,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10,044</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27,638</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Payments received</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(10,044 )</w:t>
            </w:r>
          </w:p>
        </w:tc>
        <w:tc>
          <w:tcPr>
            <w:tcW w:w="5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(17,638 )</w:t>
            </w:r>
          </w:p>
        </w:tc>
      </w:tr>
      <w:tr>
        <w:trPr>
          <w:trHeight w:val="249"/>
        </w:trPr>
        <w:tc>
          <w:tcPr>
            <w:tcW w:w="6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Accounts receivable, end of period</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Unbilled receivables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Unbilled receivables, beginning of period</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10,044</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Billable amounts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28,176</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(10,044 )</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(27,638 )</w:t>
            </w:r>
          </w:p>
        </w:tc>
      </w:tr>
      <w:tr>
        <w:trPr>
          <w:trHeight w:val="210"/>
        </w:trPr>
        <w:tc>
          <w:tcPr>
            <w:tcW w:w="694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Unbilled receivables,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Borders>
              <w:top w:val="single" w:sz="8" w:color="CFF0FC"/>
            </w:tcBorders>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liabilities</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Contract liabilities,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30,900</w:t>
            </w:r>
          </w:p>
        </w:tc>
        <w:tc>
          <w:tcPr>
            <w:tcW w:w="26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Payments received</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Revenue recognized</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(971 )</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r>
      <w:tr>
        <w:trPr>
          <w:trHeight w:val="249"/>
        </w:trPr>
        <w:tc>
          <w:tcPr>
            <w:tcW w:w="6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Contract liabilities, end of period</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29,929</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-1464945</wp:posOffset>
            </wp:positionV>
            <wp:extent cx="111442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4425"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-890905</wp:posOffset>
            </wp:positionV>
            <wp:extent cx="5969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timing of revenue recognition, invoicing and cash collections results in billed accounts receivable and unbilled receivables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Condensed Balance Sheets relate to the KKC Commercialization Agreement.</w:t>
      </w:r>
    </w:p>
    <w:p>
      <w:pPr>
        <w:spacing w:after="0" w:line="78"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 xml:space="preserve">As of September 30, 2022 and June 30, 2022, we had $94.5 million and $95.4 million, respectively, of deferred revenue associated with the KKC Commercialization Agreement, of which $64.5 million relates to the U.S. license which is a unit of account under the scope of ASC Topic 808, </w:t>
      </w:r>
      <w:r>
        <w:rPr>
          <w:rFonts w:ascii="Arial" w:cs="Arial" w:eastAsia="Arial" w:hAnsi="Arial"/>
          <w:sz w:val="18"/>
          <w:szCs w:val="18"/>
          <w:i w:val="1"/>
          <w:iCs w:val="1"/>
          <w:color w:val="auto"/>
        </w:rPr>
        <w:t xml:space="preserve">Collaborative Arrangements </w:t>
      </w:r>
      <w:r>
        <w:rPr>
          <w:rFonts w:ascii="Arial" w:cs="Arial" w:eastAsia="Arial" w:hAnsi="Arial"/>
          <w:sz w:val="18"/>
          <w:szCs w:val="18"/>
          <w:color w:val="auto"/>
        </w:rPr>
        <w:t>("Topic 808") and is not a performance obligation under Topic 606. The remaining balance of deferred revenue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and June 30, 2022 of $29.9 million and $30.9 million, respectively, relates to the development services performance obligations which are under the scope of Topic 606.</w:t>
      </w:r>
    </w:p>
    <w:p>
      <w:pPr>
        <w:spacing w:after="0" w:line="7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Our contract liabilities accounted for under Topic 606 relate to the amount of initial upfront consideration that was allocated to the development services performance obligations. Contract liabilities are recognized over the duration of the performance obligations based on the costs incurred relative to total expected costs.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Collaborators</w:t>
      </w:r>
    </w:p>
    <w:p>
      <w:pPr>
        <w:spacing w:after="0" w:line="104"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At contract inception, we assess whether the collaboration arrangements are within the scope of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Condensed Balance Sheets, classified as either short-term or long-term deferred revenue based on our best estimate of when such amounts will be recognized.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 xml:space="preserve">We account for our leases under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Leases which are identified within the scope of Topic 842 and which have a term greater than one year are recognized on our Condensed Balance Sheets as right-of-use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173" w:lineRule="exact"/>
        <w:rPr>
          <w:sz w:val="20"/>
          <w:szCs w:val="20"/>
          <w:color w:val="auto"/>
        </w:rPr>
      </w:pPr>
    </w:p>
    <w:p>
      <w:pPr>
        <w:jc w:val="both"/>
        <w:ind w:right="220" w:firstLine="509"/>
        <w:spacing w:after="0" w:line="270"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0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 xml:space="preserve">Share-based compensation expense stock options and restricted stock units ("RSUs") granted to employees and directors is recognized in the Condensed Statements of Operations based on estimated amounts. The cost of stock options is measured at the grant date, based on the estimated fair value of the stock option using the Black-Scholes valuation model, which incorporates various assumptions, including expected volatility, risk-free interest rate, the expected term of the award and the dividend yield on the underlying stock. Expected volatility is calculated based on the historical volatility of our stock over the expected option life and other appropriate factors. The expected option term is computed using the "simplified" method as permitted under the provisions of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We use the simplified method to calculate the expected term of stock options and similar instruments, as we do not have sufficient historical exercise data to provide a reasonable basis upon which to estimate the expected term. Risk-free interest rates are calculated based on continuously compounded risk-free rates for the appropriate term. The dividend yield is assumed to be zero as we have never paid or declared any cash dividends and do not intend to do so in the foreseeable future. For RSUs, we estimate the grant date fair value using our closing stock price on the date of grant. The estimated fair value of stock options and RSUs is amortized on a straight-line basis over the requisite service period, adjusted for actual forfeitures at the time they occur. The requisite service period is generally the time over which our share-based awards vest.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160" w:firstLine="509"/>
        <w:spacing w:after="0" w:line="280"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September 30, 2022,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58"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There have been no material changes in our unrecognized tax benefits since June 30, 2022, and, as such, the disclosures included in our 2022 Annual Report continue to be relevant for the three months ended September 30,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108"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 xml:space="preserve">In June 2016, the Financial Accounting Standards Board issued Accounting Standards Update 2016-13,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Measurement of Credit Losses on Financial Instruments </w:t>
      </w:r>
      <w:r>
        <w:rPr>
          <w:rFonts w:ascii="Arial" w:cs="Arial" w:eastAsia="Arial" w:hAnsi="Arial"/>
          <w:sz w:val="18"/>
          <w:szCs w:val="18"/>
          <w:color w:val="auto"/>
        </w:rPr>
        <w:t>("ASU 2016-13"), as amended. The amendments in ASU 2016-13 require,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financial assets measured at amortized cost basis to be presented at the net amount expected to be collected as compared to previous U.S. GAAP which delayed recognition until it was probable a loss had been incurred. The amendments in ASU 2016-13 are effective for fiscal years beginning after December 15, 2022, including interim</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periods within those fiscal years, with early adoption permitted. We are currently evaluating the impact that adoption of ASU 2016-13 will have on our financial statements and related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Measurements</w:t>
      </w:r>
    </w:p>
    <w:p>
      <w:pPr>
        <w:spacing w:after="0" w:line="121"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measured at fair value on a recurring basis and are classified as Level 1 as defined by the fair value hierarchy.</w:t>
      </w:r>
    </w:p>
    <w:p>
      <w:pPr>
        <w:spacing w:after="0" w:line="73"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Condensed Balance Sheet. We recorded the fair value of the warrants upon issuance using the Black-Scholes valuation model and are required to revalue the warrants at each reporting date with any changes in fair value recorded on our Condensed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Statements of Operations for the three months ended September 30, 2022 and 2021, respectively.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calculate the fair value of the warrant liability, the following assumptions were used for the periods presented:</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608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Expected life (years)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155.7 %</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139.4 %</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Black-Scholes Fair Value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-685165</wp:posOffset>
            </wp:positionV>
            <wp:extent cx="570039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-410845</wp:posOffset>
            </wp:positionV>
            <wp:extent cx="570039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a summary of changes in the estimated fair value of our Level 3 warrant liability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Fair Value of Warrants Using Significant</w:t>
            </w:r>
          </w:p>
        </w:tc>
      </w:tr>
      <w:tr>
        <w:trPr>
          <w:trHeight w:val="185"/>
        </w:trPr>
        <w:tc>
          <w:tcPr>
            <w:tcW w:w="6180" w:type="dxa"/>
            <w:vAlign w:val="bottom"/>
          </w:tcPr>
          <w:p>
            <w:pPr>
              <w:spacing w:after="0"/>
              <w:rPr>
                <w:sz w:val="16"/>
                <w:szCs w:val="16"/>
                <w:color w:val="auto"/>
              </w:rPr>
            </w:pPr>
          </w:p>
        </w:tc>
        <w:tc>
          <w:tcPr>
            <w:tcW w:w="2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Unobservable Inputs (Level 3)</w:t>
            </w:r>
          </w:p>
        </w:tc>
      </w:tr>
      <w:tr>
        <w:trPr>
          <w:trHeight w:val="169"/>
        </w:trPr>
        <w:tc>
          <w:tcPr>
            <w:tcW w:w="61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July 1,</w:t>
            </w: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1,603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22,355</w:t>
            </w:r>
          </w:p>
        </w:tc>
        <w:tc>
          <w:tcPr>
            <w:tcW w:w="80" w:type="dxa"/>
            <w:vAlign w:val="bottom"/>
            <w:shd w:val="clear" w:color="auto" w:fill="CFF0FC"/>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Change in estimated fair value of liability classified warrants</w:t>
            </w:r>
          </w:p>
        </w:tc>
        <w:tc>
          <w:tcPr>
            <w:tcW w:w="7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(1,117 )</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(2,587 )</w:t>
            </w:r>
          </w:p>
        </w:tc>
      </w:tr>
      <w:tr>
        <w:trPr>
          <w:trHeight w:val="249"/>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w:t>
            </w:r>
          </w:p>
        </w:tc>
        <w:tc>
          <w:tcPr>
            <w:tcW w:w="76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Short-Term Investments</w:t>
      </w:r>
    </w:p>
    <w:p>
      <w:pPr>
        <w:spacing w:after="0" w:line="10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As of September 30, 2022, and June 30, 2022, our short-term investments consisted of $123.7 million and $137.5 million, respectively, in U.S. government securities. The short-term investments held as of September 30, 2022 and June 30, 2022 had maturity dates of less than one year, are considered to be “held to maturity” and are carried at amortized cost. As of September 30, 2022, and June 30, 2022, the gross holding gains and losses were immaterial.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License Agreements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payment-bearing, license under certain patents and know-how controlled by us to develop and commercialize zandelisib and any pharmaceutical product containing zandelisib for all human indications in countries outside of the U.S. (the “Ex-U.S." and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$100.0 million. Additionally, we may earn up to approximately $582.5 million in potential development, regulatory and commercialization milestone payments, plus royalties on net sales of zandelisib in the Ex-U.S., which are tiered beginning in the teens.</w:t>
      </w:r>
    </w:p>
    <w:p>
      <w:pPr>
        <w:spacing w:after="0" w:line="79"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with the understanding that KKC will assume responsibility for manufacturing for the Ex-U.S. as soon as practicable.</w:t>
      </w:r>
    </w:p>
    <w:p>
      <w:pPr>
        <w:spacing w:after="0" w:line="91"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66"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As of September 30, 2022, we updated our assessment of the total transaction price from the KKC Commercialization Agreement to be $364.5 million, comprised of the upfront payment of $100.0 million, milestone payments of $20.0 million, estimated development cost-sharing of $239.3 million, and deferred revenue of $5.2 million. As of September 30, 2022, the updated assessment reflects an increase in estimated variable consideration related to development cost sharing of $4.4 million from June 30, 2022. We increased our estimate primarily as a result of further visibility into total expected costs for these development estimates.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53"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We allocated the transaction price of the Ex-U.S. License and Development Services performance obligations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77"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We determined that control of the U.S. License and Ex-U.S. License were transferred to KKC during the year ended June 30, 2020, and recognized revenue of $21.0 million related to the Ex-U.S. License. The $64.5 million transaction price allocated to the U.S. License obligation accounted for under Topic 808 is included as non-current deferred revenue and will begin to be recognized upon future commercialization as non-ASC 606 revenue. As of September 30, 2022 and June 30, 2022, we have deferred revenue of $29.9 million and $30.9 million, respectively, related to the transaction price allocated to the Development Services performance obligations and are recognizing this revenue based on the proportional performance of these development activities, which we expect to recognize through fiscal year 2030.</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04"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In September 2017, we entered into a license agreement with Presage Biosciences, Inc. (“Presage”). Under the terms of such license agreement (the “Presage License Agreement”), Presage granted to us exclusive worldwide rights to develop, manufacture and commercialize voruciclib, a clinical-stage, oral and selective CDK inhibitor, and related compounds. In exchange, we paid $2.9 million.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rights, we will pay to Presage a tiered percent (which decreases as product development progresses) of amounts received from such sublicensees.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BeiGene Collaboration</w:t>
      </w:r>
    </w:p>
    <w:p>
      <w:pPr>
        <w:spacing w:after="0" w:line="108"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Share</w:t>
      </w:r>
    </w:p>
    <w:p>
      <w:pPr>
        <w:spacing w:after="0" w:line="12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Basic and diluted net loss per share are computed using the weighted average number of shares of common stock outstanding during the period, less any shares subject to repurchase or forfeiture. There were no shares of common stock subject to repurchase or forfeiture for the three months ended September 30, 2022 and 2021. Diluted net loss per share is computed based on the sum of the weighted average number of common shares and potentially dilutive common shares outstanding during the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net loss used to calculate basic loss and diluted loss per share (in thousands):</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6"/>
          </w:tcPr>
          <w:p>
            <w:pPr>
              <w:jc w:val="center"/>
              <w:ind w:left="479"/>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34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loss – basic</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(16,624</w:t>
            </w:r>
          </w:p>
        </w:tc>
        <w:tc>
          <w:tcPr>
            <w:tcW w:w="1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8"/>
                <w:szCs w:val="18"/>
                <w:color w:val="auto"/>
              </w:rPr>
            </w:pPr>
          </w:p>
        </w:tc>
        <w:tc>
          <w:tcPr>
            <w:tcW w:w="12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(2,587 )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 diluted</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(16,624</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3"/>
        </w:trPr>
        <w:tc>
          <w:tcPr>
            <w:tcW w:w="7280" w:type="dxa"/>
            <w:vAlign w:val="bottom"/>
            <w:gridSpan w:val="2"/>
          </w:tcPr>
          <w:p>
            <w:pPr>
              <w:ind w:left="280"/>
              <w:spacing w:after="0"/>
              <w:rPr>
                <w:sz w:val="20"/>
                <w:szCs w:val="20"/>
                <w:color w:val="auto"/>
              </w:rPr>
            </w:pPr>
            <w:r>
              <w:rPr>
                <w:rFonts w:ascii="Arial" w:cs="Arial" w:eastAsia="Arial" w:hAnsi="Arial"/>
                <w:sz w:val="18"/>
                <w:szCs w:val="18"/>
                <w:color w:val="auto"/>
              </w:rPr>
              <w:t>Share used in calculating net loss per share was determined as follows (in thousands):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3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9"/>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r>
      <w:tr>
        <w:trPr>
          <w:trHeight w:val="169"/>
        </w:trPr>
        <w:tc>
          <w:tcPr>
            <w:tcW w:w="3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 average shares used in calculating basic net loss per share</w:t>
            </w:r>
          </w:p>
        </w:tc>
        <w:tc>
          <w:tcPr>
            <w:tcW w:w="300" w:type="dxa"/>
            <w:vAlign w:val="bottom"/>
            <w:shd w:val="clear" w:color="auto" w:fill="CFF0FC"/>
          </w:tcPr>
          <w:p>
            <w:pPr>
              <w:spacing w:after="0"/>
              <w:rPr>
                <w:sz w:val="18"/>
                <w:szCs w:val="18"/>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133,255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112,677</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gridSpan w:val="2"/>
          </w:tcPr>
          <w:p>
            <w:pPr>
              <w:ind w:left="20"/>
              <w:spacing w:after="0"/>
              <w:rPr>
                <w:sz w:val="20"/>
                <w:szCs w:val="20"/>
                <w:color w:val="auto"/>
              </w:rPr>
            </w:pPr>
            <w:r>
              <w:rPr>
                <w:rFonts w:ascii="Arial" w:cs="Arial" w:eastAsia="Arial" w:hAnsi="Arial"/>
                <w:sz w:val="18"/>
                <w:szCs w:val="18"/>
                <w:color w:val="auto"/>
                <w:w w:val="96"/>
              </w:rPr>
              <w:t>Effect of potentially dilutive common shares from equity awards and liability-classified warrants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50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r>
      <w:tr>
        <w:trPr>
          <w:trHeight w:val="250"/>
        </w:trPr>
        <w:tc>
          <w:tcPr>
            <w:tcW w:w="7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Weighted average shares used in calculating diluted net loss per share</w:t>
            </w:r>
          </w:p>
        </w:tc>
        <w:tc>
          <w:tcPr>
            <w:tcW w:w="3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133,255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113,917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-1199515</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-1182370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-1199515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Our potentially dilutive shares, which include outstanding stock options, restricted stock units and warrants, are considered to be common stock equivalents and are only included in the calculation of diluted net loss per share when their effect is dilutive.</w:t>
      </w:r>
    </w:p>
    <w:p>
      <w:pPr>
        <w:spacing w:after="0" w:line="63"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following table presents weighted average potentially dilutive shares that have been excluded from the calculation of net loss per share because of their anti-dilutive effect (in thousands):</w:t>
      </w:r>
    </w:p>
    <w:p>
      <w:pPr>
        <w:spacing w:after="0" w:line="148"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27,760</w:t>
            </w:r>
          </w:p>
        </w:tc>
        <w:tc>
          <w:tcPr>
            <w:tcW w:w="22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20,882</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16,059</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8"/>
                <w:szCs w:val="18"/>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8"/>
                <w:szCs w:val="18"/>
                <w:color w:val="auto"/>
              </w:rPr>
              <w:t>Total anti-dilutive shares</w:t>
            </w:r>
          </w:p>
        </w:tc>
        <w:tc>
          <w:tcPr>
            <w:tcW w:w="8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43,829</w:t>
            </w:r>
          </w:p>
        </w:tc>
        <w:tc>
          <w:tcPr>
            <w:tcW w:w="2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21,141</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08" w:lineRule="exact"/>
        <w:rPr>
          <w:sz w:val="20"/>
          <w:szCs w:val="20"/>
          <w:color w:val="auto"/>
        </w:rPr>
      </w:pPr>
    </w:p>
    <w:p>
      <w:pPr>
        <w:jc w:val="both"/>
        <w:ind w:right="220" w:firstLine="509"/>
        <w:spacing w:after="0" w:line="256" w:lineRule="auto"/>
        <w:rPr>
          <w:sz w:val="20"/>
          <w:szCs w:val="20"/>
          <w:color w:val="auto"/>
        </w:rPr>
      </w:pPr>
      <w:r>
        <w:rPr>
          <w:rFonts w:ascii="Arial" w:cs="Arial" w:eastAsia="Arial" w:hAnsi="Arial"/>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employees that provide for severance payments and accelerated vesting for share-based awards if their employment is terminated under specified circumstances.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As discussed in Note 4, we are party to a license agreement with Presage under which we may be required to make future payments upon the achievement of certain development, regulatory and commercial milestones, as well as potential future royalties based upon net sales. As of September 30, 2022, we had not accrued any amounts for potential future payments as achievement of the milestones had not been met.</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04"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As a result of the ongoing COVID-19 pandemic, various public health orders and guidance measures have been implemented across much of the U.S., and across the globe, including in the locations of our office, clinical trial sites, key vendors and partners. Despite the relaxation of many governmental orders earlier this year, COVID-19 still impacts the normal conduct of business. While we continue to enroll and dose patients in our clinical trials, our clinical development program timelines may continue to be subject to potential negative impacts from the ongoing pandemic in the U.S. and globally.</w:t>
      </w:r>
    </w:p>
    <w:p>
      <w:pPr>
        <w:spacing w:after="0" w:line="9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have experienced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and the FDA. The foregoing may also impact the integrity of our study data. The ongoing COVID-19 pandemic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78"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Not only might the ongoing COVID-19 pandemic impact the conduct of our clinical trials, but it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Nasdaq Bid Price Letter</w:t>
      </w:r>
    </w:p>
    <w:p>
      <w:pPr>
        <w:spacing w:after="0" w:line="11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On May 9, 2022, we received a letter from Nasdaq indicating that, for the last thirty consecutive business days, the bid price for our common stock had closed below the minimum $1.00 per share requirement for continued listing on the Nasdaq Capital Market.</w:t>
      </w:r>
    </w:p>
    <w:p>
      <w:pPr>
        <w:spacing w:after="0" w:line="63"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accordance with Nasdaq listing rules, we were provided an initial period of 180 calendar days, or until November 7, 2022, to regain compliance. On November 10, 2022, we received a letter from Nasdaq that we have been granted an additional 180 calendar day compliance period and that our compliance period now ends on May 8, 2023. The letter states that Nasdaq will provide written notification that we have achieved compliance with its rules if, at any time before May 8, 2023, the bid price of our common stock closes at $1.00 per share or more for a minimum of ten consecutive business days. The Nasdaq letter had no immediate effect on the listing or trading of our common stock and our common stock continued to trade on the Nasdaq Capital Market.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regained compliance with Nasdaq listing rules as of the date these financial statements were issued.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July 2020, we entered into a lease agreement (the "Initial Lease Agreement") for approximately 32,800 square feet of office space in San Diego, California. The Initial Lease Agreement was extended to November 30, 2029, in accordance with the amended lease agreement that we entered into in January 2022 (the "Amended Lease Agreement"). The Amended Lease Agreement, which began on July 1, 2022 and expires on November 30, 2029, provides for an additional 12,300 square feet of office space adjacent to our current office in San Diego, for a total of approximately 45,100 square feet of office space. The Initial Lease Agreement and Amended Lease Agreement are collectively referred to as the "Lease Agreements" and have been accounted for as operating leases.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schedule of the future minimum lease payments under the Lease Agreements, reconciled to the operating lease liability,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7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7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Remainder of fiscal year ending June 30, 2023</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color w:val="auto"/>
              </w:rPr>
              <w:t>Years ending June 30,</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18,076</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color w:val="auto"/>
              </w:rPr>
              <w:t>Less: Present value discount</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(4,394 )</w:t>
            </w:r>
          </w:p>
        </w:tc>
        <w:tc>
          <w:tcPr>
            <w:tcW w:w="80" w:type="dxa"/>
            <w:vAlign w:val="bottom"/>
          </w:tcPr>
          <w:p>
            <w:pPr>
              <w:spacing w:after="0"/>
              <w:rPr>
                <w:sz w:val="18"/>
                <w:szCs w:val="18"/>
                <w:color w:val="auto"/>
              </w:rPr>
            </w:pPr>
          </w:p>
        </w:tc>
      </w:tr>
      <w:tr>
        <w:trPr>
          <w:trHeight w:val="249"/>
        </w:trPr>
        <w:tc>
          <w:tcPr>
            <w:tcW w:w="7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liability</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13,682</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197"/>
        </w:trPr>
        <w:tc>
          <w:tcPr>
            <w:tcW w:w="7340" w:type="dxa"/>
            <w:vAlign w:val="bottom"/>
          </w:tcPr>
          <w:p>
            <w:pPr>
              <w:spacing w:after="0" w:line="196" w:lineRule="exact"/>
              <w:rPr>
                <w:sz w:val="20"/>
                <w:szCs w:val="20"/>
                <w:color w:val="auto"/>
              </w:rPr>
            </w:pPr>
            <w:r>
              <w:rPr>
                <w:rFonts w:ascii="Arial" w:cs="Arial" w:eastAsia="Arial" w:hAnsi="Arial"/>
                <w:sz w:val="18"/>
                <w:szCs w:val="18"/>
                <w:b w:val="1"/>
                <w:bCs w:val="1"/>
                <w:color w:val="auto"/>
              </w:rPr>
              <w:t>Balance Sheet Classification – Operating Leases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Operating lease liability</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Operating lease liability, long-term</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7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liability</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13,682</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7340" w:type="dxa"/>
            <w:vAlign w:val="bottom"/>
          </w:tcPr>
          <w:p>
            <w:pPr>
              <w:spacing w:after="0" w:line="196" w:lineRule="exact"/>
              <w:rPr>
                <w:sz w:val="20"/>
                <w:szCs w:val="20"/>
                <w:color w:val="auto"/>
              </w:rPr>
            </w:pPr>
            <w:r>
              <w:rPr>
                <w:rFonts w:ascii="Arial" w:cs="Arial" w:eastAsia="Arial" w:hAnsi="Arial"/>
                <w:sz w:val="18"/>
                <w:szCs w:val="18"/>
                <w:b w:val="1"/>
                <w:bCs w:val="1"/>
                <w:color w:val="auto"/>
              </w:rPr>
              <w:t>Other Balance Sheet Information – Operating Leases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 average remaining lease term (in years)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-1028700</wp:posOffset>
            </wp:positionV>
            <wp:extent cx="51435"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-445770</wp:posOffset>
            </wp:positionV>
            <wp:extent cx="51435"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162560"/>
                    </a:xfrm>
                    <a:prstGeom prst="rect">
                      <a:avLst/>
                    </a:prstGeom>
                    <a:noFill/>
                  </pic:spPr>
                </pic:pic>
              </a:graphicData>
            </a:graphic>
          </wp:anchor>
        </w:drawing>
      </w:r>
    </w:p>
    <w:p>
      <w:pPr>
        <w:spacing w:after="0" w:line="59"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Lease Agreements include rent escalations over the lease terms. In addition, the Lease Agreements include renewal options which were not included in the determination of the ROU assets or lease liabilities as the renewals were not reasonably certain at the inception of the Lease Agreements. Under the terms of the Lease Agreements, we are subject to charges for variable non-lease components (e.g., common area maintenance, maintenance, etc.) that are not included in the ROU assets and operating lease liabilities and are recorded as an expense in the period incurred.</w:t>
      </w:r>
    </w:p>
    <w:p>
      <w:pPr>
        <w:spacing w:after="0" w:line="4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Upon taking control of the additional 12,300 square feet of office space adjacent to our current office in San Diego on July 1, 2022, we recognized operating lease ROU assets obtained in exchange for operating lease liabilities of $4.3 million. As of September 30, 2022 and June 30, 2022, total operating lease ROU assets were $13.1 million and $9.1 million, respectively.</w:t>
      </w:r>
    </w:p>
    <w:p>
      <w:pPr>
        <w:spacing w:after="0" w:line="67"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Total operating lease expense and cash paid under the Lease Agreements was approximately $0.6 million and $0.4 million for the three months ended September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We have a shelf registration statement that permits us to sell, from time to time, up to $200.0 million of common stock, preferred stock and warrants. The shelf registration was filed and declared effective in May 2020, and carried forward approximately $107.5 million of unsold securities registered under the prior shelf registration statement. As of September 30, 2022, there was $123.4 million aggregate value of securities available under the shelf registration statement, including $60.0 million remaining available under the 2020 ATM Sales Agreement described below.</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At-The-Market Equity Offering</w:t>
      </w:r>
    </w:p>
    <w:p>
      <w:pPr>
        <w:spacing w:after="0" w:line="104"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On November 10, 2020, we entered into an At-The-Market Equity Offering Sales Agreement (the “2020 ATM Sales Agreement”), pursuant to which we may sell an aggregate of up to $60.0 million of our common stock pursuant to the shelf registration statement. As of September 30, 2022, there was $60.0 million remaining available under the 2020 ATM Sales Agreement.</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04"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As of September 30, 2022, we have outstanding warrants to purchase 16,058,985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 measured at fair value and reported as a liability in the Condensed Balance Sheets. The warrants were revalued as of September 30,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2022 and June 30, 2022 at $0.5 million and $1.6 million, respectively. The change in fair value of $1.1 million was recorded on the Condensed Statement of Operations for the three months ended September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29,014,794 shares of common stock are authorized for issuance. The Omnibus Plan provides for the grant of options and/or other stock-based or stock-denominated awards to our non-employee directors, officers, and employees. As of September 30, 2022, there were 1,832,393 shares available for future grant under the Omnibus Plan.</w:t>
      </w:r>
    </w:p>
    <w:p>
      <w:pPr>
        <w:spacing w:after="0" w:line="63"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In May 2021, we adopted the 2021 Inducement Plan ("Inducement Plan"), under which 2,500,000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stockholders of the Company. As of September 30, 2022, there were 17,000 shares available for future grant under the Inducement Plan.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share-based compensation expense for all stock awards consisted of the following for the periods presented (in thousands):</w:t>
      </w:r>
    </w:p>
    <w:p>
      <w:pPr>
        <w:spacing w:after="0" w:line="203"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FF0FC"/>
            </w:tcBorders>
          </w:tcPr>
          <w:p>
            <w:pPr>
              <w:spacing w:after="0"/>
              <w:rPr>
                <w:sz w:val="18"/>
                <w:szCs w:val="18"/>
                <w:color w:val="auto"/>
              </w:rPr>
            </w:pPr>
          </w:p>
        </w:tc>
      </w:tr>
      <w:tr>
        <w:trPr>
          <w:trHeight w:val="249"/>
        </w:trPr>
        <w:tc>
          <w:tcPr>
            <w:tcW w:w="6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share-based compensation</w:t>
            </w:r>
          </w:p>
        </w:tc>
        <w:tc>
          <w:tcPr>
            <w:tcW w:w="920" w:type="dxa"/>
            <w:vAlign w:val="bottom"/>
            <w:tcBorders>
              <w:bottom w:val="single" w:sz="8" w:color="auto"/>
            </w:tcBorders>
            <w:shd w:val="clear" w:color="auto" w:fill="CFF0FC"/>
          </w:tcPr>
          <w:p>
            <w:pPr>
              <w:jc w:val="right"/>
              <w:ind w:right="7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1,559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Of the total options outstanding of 27,382,279 as of September 30, 2022, 24,899,279 were granted under the Omnibus Plan and 2,483,000 were granted under the Inducement Plan.</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and related data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Exercise Price</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June 30, 2022</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19,934,007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9,028,410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Forfeited/Cancelled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(1,580,138 )</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Outstanding at September 30,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27,382,279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Vested and exercisable at September 30, 2022</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11,829,885</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2.93</w:t>
            </w:r>
          </w:p>
        </w:tc>
        <w:tc>
          <w:tcPr>
            <w:tcW w:w="14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6.3</w:t>
            </w:r>
          </w:p>
        </w:tc>
        <w:tc>
          <w:tcPr>
            <w:tcW w:w="38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ind w:left="9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8"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As of September 30, 2022, the aggregate intrinsic value of outstanding options was calculated as the difference between the exercise price of the underlying options and the closing price of our common stock of $0.39 on that date.</w:t>
      </w:r>
    </w:p>
    <w:p>
      <w:pPr>
        <w:spacing w:after="0" w:line="63"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Unrecognized compensation expense related to non-vested stock options totaled $7.6 million as of September 30, 2022. Such compensation expense is expected to be recognized over a weighted average period of 1.7 years. As of September 30, 2022, we expect all options to vest.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We use the Black-Scholes valuation model to estimate the grant date fair value of stock options. To calculate these fair values, the following weighted average assumptions were used for the periods presented:</w:t>
      </w:r>
    </w:p>
    <w:p>
      <w:pPr>
        <w:spacing w:after="0" w:line="176"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18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life (years)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84.1 %</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67.8 %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Dividend yield</w:t>
            </w:r>
          </w:p>
        </w:tc>
        <w:tc>
          <w:tcPr>
            <w:tcW w:w="8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-685165</wp:posOffset>
            </wp:positionV>
            <wp:extent cx="570039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-410845</wp:posOffset>
            </wp:positionV>
            <wp:extent cx="570039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RSU activity and related data for the three months ended September 30, 2022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8"/>
        </w:trPr>
        <w:tc>
          <w:tcPr>
            <w:tcW w:w="17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60" w:type="dxa"/>
            <w:vAlign w:val="bottom"/>
            <w:gridSpan w:val="2"/>
          </w:tcPr>
          <w:p>
            <w:pPr>
              <w:jc w:val="right"/>
              <w:ind w:right="700"/>
              <w:spacing w:after="0" w:line="158" w:lineRule="exact"/>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3"/>
                <w:szCs w:val="13"/>
                <w:color w:val="auto"/>
              </w:rPr>
            </w:pPr>
          </w:p>
        </w:tc>
        <w:tc>
          <w:tcPr>
            <w:tcW w:w="1520" w:type="dxa"/>
            <w:vAlign w:val="bottom"/>
          </w:tcPr>
          <w:p>
            <w:pPr>
              <w:jc w:val="center"/>
              <w:ind w:right="99"/>
              <w:spacing w:after="0" w:line="158"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89"/>
        </w:trPr>
        <w:tc>
          <w:tcPr>
            <w:tcW w:w="1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6"/>
                <w:szCs w:val="16"/>
                <w:color w:val="auto"/>
              </w:rPr>
            </w:pPr>
          </w:p>
        </w:tc>
        <w:tc>
          <w:tcPr>
            <w:tcW w:w="15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9"/>
        </w:trPr>
        <w:tc>
          <w:tcPr>
            <w:tcW w:w="170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Non-vested at June 30, 2022</w:t>
            </w:r>
          </w:p>
        </w:tc>
        <w:tc>
          <w:tcPr>
            <w:tcW w:w="10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184,400</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Vested</w:t>
            </w:r>
          </w:p>
        </w:tc>
        <w:tc>
          <w:tcPr>
            <w:tcW w:w="2900" w:type="dxa"/>
            <w:vAlign w:val="bottom"/>
            <w:gridSpan w:val="3"/>
          </w:tcPr>
          <w:p>
            <w:pPr>
              <w:jc w:val="right"/>
              <w:ind w:right="140"/>
              <w:spacing w:after="0"/>
              <w:rPr>
                <w:sz w:val="20"/>
                <w:szCs w:val="20"/>
                <w:color w:val="auto"/>
              </w:rPr>
            </w:pPr>
            <w:r>
              <w:rPr>
                <w:rFonts w:ascii="Arial" w:cs="Arial" w:eastAsia="Arial" w:hAnsi="Arial"/>
                <w:sz w:val="18"/>
                <w:szCs w:val="18"/>
                <w:color w:val="auto"/>
              </w:rPr>
              <w:t>(184,400 )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September 30, 2022</w:t>
            </w:r>
          </w:p>
        </w:tc>
        <w:tc>
          <w:tcPr>
            <w:tcW w:w="1040" w:type="dxa"/>
            <w:vAlign w:val="bottom"/>
            <w:tcBorders>
              <w:top w:val="single" w:sz="8" w:color="CFF0FC"/>
              <w:bottom w:val="single" w:sz="8" w:color="CFF0FC"/>
            </w:tcBorders>
            <w:shd w:val="clear" w:color="auto" w:fill="CFF0FC"/>
          </w:tcPr>
          <w:p>
            <w:pPr>
              <w:spacing w:after="0"/>
              <w:rPr>
                <w:sz w:val="21"/>
                <w:szCs w:val="21"/>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15"/>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-505460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-488315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-650875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2022 Annual Report on Form 10-K ("2022 Annual Report"), as filed with the Securities and Exchange Commission on September 8, 2022. Set forth below is a summary of the principal risks we face:</w:t>
      </w:r>
    </w:p>
    <w:p>
      <w:pPr>
        <w:spacing w:after="0" w:line="53" w:lineRule="exact"/>
        <w:rPr>
          <w:sz w:val="20"/>
          <w:szCs w:val="20"/>
          <w:color w:val="auto"/>
        </w:rPr>
      </w:pPr>
    </w:p>
    <w:p>
      <w:pPr>
        <w:ind w:left="1020" w:right="160" w:hanging="503"/>
        <w:spacing w:after="0" w:line="27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identified a material weakness in our internal control over financial reporting and determined that our disclosure controls and procedures were ineffective as of June 30, 2021, as a result of the restatement of our financial statements as of and for the years ended June 30, 2021 and 2020. Relevant unaudited interim financial information for each of the quarterly periods ended September 30, 2020 through December 31, 2021 have also been restated. In the future, we may identify additional material weaknesses or otherwise fail to maintain an effective system of internal control over financial reporting or adequate disclosure controls and procedures, which may result in material errors of our financial statements or cause us to fail to meet our periodic reporting obligations;</w:t>
      </w:r>
    </w:p>
    <w:p>
      <w:pPr>
        <w:ind w:left="1020" w:right="30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late-stage clinical research and development stage company and are likely to incur operating losses for the foreseeable future;</w:t>
      </w:r>
    </w:p>
    <w:p>
      <w:pPr>
        <w:spacing w:after="0" w:line="20" w:lineRule="exact"/>
        <w:rPr>
          <w:rFonts w:ascii="Arial" w:cs="Arial" w:eastAsia="Arial" w:hAnsi="Arial"/>
          <w:sz w:val="16"/>
          <w:szCs w:val="16"/>
          <w:color w:val="auto"/>
        </w:rPr>
      </w:pPr>
    </w:p>
    <w:p>
      <w:pPr>
        <w:ind w:left="1020" w:right="20" w:hanging="503"/>
        <w:spacing w:after="0" w:line="24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spacing w:after="0" w:line="1" w:lineRule="exact"/>
        <w:rPr>
          <w:rFonts w:ascii="Arial" w:cs="Arial" w:eastAsia="Arial" w:hAnsi="Arial"/>
          <w:sz w:val="18"/>
          <w:szCs w:val="18"/>
          <w:color w:val="auto"/>
        </w:rPr>
      </w:pPr>
    </w:p>
    <w:p>
      <w:pPr>
        <w:ind w:left="1020" w:right="440" w:hanging="503"/>
        <w:spacing w:after="0" w:line="23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novel coronavirus disease, or COVID-19, pandemic or other pandemic, epidemic or outbreak of an infectious disease may materially and adversely impact our business, including our preclinical studies and clinical trials;</w:t>
      </w:r>
    </w:p>
    <w:p>
      <w:pPr>
        <w:spacing w:after="0" w:line="1" w:lineRule="exact"/>
        <w:rPr>
          <w:rFonts w:ascii="Arial" w:cs="Arial" w:eastAsia="Arial" w:hAnsi="Arial"/>
          <w:sz w:val="18"/>
          <w:szCs w:val="18"/>
          <w:color w:val="auto"/>
        </w:rPr>
      </w:pPr>
    </w:p>
    <w:p>
      <w:pPr>
        <w:ind w:left="1020" w:right="200" w:hanging="503"/>
        <w:spacing w:after="0" w:line="27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There is substantial uncertainty regarding the impact of rising inflation and the increase in interest rates as a result, the ongoing COVID-19 pandemic, and the ongoing conflict in the Ukraine on our business, industry, global economic conditions and government policy;</w:t>
      </w:r>
    </w:p>
    <w:p>
      <w:pPr>
        <w:spacing w:after="0" w:line="1" w:lineRule="exact"/>
        <w:rPr>
          <w:rFonts w:ascii="Arial" w:cs="Arial" w:eastAsia="Arial" w:hAnsi="Arial"/>
          <w:sz w:val="16"/>
          <w:szCs w:val="16"/>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drug candidate manufacturing or formulation may result in additional costs or delay;</w:t>
      </w:r>
    </w:p>
    <w:p>
      <w:pPr>
        <w:ind w:left="1020" w:right="8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KKC or other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ind w:left="1020" w:right="160" w:hanging="503"/>
        <w:spacing w:after="0" w:line="23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2" w:lineRule="exact"/>
        <w:rPr>
          <w:rFonts w:ascii="Arial" w:cs="Arial" w:eastAsia="Arial" w:hAnsi="Arial"/>
          <w:sz w:val="18"/>
          <w:szCs w:val="18"/>
          <w:color w:val="auto"/>
        </w:rPr>
      </w:pPr>
    </w:p>
    <w:p>
      <w:pPr>
        <w:ind w:left="1020" w:right="20" w:hanging="503"/>
        <w:spacing w:after="0" w:line="24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spacing w:after="0" w:line="1" w:lineRule="exact"/>
        <w:rPr>
          <w:rFonts w:ascii="Arial" w:cs="Arial" w:eastAsia="Arial" w:hAnsi="Arial"/>
          <w:sz w:val="18"/>
          <w:szCs w:val="18"/>
          <w:color w:val="auto"/>
        </w:rPr>
      </w:pPr>
    </w:p>
    <w:p>
      <w:pPr>
        <w:ind w:left="1020" w:hanging="503"/>
        <w:spacing w:after="0" w:line="24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Final approval by regulatory authorities of our drug candidates for commercial use may be delayed, limited or prevented, any of which would adversely affect our ability to generate operating revenues;</w:t>
      </w:r>
    </w:p>
    <w:p>
      <w:pPr>
        <w:spacing w:after="0" w:line="1" w:lineRule="exact"/>
        <w:rPr>
          <w:rFonts w:ascii="Arial" w:cs="Arial" w:eastAsia="Arial" w:hAnsi="Arial"/>
          <w:sz w:val="18"/>
          <w:szCs w:val="18"/>
          <w:color w:val="auto"/>
        </w:rPr>
      </w:pPr>
    </w:p>
    <w:p>
      <w:pPr>
        <w:ind w:left="1020" w:right="500" w:hanging="503"/>
        <w:spacing w:after="0" w:line="23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determine that our drug candidates have undesirable side effects that could delay or prevent their regulatory approval or commercialization;</w:t>
      </w:r>
    </w:p>
    <w:p>
      <w:pPr>
        <w:spacing w:after="0" w:line="1" w:lineRule="exact"/>
        <w:rPr>
          <w:rFonts w:ascii="Arial" w:cs="Arial" w:eastAsia="Arial" w:hAnsi="Arial"/>
          <w:sz w:val="18"/>
          <w:szCs w:val="18"/>
          <w:color w:val="auto"/>
        </w:rPr>
      </w:pPr>
    </w:p>
    <w:p>
      <w:pPr>
        <w:ind w:left="1020" w:right="460" w:hanging="503"/>
        <w:spacing w:after="0" w:line="24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has specifically expressed concerns related to the risk benefit analysis regarding the use of approved PI3Kδ inhibitors to treat indolent lymphomas which may adversely affect the approval and commercial viability of zandelisib;</w:t>
      </w:r>
    </w:p>
    <w:p>
      <w:pPr>
        <w:spacing w:after="0" w:line="1" w:lineRule="exact"/>
        <w:rPr>
          <w:rFonts w:ascii="Arial" w:cs="Arial" w:eastAsia="Arial" w:hAnsi="Arial"/>
          <w:sz w:val="18"/>
          <w:szCs w:val="18"/>
          <w:color w:val="auto"/>
        </w:rPr>
      </w:pPr>
    </w:p>
    <w:p>
      <w:pPr>
        <w:ind w:left="1020" w:right="100" w:hanging="503"/>
        <w:spacing w:after="0" w:line="24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completion of clinical trials and receipt of necessary regulatory approvals could be delayed or prevented;</w:t>
      </w:r>
    </w:p>
    <w:p>
      <w:pPr>
        <w:spacing w:after="0" w:line="1" w:lineRule="exact"/>
        <w:rPr>
          <w:rFonts w:ascii="Arial" w:cs="Arial" w:eastAsia="Arial" w:hAnsi="Arial"/>
          <w:sz w:val="18"/>
          <w:szCs w:val="18"/>
          <w:color w:val="auto"/>
        </w:rPr>
      </w:pPr>
    </w:p>
    <w:p>
      <w:pPr>
        <w:ind w:left="1020" w:right="180" w:hanging="503"/>
        <w:spacing w:after="0" w:line="23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regulatory approval in foreign jurisdictions would prevent us from marketing our products internationally;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6" w:lineRule="exact"/>
        <w:rPr>
          <w:sz w:val="20"/>
          <w:szCs w:val="20"/>
          <w:color w:val="auto"/>
        </w:rPr>
      </w:pPr>
    </w:p>
    <w:p>
      <w:pPr>
        <w:ind w:left="1020" w:hanging="503"/>
        <w:spacing w:after="0" w:line="24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1"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orphan drug designations we receive may not confer marketing exclusivity or other benefits;</w:t>
      </w:r>
    </w:p>
    <w:p>
      <w:pPr>
        <w:ind w:left="1020" w:right="400" w:hanging="503"/>
        <w:spacing w:after="0" w:line="24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1" w:lineRule="exact"/>
        <w:rPr>
          <w:rFonts w:ascii="Arial" w:cs="Arial" w:eastAsia="Arial" w:hAnsi="Arial"/>
          <w:sz w:val="18"/>
          <w:szCs w:val="18"/>
          <w:color w:val="auto"/>
        </w:rPr>
      </w:pPr>
    </w:p>
    <w:p>
      <w:pPr>
        <w:ind w:left="1020" w:right="400" w:hanging="503"/>
        <w:spacing w:after="0" w:line="23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products we develop become subject to unfavorable pricing regulations, third-party reimbursement practices or healthcare reform initiatives, our ability to successfully commercialize our products will be impaired;</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drug candidates are subject to ongoing government regulation both before and after regulatory approval;</w:t>
      </w:r>
    </w:p>
    <w:p>
      <w:pPr>
        <w:spacing w:after="0" w:line="7"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establish the contractual arrangements necessary to develop, market and distribute our drug candidates;</w:t>
      </w:r>
    </w:p>
    <w:p>
      <w:pPr>
        <w:ind w:left="1020" w:right="260" w:hanging="503"/>
        <w:spacing w:after="0" w:line="24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opportunity will be reduced or eliminated if competitors develop and market products that are more effective, have fewer side effects or are less expensive than our drug candidates;</w:t>
      </w:r>
    </w:p>
    <w:p>
      <w:pPr>
        <w:spacing w:after="0" w:line="1"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may face competition sooner than anticipated;</w:t>
      </w:r>
    </w:p>
    <w:p>
      <w:pPr>
        <w:ind w:left="1020" w:right="2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spacing w:after="0" w:line="1" w:lineRule="exact"/>
        <w:rPr>
          <w:rFonts w:ascii="Arial" w:cs="Arial" w:eastAsia="Arial" w:hAnsi="Arial"/>
          <w:sz w:val="18"/>
          <w:szCs w:val="18"/>
          <w:color w:val="auto"/>
        </w:rPr>
      </w:pPr>
    </w:p>
    <w:p>
      <w:pPr>
        <w:jc w:val="both"/>
        <w:ind w:left="1020" w:right="16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depend on third party suppliers and contract manufacturers for the manufacturing of our drug candidates and have no direct control over the cost of manufacturing our drug candidates. Increases in the cost of manufacturing our drug candidates would increase our costs of conducting clinical trials and could adversely affect our future profitability;</w:t>
      </w: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acquisitions or licenses from third parties to expand our pipeline of drug candidates;</w:t>
      </w:r>
    </w:p>
    <w:p>
      <w:pPr>
        <w:spacing w:after="0" w:line="7" w:lineRule="exact"/>
        <w:rPr>
          <w:rFonts w:ascii="Arial" w:cs="Arial" w:eastAsia="Arial" w:hAnsi="Arial"/>
          <w:sz w:val="18"/>
          <w:szCs w:val="18"/>
          <w:color w:val="auto"/>
        </w:rPr>
      </w:pPr>
    </w:p>
    <w:p>
      <w:pPr>
        <w:ind w:left="1020" w:right="160" w:hanging="503"/>
        <w:spacing w:after="0" w:line="23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success is dependent, in part, on obtaining and maintaining patent protection and preserving trade secrets, which cannot be guaranteed;</w:t>
      </w:r>
    </w:p>
    <w:p>
      <w:pPr>
        <w:spacing w:after="0" w:line="1" w:lineRule="exact"/>
        <w:rPr>
          <w:rFonts w:ascii="Arial" w:cs="Arial" w:eastAsia="Arial" w:hAnsi="Arial"/>
          <w:sz w:val="18"/>
          <w:szCs w:val="18"/>
          <w:color w:val="auto"/>
        </w:rPr>
      </w:pPr>
    </w:p>
    <w:p>
      <w:pPr>
        <w:ind w:left="1020" w:right="140" w:hanging="503"/>
        <w:spacing w:after="0" w:line="24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by other companies that we infringe on their proprietary technology may result in liability for damages or stop our development and commercialization efforts;</w:t>
      </w:r>
    </w:p>
    <w:p>
      <w:pPr>
        <w:spacing w:after="0" w:line="1" w:lineRule="exact"/>
        <w:rPr>
          <w:rFonts w:ascii="Arial" w:cs="Arial" w:eastAsia="Arial" w:hAnsi="Arial"/>
          <w:sz w:val="18"/>
          <w:szCs w:val="18"/>
          <w:color w:val="auto"/>
        </w:rPr>
      </w:pPr>
    </w:p>
    <w:p>
      <w:pPr>
        <w:ind w:left="1020" w:right="80" w:hanging="503"/>
        <w:spacing w:after="0" w:line="24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spacing w:after="0" w:line="1"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substantial costs stemming from our defense against third-party intellectual property infringement claims;</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a risk of product liability claims and claims may exceed our insurance limits;</w:t>
      </w:r>
    </w:p>
    <w:p>
      <w:pPr>
        <w:jc w:val="both"/>
        <w:ind w:left="1020" w:right="18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system failures;</w:t>
      </w: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will be seriously jeopardized if we are unable to retain and attract key employees;</w:t>
      </w:r>
    </w:p>
    <w:p>
      <w:pPr>
        <w:spacing w:after="0" w:line="7" w:lineRule="exact"/>
        <w:rPr>
          <w:rFonts w:ascii="Arial" w:cs="Arial" w:eastAsia="Arial" w:hAnsi="Arial"/>
          <w:sz w:val="18"/>
          <w:szCs w:val="18"/>
          <w:color w:val="auto"/>
        </w:rPr>
      </w:pPr>
    </w:p>
    <w:p>
      <w:pPr>
        <w:ind w:left="1020" w:right="460" w:hanging="503"/>
        <w:spacing w:after="0" w:line="23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U.S. and global economic conditions may pose challenges to our business strategy, which relies on funding from the financial markets or collaborators;</w:t>
      </w:r>
    </w:p>
    <w:p>
      <w:pPr>
        <w:spacing w:after="0" w:line="1" w:lineRule="exact"/>
        <w:rPr>
          <w:rFonts w:ascii="Arial" w:cs="Arial" w:eastAsia="Arial" w:hAnsi="Arial"/>
          <w:sz w:val="18"/>
          <w:szCs w:val="18"/>
          <w:color w:val="auto"/>
        </w:rPr>
      </w:pPr>
    </w:p>
    <w:p>
      <w:pPr>
        <w:ind w:left="1020" w:right="300" w:hanging="503"/>
        <w:spacing w:after="0" w:line="24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rules and regulations relating to public companies may be costly and impact our ability to attract and retain directors and executive officers;</w:t>
      </w:r>
    </w:p>
    <w:p>
      <w:pPr>
        <w:spacing w:after="0" w:line="1" w:lineRule="exact"/>
        <w:rPr>
          <w:rFonts w:ascii="Arial" w:cs="Arial" w:eastAsia="Arial" w:hAnsi="Arial"/>
          <w:sz w:val="18"/>
          <w:szCs w:val="18"/>
          <w:color w:val="auto"/>
        </w:rPr>
      </w:pPr>
    </w:p>
    <w:p>
      <w:pPr>
        <w:ind w:left="1020" w:right="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not in compliance with the Nasdaq continued listing requirements. If we are unable to comply with the continued listing requirements of the Nasdaq Capital Market, our common stock could be delisted, which could affect our common stock's market price and liquidity and reduce our ability to raise capital;</w:t>
      </w:r>
    </w:p>
    <w:p>
      <w:pPr>
        <w:ind w:left="1020" w:right="260" w:hanging="503"/>
        <w:spacing w:after="0" w:line="24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spacing w:after="0" w:line="1" w:lineRule="exact"/>
        <w:rPr>
          <w:rFonts w:ascii="Arial" w:cs="Arial" w:eastAsia="Arial" w:hAnsi="Arial"/>
          <w:sz w:val="18"/>
          <w:szCs w:val="18"/>
          <w:color w:val="auto"/>
        </w:rPr>
      </w:pPr>
    </w:p>
    <w:p>
      <w:pPr>
        <w:ind w:left="1020" w:right="100" w:hanging="503"/>
        <w:spacing w:after="0" w:line="23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harm our business;</w:t>
      </w:r>
    </w:p>
    <w:p>
      <w:pPr>
        <w:spacing w:after="0" w:line="1" w:lineRule="exact"/>
        <w:rPr>
          <w:rFonts w:ascii="Arial" w:cs="Arial" w:eastAsia="Arial" w:hAnsi="Arial"/>
          <w:sz w:val="18"/>
          <w:szCs w:val="18"/>
          <w:color w:val="auto"/>
        </w:rPr>
      </w:pPr>
    </w:p>
    <w:p>
      <w:pPr>
        <w:ind w:left="1020" w:right="600" w:hanging="503"/>
        <w:spacing w:after="0" w:line="24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the deductibility of net operating losses could adversely affect our business and financial condition;</w:t>
      </w:r>
    </w:p>
    <w:p>
      <w:pPr>
        <w:ind w:left="1020" w:right="100" w:hanging="503"/>
        <w:spacing w:after="0" w:line="24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may continue to be highly volatile and could decline in value and we may incur significant costs from class action litigation;</w:t>
      </w:r>
    </w:p>
    <w:p>
      <w:pPr>
        <w:spacing w:after="0" w:line="1" w:lineRule="exact"/>
        <w:rPr>
          <w:rFonts w:ascii="Arial" w:cs="Arial" w:eastAsia="Arial" w:hAnsi="Arial"/>
          <w:sz w:val="18"/>
          <w:szCs w:val="18"/>
          <w:color w:val="auto"/>
        </w:rPr>
      </w:pPr>
    </w:p>
    <w:p>
      <w:pPr>
        <w:ind w:left="1020" w:right="40" w:hanging="503"/>
        <w:spacing w:after="0" w:line="23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our common stock, including common stock issued upon exercise of outstanding warrants or options, may depress the market price of our common stock and cause stockholders to experience dilution;</w:t>
      </w:r>
    </w:p>
    <w:p>
      <w:pPr>
        <w:spacing w:after="0" w:line="1" w:lineRule="exact"/>
        <w:rPr>
          <w:rFonts w:ascii="Arial" w:cs="Arial" w:eastAsia="Arial" w:hAnsi="Arial"/>
          <w:sz w:val="18"/>
          <w:szCs w:val="18"/>
          <w:color w:val="auto"/>
        </w:rPr>
      </w:pPr>
    </w:p>
    <w:p>
      <w:pPr>
        <w:ind w:left="1020" w:right="120" w:hanging="503"/>
        <w:spacing w:after="0" w:line="24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have broad discretion over the use of the net proceeds from any exercise of outstanding warrants and options;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6"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authorized to issue blank check preferred stock, which could adversely affect the holders of our common stock;</w:t>
      </w:r>
    </w:p>
    <w:p>
      <w:pPr>
        <w:spacing w:after="0" w:line="11" w:lineRule="exact"/>
        <w:rPr>
          <w:rFonts w:ascii="Arial" w:cs="Arial" w:eastAsia="Arial" w:hAnsi="Arial"/>
          <w:sz w:val="18"/>
          <w:szCs w:val="18"/>
          <w:color w:val="auto"/>
        </w:rPr>
      </w:pPr>
    </w:p>
    <w:p>
      <w:pPr>
        <w:ind w:left="1020" w:right="180" w:hanging="503"/>
        <w:spacing w:after="0" w:line="24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Anti-takeover provisions contained in our amended and restated certificate of incorporation and third amended and restated bylaws, as well as provisions of Delaware law, could impair a takeover attempt;</w:t>
      </w:r>
    </w:p>
    <w:p>
      <w:pPr>
        <w:spacing w:after="0" w:line="1" w:lineRule="exact"/>
        <w:rPr>
          <w:rFonts w:ascii="Arial" w:cs="Arial" w:eastAsia="Arial" w:hAnsi="Arial"/>
          <w:sz w:val="18"/>
          <w:szCs w:val="18"/>
          <w:color w:val="auto"/>
        </w:rPr>
      </w:pPr>
    </w:p>
    <w:p>
      <w:pPr>
        <w:ind w:left="1020" w:right="100" w:hanging="503"/>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third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executive officers and directors may sell shares of their stock, and these sales could adversely affect our stock price.</w:t>
      </w:r>
    </w:p>
    <w:p>
      <w:pPr>
        <w:spacing w:after="0" w:line="20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These risks are not exhaustive. Other sections of this report and our other filings with the Securities and Exchange Commission ("SEC") include additional factors which could adversely impact our business and financial performance. Moreover, we operate in a very competitive and rapidly changing environment. There is substantial uncertainty regarding the impact of the ongoing COVID-19 pandemic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8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financial statements and the notes thereto appearing elsewhere in this Quarterly Report and the audited financial statements and notes thereto included in our 2022 Annual Report, as filed with the SEC. Operating results are not necessarily indicative of results that may occur in future periods.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09"/>
        <w:spacing w:after="0" w:line="283" w:lineRule="auto"/>
        <w:rPr>
          <w:sz w:val="20"/>
          <w:szCs w:val="20"/>
          <w:color w:val="auto"/>
        </w:rPr>
      </w:pPr>
      <w:r>
        <w:rPr>
          <w:rFonts w:ascii="Arial" w:cs="Arial" w:eastAsia="Arial" w:hAnsi="Arial"/>
          <w:sz w:val="16"/>
          <w:szCs w:val="16"/>
          <w:color w:val="auto"/>
        </w:rPr>
        <w:t>We are a late-stage pharmaceutical company committed to the development and commercialization of novel cancer therapies intended to improve outcomes for patients. Our portfolio of drug candidates includes three clinical-stage assets, including zandelisib (f/k/a ME-401), currently in multiple ongoing clinical studies intended to support marketing applications with the U.S. Food and Drug Administration (“FDA”) and other regulatory authorities globally. Our approach to building our pipeline is to license or acquire promising cancer agents and build value in programs through development, commercialization and strategic partnerships, as appropriate. Our common stock is listed on the Nasdaq Capital Market under the symbol “MEIP.”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We build our pipeline by licensing or acquiring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spacing w:after="0" w:line="39"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Zandelisib, an oral phosphatidylinositol 3-kinase delta (“PI3Kδ”) inhibitor;</w:t>
      </w:r>
    </w:p>
    <w:p>
      <w:pPr>
        <w:spacing w:after="0" w:line="23"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Voruciclib, an oral cyclin-dependent kinase 9 (“CDK9”) inhibitor; and</w:t>
      </w: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052185" cy="26060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5218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20" w:right="900" w:hanging="503"/>
        <w:spacing w:after="0" w:line="266"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Study evaluating patients with Indolent B-cell non-Hodgkin's lymphoma (iB-NHL) without small lymphocytic lymphoma (SLL), lymphoplasmacytic lymphoma (LPL), and Waldenström's macroglobulinemia (WM) conducted by Kyowa Kirin.</w:t>
      </w:r>
    </w:p>
    <w:p>
      <w:pPr>
        <w:spacing w:after="0" w:line="1" w:lineRule="exact"/>
        <w:rPr>
          <w:rFonts w:ascii="Arial" w:cs="Arial" w:eastAsia="Arial" w:hAnsi="Arial"/>
          <w:sz w:val="17"/>
          <w:szCs w:val="17"/>
          <w:color w:val="auto"/>
        </w:rPr>
      </w:pPr>
    </w:p>
    <w:p>
      <w:pPr>
        <w:ind w:left="1020" w:hanging="503"/>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Study arm initiated under clinical collaboration with BeiGene, Ltd.</w:t>
      </w: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Investigator-initiated trial.</w:t>
      </w:r>
    </w:p>
    <w:p>
      <w:pPr>
        <w:spacing w:after="0" w:line="20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i w:val="1"/>
          <w:iCs w:val="1"/>
          <w:u w:val="single" w:color="auto"/>
          <w:color w:val="auto"/>
        </w:rPr>
        <w:t>Zandelisib: PI3Kδ Inhibitor in Multiple Trials Intended to Support Marketing Approvals in Relapsed or Refractory Follicular and Marginal Zone Lymphomas</w:t>
      </w:r>
    </w:p>
    <w:p>
      <w:pPr>
        <w:spacing w:after="0" w:line="63"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Zandelisib is an oral, once-daily, selective PI3Kδ inhibitor in clinical development for the treatment of B-cell malignancies. Registrational and combination clinical studies are focused on the time-limited, intermittent dosing ("ID"), of zandelisib in patients with relapsed or refractory (“r/r”) indolent non-Hodgkin lymphomas and chronic lymphocytic leukemia ("CLL"). “Time-limited” therapy is treatment which is to be administered for a fixed period of time and not based on an event like disease progression or tolerability to study drug.</w:t>
      </w:r>
    </w:p>
    <w:p>
      <w:pPr>
        <w:spacing w:after="0" w:line="86"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In March 2020, the FDA granted zandelisib Fast Track designation for the treatment of adult patients with r/r follicular lymphoma (“FL”) who have received at least two prior systemic therapies. In November 2021, the FDA granted orphan-drug designation to zandelisib for the treatment of follicular lymphoma. In April 2020, we entered into a global license, development and commercialization agreement to further develop and commercialize zandelisib with Kyowa Kirin Co., Ltd. (“KKC”). MEI Pharma and KKC will co-develop and co-promote zandelisib in the U.S., with MEI Pharma recording all revenue from U.S. sales. KKC has exclusive commercialization rights outside of the U.S.</w:t>
      </w:r>
    </w:p>
    <w:p>
      <w:pPr>
        <w:spacing w:after="0" w:line="78" w:lineRule="exact"/>
        <w:rPr>
          <w:sz w:val="20"/>
          <w:szCs w:val="20"/>
          <w:color w:val="auto"/>
        </w:rPr>
      </w:pPr>
    </w:p>
    <w:p>
      <w:pPr>
        <w:ind w:right="320" w:firstLine="509"/>
        <w:spacing w:after="0" w:line="324" w:lineRule="auto"/>
        <w:rPr>
          <w:sz w:val="20"/>
          <w:szCs w:val="20"/>
          <w:color w:val="auto"/>
        </w:rPr>
      </w:pPr>
      <w:r>
        <w:rPr>
          <w:rFonts w:ascii="Arial" w:cs="Arial" w:eastAsia="Arial" w:hAnsi="Arial"/>
          <w:sz w:val="16"/>
          <w:szCs w:val="16"/>
          <w:color w:val="auto"/>
        </w:rPr>
        <w:t>We are conducting multiple ongoing studies evaluating zandelisib. Our studies include TIDAL, a global Phase 2 study evaluating zandelisib as a monotherapy in patients with r/r FL and marginal zone lymphoma (“MZL”) patients who have received at least two prior lines of treatment.</w:t>
      </w:r>
    </w:p>
    <w:p>
      <w:pPr>
        <w:spacing w:after="0" w:line="30"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Enrollment in the FL cohort of TIDAL is complete. Data from the TIDAL study as reported at the American Society of Clinical Oncology Annual Meeting 2022 and the European Hematology Association 2022 Hybrid Congress in the cohort of patients with FL, demonstrated an overall response rate of 70.3% in the primary efficacy population of 91 patients as determined by Independent Review Committee assessment; the complete response rate was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35.2%. It was also reported that zandelisib was generally well tolerated in the TIDAL study; with 9.4 months (range: 0.8-24) median duration of follow-up in the total study population of 121 patients with FL, interim data demonstrated a discontinuation rate due to any drug related adverse event of 9.9%. Patients enrolled in the study continue to be followed for safety as well as duration of response.</w:t>
      </w:r>
    </w:p>
    <w:p>
      <w:pPr>
        <w:spacing w:after="0" w:line="9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On March 24, 2022, we reported on the outcome of an end of Phase 2 meeting with the FDA to discuss the TIDAL study. Specifically, the FDA stated that a randomized trial is needed to adequately assess drug efficacy and safety of PI3Kδ inhibitor drug candidates, including zandelisib. Based on this view, the agency discouraged a planned filing based on the single arm Phase 2 TIDAL study data and emphasized that the Company continue efforts with the ongoing, randomized Phase 3 COASTAL study as planned. In addition, while the FDA stated that safety on the 60 mg ID schedule appears reasonable, it recommended continued dose exploration. We will continue to evaluate our existing data, forthcoming dose-response data and any other additional efforts, as appropriate, to ensure we address questions from the FDA concerning the selection of our current zandelisib dose and schedule.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 xml:space="preserve">On April 21, 2022, the FDA’s Oncology Drugs Advisory Committee (“ODAC”) concluded that, to better assess potential safety concerns, companies developing PI3Kδ inhibitors for hematologic malignancies should conduct randomized trials, not single arm studies, to support approval. At a subsequent ODAC meeting on September 23, 2022, the FDA heard an update on the new drug application, for COPIKTRA® (duvelisib), a PI3K inhibitor </w:t>
      </w:r>
      <w:r>
        <w:rPr>
          <w:rFonts w:ascii="Arial" w:cs="Arial" w:eastAsia="Arial" w:hAnsi="Arial"/>
          <w:sz w:val="18"/>
          <w:szCs w:val="18"/>
          <w:color w:val="333333"/>
        </w:rPr>
        <w:t>approved for adult patients with relapsed or refractory CLL or small lymphocytic lymphoma ("SLL") after at least two prior therapies. The committee voted that g</w:t>
      </w:r>
      <w:r>
        <w:rPr>
          <w:rFonts w:ascii="Arial" w:cs="Arial" w:eastAsia="Arial" w:hAnsi="Arial"/>
          <w:sz w:val="18"/>
          <w:szCs w:val="18"/>
          <w:color w:val="000000"/>
        </w:rPr>
        <w:t>iven the potential detriment to overall survival, as well as concerns related to dose and safety issues with approved PI3Kδ inhibitors, duvelisib</w:t>
      </w:r>
      <w:r>
        <w:rPr>
          <w:rFonts w:ascii="Arial" w:cs="Arial" w:eastAsia="Arial" w:hAnsi="Arial"/>
          <w:sz w:val="18"/>
          <w:szCs w:val="18"/>
          <w:color w:val="333333"/>
        </w:rPr>
        <w:t xml:space="preserve"> </w:t>
      </w:r>
      <w:r>
        <w:rPr>
          <w:rFonts w:ascii="Arial" w:cs="Arial" w:eastAsia="Arial" w:hAnsi="Arial"/>
          <w:sz w:val="18"/>
          <w:szCs w:val="18"/>
          <w:color w:val="000000"/>
        </w:rPr>
        <w:t>did not demonstrate a favorable benefit/risk ratio for patients with r/r CLL.</w:t>
      </w:r>
    </w:p>
    <w:p>
      <w:pPr>
        <w:spacing w:after="0" w:line="9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FDA has been contemporaneously communicating a broader initiative called Project FrontRunner, replacing its long-standing approach to accelerated approvals generally. In brief, under Project FrontRunner, the FDA communicated its intent to consider support for accelerated approval of cancer drugs based on data from randomized studies, rendering data generated by single arm studies, such as TIDAL, generally insufficient by the FDA to adequately assess risk and benefit, and thus support an accelerated approval marketing authorization. Accordingly, in line with the FDA’s recommendation, and Project FrontRunner, and associated regulatory activity relevant approved PI3Kδ inhibitors, we no longer plan to submit an FDA marketing application based on the single arm Phase 2 TIDAL study.</w:t>
      </w:r>
    </w:p>
    <w:p>
      <w:pPr>
        <w:spacing w:after="0" w:line="93"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COASTAL, the ongoing Phase 3, randomized study, is evaluating the ID and time-limited therapy of zandelisib in combination with rituximab in patients with r/r FL and MZL who have received at least one prior line of treatment. COASTAL is intended to support marketing applications in the U.S. and globally in r/r FL and MZL patients receiving at least one prior line of treatment.</w:t>
      </w:r>
    </w:p>
    <w:p>
      <w:pPr>
        <w:spacing w:after="0" w:line="74"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We are also conducting a multi-arm, open-label, Phase 1b dose finding and expansion trial evaluating zandelisib as a monotherapy and in</w:t>
      </w:r>
    </w:p>
    <w:p>
      <w:pPr>
        <w:spacing w:after="0" w:line="35"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combination with other therapies in patients with relapsed or refractory B-cell malignancies. Other initiated studies include Phase 1 and Phase 2 studies ("MIRAGE") being conducted by KKC evaluating zandelisib as a monotherapy in patients in Japan with indolent B-cell malignancies, pursuant to our agreement with KKC.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Zandelisib: Potentially Highly Differentiated Pharmaceutical Properties within a Clinically Validated Class of Treatments</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approved PI3Kδ inhibitors have been developed for the treatment of B-cell malignancies. Previous entrants to the class have been challenged by toxicities, modest efficacy and/or inconvenience of administration route. We believe this provides an opportunity for the development of a next-generation candidate with pharmaceutical properties that may realize the therapeutic potential of PI3Kδ inhibition by limiting toxicities and improving upon modest efficacy, which together hinder clinical utility.</w:t>
      </w:r>
    </w:p>
    <w:p>
      <w:pPr>
        <w:spacing w:after="0" w:line="7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molecular structure and pharmacodynamic characteristics of zandelisib are distinct from the FDA approved PI3Kδ inhibitors. Clinical and preclinical data demonstrate that zandelisib’s distinct characteristics include prolonged target binding, preferential cellular accumulation, high volume of distribution throughout the body tissues, and an approximately 28-hour half-life suitable for once daily oral administration. The properties of zandelisib support the evaluation of an ID regimen. The ID regimen consists of daily dosing only in the first seven days of each 28-day dosing cycle. The unique zandelisib ID regimen is hypothesized to allow for the recovery of regulatory T cells, which in turn may lead to fewer and/or less severe immune-related adverse events. This may provide long-term disease control through maintenance therapy, without the need for dose reductions or premature discontinuations. Clinical evaluation of the ID regimen to date has demonstrated the potential to maintain clinical benefit while minimizing immune-related toxicities common to approved PI3Kδ agents, either as a monotherapy or in combination with other therapies.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04"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In April 2020, we entered into a License, Development and Commercialization Agreement (the “KKC Commercialization Agreement”) with KKC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agreement), sublicensable, payment-bearing, license under certain patents and know-how controlled by us to develop and commercialize zandelisib and any pharmaceutical product containing zandelisib for all human indications in countries outside of the U.S. (the “Ex-U.S.” and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The KKC Commercialization Agreement substantially retains and consolidates the terms of the 2018 license agreement with KKC to develop and commercialize zandelisib in Japan.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pursuant to supply agreements to be entered into on customary terms, with the understanding that KKC will assume responsibility for manufacturing for the Ex-U.S. as soon as practicable.</w:t>
      </w:r>
    </w:p>
    <w:p>
      <w:pPr>
        <w:spacing w:after="0" w:line="63"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Under the terms of the KKC Commercialization Agreement, KKC paid us an initial payment of $100.0 million. Additionally, during the fiscal year ended June 30, 2022, two $10.0 million milestones were received in connection with the initiation of the Phase 3 COASTAL study. We may also earn up to approximately $582.5 million in potential development, regulatory and commercialization milestone payments, plus royalties on net sales of zandelisib in the Ex-U.S., which are tiered beginning in the teens.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Zandelisib Scientific Overview: at the Crossroads of B-cell Signaling Pathways</w:t>
      </w:r>
    </w:p>
    <w:p>
      <w:pPr>
        <w:spacing w:after="0" w:line="104"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The PI3K/AKT/mTOR pathway is an important signaling pathway for many cellular functions such as cell survival, cell cycle progression and cellular growth. PI3Ks are a family of enzymes within this pathway that have been shown to play a critical role in the proliferation and survival of certain cancer cells.</w:t>
      </w:r>
    </w:p>
    <w:p>
      <w:pPr>
        <w:spacing w:after="0" w:line="67"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There are several isoforms of PI3K that are expressed in different types of cells. The PI3Kδ isoform is at the crossroads of B-cell receptor signaling pathways that are major drivers of survival and proliferation of many B-cell malignancies. Because the δ isoform is often overexpressed in cancer cells of the B-lymphocyte lineage, such as B-cell leukemias and lymphomas, it is understood to be important for survival of these cells. Zandelisib displays high selectivity for the PI3K delta isoform and functions to inhibit its activity.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 Overview</w:t>
      </w:r>
    </w:p>
    <w:p>
      <w:pPr>
        <w:spacing w:after="0" w:line="104"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We are conducting multiple ongoing studies evaluating zandelisib including TIDAL and COASTAL. Clinical evaluation is focused on ID of zandelisib as part of time-limited therapy.</w:t>
      </w:r>
    </w:p>
    <w:p>
      <w:pPr>
        <w:spacing w:after="0" w:line="49"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Additionally, we are conducting a multi-arm, open-label, Phase 1b dose escalation and expansion trial as a monotherapy and in combination with rituximab or zanubrutinib in patients with FL and other B-cell malignancies. Zanubrutinib (marketed as BRUKINSA®), is an inhibitor of Bruton’s tyrosine kinase developed by BeiGene, Ltd. (“BeiGene”). This study arm completed the safety evaluation stage in patients with B-cell malignancies and expanded into disease specific FL and mantle cell lymphoma ("MCL") cohorts. The evaluation of zandelisib in combination with zanubrutinib is conducted under a collaboration established with BeiGene in October 2018, pursuant to which the cost of the combination trial is being equally shared, and each company is supplying its own investigational agent. We retain all commercial rights to zandelisib (subject to the KKC Commercialization Agreement), and BeiGene retains all commercial rights to zanubrutinib.</w:t>
      </w:r>
    </w:p>
    <w:p>
      <w:pPr>
        <w:spacing w:after="0" w:line="6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Ongoing clinical trials also include Phase 1 and Phase 2 studies conducted by KKC evaluating zandelisib as a monotherapy in patients in Japan with indolent B-cell malignancies. The Phase 2 study is intended to support marketing authorization in Japan.</w:t>
      </w:r>
    </w:p>
    <w:p>
      <w:pPr>
        <w:spacing w:after="0" w:line="49"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In addition to other planned and ongoing clinical studies sponsored by us, such as the Phase 2 CORAL study evaluating zandelisib in combination with venetoclax plus rituximab in patients with CLL, in which we plan to dose the first patient by the end of calendar year 2022, we also are supporting select investigator-initiated studies, including one being conducted at the Cleveland Clinic evaluating zandelisib combined with standard of care in patients with newly diagnosed diffuse large B-cell lymphoma (“DLBCL”).</w:t>
      </w:r>
    </w:p>
    <w:p>
      <w:pPr>
        <w:spacing w:after="0" w:line="73"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color w:val="auto"/>
        </w:rPr>
        <w:t>All ongoing studies, as well as planned studies, utilize zandelisib’s unique ID regimen intended to optimize zandelisib’s therapeutic profile and also support its potential as a backbone for combination approaches with other modalities in the treatment of B-cell malignancies.</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Multi-Arm Trial</w:t>
      </w:r>
    </w:p>
    <w:p>
      <w:pPr>
        <w:spacing w:after="0" w:line="104"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In July 2022, results from the Phase 1b study evaluating zandelisib with continuous or ID as monotherapy or in combination with rituximab in patients with relapsed or refractory B-cell malignancy were published in The Lancet Oncology. The manuscript reports on a total of 97 patients, including 31 patients in the dose escalation stage that established 60 mg once daily as the recommended Phase 2 dose. The study evaluated zandelisib in 56 patients as a monotherapy and 41 patients in combination with rituximab. Zandelisib was administered either on a continuous schedule of 60 mg once daily (38 patients) or an ID schedule of 60 mg once daily for the initial two 28-day cycles followed by the ID schedule of 60 mg once daily on days 1-7 starting in Cycle 3 (59 patients).</w:t>
      </w:r>
    </w:p>
    <w:p>
      <w:pPr>
        <w:spacing w:after="0" w:line="7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 the initial monotherapy dose-finding part of the study, no dose-limiting toxicities were observed across the evaluated doses of 60 mg, 120 mg and 180 mg given daily continuously, and anti-tumor activity was similar across doses. With a median duration of treatment of 10.4 months and 15.2 months, in the continuous and ID group respectively, Grade 3 or worse adverse events of special interest occurred less frequently in the ID group than in the continuous dosing group. For example, Grade 3 diarrhea or colitis in 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spacing w:after="0" w:line="280" w:lineRule="auto"/>
        <w:rPr>
          <w:sz w:val="20"/>
          <w:szCs w:val="20"/>
          <w:color w:val="auto"/>
        </w:rPr>
      </w:pPr>
      <w:r>
        <w:rPr>
          <w:rFonts w:ascii="Arial" w:cs="Arial" w:eastAsia="Arial" w:hAnsi="Arial"/>
          <w:sz w:val="16"/>
          <w:szCs w:val="16"/>
          <w:i w:val="1"/>
          <w:iCs w:val="1"/>
          <w:color w:val="auto"/>
        </w:rPr>
        <w:t xml:space="preserve">vs </w:t>
      </w:r>
      <w:r>
        <w:rPr>
          <w:rFonts w:ascii="Arial" w:cs="Arial" w:eastAsia="Arial" w:hAnsi="Arial"/>
          <w:sz w:val="16"/>
          <w:szCs w:val="16"/>
          <w:color w:val="auto"/>
        </w:rPr>
        <w:t>24%, and Grade 3 lung infection or pneumonia occurred in 2%</w:t>
      </w:r>
      <w:r>
        <w:rPr>
          <w:rFonts w:ascii="Arial" w:cs="Arial" w:eastAsia="Arial" w:hAnsi="Arial"/>
          <w:sz w:val="16"/>
          <w:szCs w:val="16"/>
          <w:i w:val="1"/>
          <w:iCs w:val="1"/>
          <w:color w:val="auto"/>
        </w:rPr>
        <w:t xml:space="preserve"> vs </w:t>
      </w:r>
      <w:r>
        <w:rPr>
          <w:rFonts w:ascii="Arial" w:cs="Arial" w:eastAsia="Arial" w:hAnsi="Arial"/>
          <w:sz w:val="16"/>
          <w:szCs w:val="16"/>
          <w:color w:val="auto"/>
        </w:rPr>
        <w:t>16%, of patients in the ID group</w:t>
      </w:r>
      <w:r>
        <w:rPr>
          <w:rFonts w:ascii="Arial" w:cs="Arial" w:eastAsia="Arial" w:hAnsi="Arial"/>
          <w:sz w:val="16"/>
          <w:szCs w:val="16"/>
          <w:i w:val="1"/>
          <w:iCs w:val="1"/>
          <w:color w:val="auto"/>
        </w:rPr>
        <w:t xml:space="preserve"> vs </w:t>
      </w:r>
      <w:r>
        <w:rPr>
          <w:rFonts w:ascii="Arial" w:cs="Arial" w:eastAsia="Arial" w:hAnsi="Arial"/>
          <w:sz w:val="16"/>
          <w:szCs w:val="16"/>
          <w:color w:val="auto"/>
        </w:rPr>
        <w:t>the continuous dosing group, respectively. Grade 3</w:t>
      </w:r>
      <w:r>
        <w:rPr>
          <w:rFonts w:ascii="Arial" w:cs="Arial" w:eastAsia="Arial" w:hAnsi="Arial"/>
          <w:sz w:val="16"/>
          <w:szCs w:val="16"/>
          <w:i w:val="1"/>
          <w:iCs w:val="1"/>
          <w:color w:val="auto"/>
        </w:rPr>
        <w:t xml:space="preserve"> </w:t>
      </w:r>
      <w:r>
        <w:rPr>
          <w:rFonts w:ascii="Arial" w:cs="Arial" w:eastAsia="Arial" w:hAnsi="Arial"/>
          <w:sz w:val="16"/>
          <w:szCs w:val="16"/>
          <w:color w:val="auto"/>
        </w:rPr>
        <w:t>or worse aspartate aminotransferase ("AST") or alanine aminotransferase ("ALT") elevation and rash were uncommon (5% each in each dosing schedule). There was a continued increased risk of Grade 3 diarrhea or colitis in the continuous dosing group, compared with a decreased risk over time in the ID group after switching to the ID. At a median follow-up of 24.9 months in the continuous dosing group and 15.7 months (95% CI 6·5-33·9) in the ID group the cumulative incidence of Grade 3 or worse adverse events of special interest was 45% in the continuous dosing group and 20% in the ID group. ID showed comparable efficacy to continuous dosing. Patients with indolent B-cell malignancies (follicular lymphoma, chronic lymphocytic leukemia or small lymphocytic lymphoma, and marginal zone lymphoma) demonstrated an objective overall response rate of 87%.</w:t>
      </w:r>
    </w:p>
    <w:p>
      <w:pPr>
        <w:spacing w:after="0" w:line="50"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In June 2022, updated data from the Phase 1b clinical trial was also featured in a poster presentation at the European Hematology Association 2022. The poster included the report of data of 32 patients with FL administered zandelisib 60 mg on ID regimen from Cycle 1 plus zanubrutinib 80 mg twice daily. The overall response rate in patients treated with zandelisib plus zanubrutinib was 82.1% (23 of 28 patients). The median duration of response was not yet mature in this group of patients, with median drug exposure of 7.1 months. The safety and tolerability of zandelisib plus zanubrutinib was generally well tolerated. One patient in this group had reversible Grade 4 drug rash with eosinophilia and systemic symptoms (DRESS) syndrome. The Phase 1b study also enrolled patients with r/r MCL in an expansion cohort evaluating the combination of zandelisib 60 mg administered on days 1-7 starting Cycle 1 and zanubrutinib administered at 80 mg twice daily.</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TIDAL: A Phase 2 Trial Evaluating Zandelisib as a Single-Agent in Follicular and Marginal Zone Lymphoma Patients</w:t>
      </w:r>
    </w:p>
    <w:p>
      <w:pPr>
        <w:spacing w:after="0" w:line="212" w:lineRule="exact"/>
        <w:rPr>
          <w:sz w:val="20"/>
          <w:szCs w:val="20"/>
          <w:color w:val="auto"/>
        </w:rPr>
      </w:pPr>
    </w:p>
    <w:p>
      <w:pPr>
        <w:ind w:right="40" w:firstLine="509"/>
        <w:spacing w:after="0" w:line="278" w:lineRule="auto"/>
        <w:rPr>
          <w:sz w:val="20"/>
          <w:szCs w:val="20"/>
          <w:color w:val="auto"/>
        </w:rPr>
      </w:pPr>
      <w:r>
        <w:rPr>
          <w:rFonts w:ascii="Arial" w:cs="Arial" w:eastAsia="Arial" w:hAnsi="Arial"/>
          <w:sz w:val="16"/>
          <w:szCs w:val="16"/>
          <w:color w:val="auto"/>
        </w:rPr>
        <w:t>TIDAL is an ongoing global Phase 2 trial evaluating the intermittent administration of zandelisib as a monotherapy across two study cohorts: the first study cohort for the treatment of adults with r/r FL and the second study cohort for r/r MZL, in both cases after failure of at least two prior systemic therapies including chemotherapy and an anti-CD20 antibody. The study is evaluating zandelisib administered once daily at 60 mg for two 28-day cycles and then on the ID regimen of once daily dosing for the first seven days of each subsequent 28-day cycle. The primary efficacy endpoint is the rate of objective responses to therapy, and other endpoints include duration of response and tolerability of zandelisib. The primary efficacy population ("PEP") sample size for r/r FL is 91 patients. Total study enrollment in the FL cohort is 121 patients administered zandelisib on the ID regimen after two cycles (56 days) of daily dosing, and also 16 FL patients administered zandelisib once daily continuously, to provide additional safety data. Enrollment of the FL cohort of the TIDAL study is complete. To support and focus enrollment on the Phase 3 COASTAL study, we have closed enrollment of the MZL cohort in the TIDAL study and will follow enrolled MZL patients to assess safety and tolerability as well as response and durability of response.</w:t>
      </w:r>
    </w:p>
    <w:p>
      <w:pPr>
        <w:spacing w:after="0" w:line="161"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In November 2021, we first reported data from the TIDAL study, which data was also reported at the American Society of Clinical Oncology Annual Meeting 2022 and the European Hematology Association 2022 Hybrid Congress. The primary endpoint of overall response rates ("ORR") of zandelisib as a single agent in the PEP was 70.3% (64 patients) as assessed by Independent Review Committee; the complete response rate was 35.2% (32 patients). Responses across sub-groups (i.e. response to last treatment, number of prior therapies and POD24) were all greater than 63%. Responses were first observed in the first two cycles of therapy in 87.5% of all responses (56 patients) and 75% of all CRs (24 patients) were observed in the first four cycles. As of the data cutoff date, the data are not sufficiently mature to accurately estimate the final duration of response in the PEP.</w:t>
      </w:r>
    </w:p>
    <w:p>
      <w:pPr>
        <w:spacing w:after="0" w:line="156"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With a median follow-up of 9.4 months (range 0.8 to 24 months) in the safety population of 121 patients, 9.9% (12 patients) of patients had discontinued therapy due to any drug-related adverse event. Grade 3 adverse events of special interest ("AESI") were diarrhea in 5% (6 patients), colitis in 1.7% (2 patients), cutaneous rash in 3.3% (4 patients), stomatitis in 2.5% (3 patients), and 0.8% (1 patient) each for AST and ALT elevation, and non-infectious pneumonitis. Grade 3 AESIs primarily (83%, 15 of 18 patients) occurred in Cycles 1-3, with only 3 cases reported on ID in Cycles 4 or more. No Grade 4 or Grade 5 AESI were recorded. Treatment-emergent COVID-19 infections were reported in 8.3% of patients (10), and 8.3% of patients (10) reported other Grade 3 infections. Four COVID infections were fatal, as were one case each of pneumonia and Tumor Lysis Syndrome.</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plan to report new data from the FL cohort in the Phase 2 TIDAL study by the end of calendar year 2022.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COASTAL: A Phase 3 Trial Intended to Support Full FDA and Global Marketing Authorizations</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COASTAL is a global, randomized, two-arm Phase 3 trial comparing the intermittent and time-limited administration of zandelisib plus rituximab to standard of care chemotherapy plus rituximab, in patients with r/r FL or MZL who received at least one prior line of therapy, which must have included an anti-CD20 antibody in combination with chemotherapy or lenalidomide. COASTAL is expected to enroll 534 patients. Zandelisib will be administered once daily for two 28-day cycles followed by an intermittent schedule of once daily dosing for seven days of each subsequent 28-day cycle for a total of 24 months, in combination with rituximab ("R") in the first six months only. The control arm will consist of six cycles of the standard chemoimmunotherapy regimens R-CHOP or R-bendamustine. The primary efficacy endpoint is progression-free survival; secondary endpoints include overall response rate, overall survival, patient reported outcomes assessments, and safety and tolerability.</w:t>
      </w:r>
    </w:p>
    <w:p>
      <w:pPr>
        <w:spacing w:after="0" w:line="64"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COASTAL is intended to support marketing applications in the U.S. and globally in r/r FL and MZL patients who have received at least one prior line of treatment.</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Current Events on the TIDAL and COASTAL Studies</w:t>
      </w:r>
    </w:p>
    <w:p>
      <w:pPr>
        <w:spacing w:after="0" w:line="104"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The extent to which the ongoing COVID-19 pandemic will further impact the progress of the zandelisib development program, including the enrollment and completion of the COASTAL and TIDAL studies, is subject to future developments, which are highly uncertain and cannot be anticipated with confidence. Currently, we believe that the integrity of the program and individual studies remains intact; however, the pandemic did have a negative impact on the rate of enrollment in the TIDAL study. Enrollment in the FL cohort of the TIDAL study was completed in August 2021, and data was reported in November 2021; enrollment in the MZL cohort was discontinued in August 2022. The COASTAL study was initiated in 2021, with the first patient enrolled in July 2021. The COVID-19 pandemic and the military conflict between Russia and Ukraine have had a negative impact on the enrollment of the COASTAL study. We will continue to closely monitor for ongoing negative impacts on the development program related to these current events, as well as other factors which may be having a negative impact on the zandelisib development program, such as the FDA's communications regarding the risk benefit analysis of approved PI3Kδ inhibitors to treat indolent lymphomas. We will continue efforts to be proactive in managing the impact from the pandemic, the ongoing military conflict between Russia and Ukraine, and other potential factors, such as various actions to communicate with sites and investigators, and making accommodations to patients consistent with FDA guidance and guidance from other regulatory authorities, as we may deem appropriate.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Supply Chain Issues on COASTAL and CORAL Clinical Studies</w:t>
      </w:r>
    </w:p>
    <w:p>
      <w:pPr>
        <w:spacing w:after="0" w:line="10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are currently experiencing what we believe to be a temporary supply chain issue affecting the availability of properly labeled zandelisib blister packs for use in the COASTAL and CORAL clinical studies. The issue relates to a change in the zandelisib packaging material intended to facilitate greater ease of opening without damaging capsules. The zandelisib drug supply using the current packaging material is exhibiting an estimated 42 month shelf life, 13 months shorter than the previous 55 month estimate. We believe there is no safety issue for patients nor a diminution of potency for zandelisib drug product. Patients currently on study continue to receive drug. However, we must pause enrollment of new patients until regulatory review of the new specification is complete and newly labelled blister packs are supplied to depots. We believe that this pause will extend enrollment completion in COASTAL by approximately three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Voruciclib: Potent Orally Administered CDK9 Inhibitor in Phase 1 Studies</w:t>
      </w:r>
    </w:p>
    <w:p>
      <w:pPr>
        <w:spacing w:after="0" w:line="117"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Voruciclib is a potent orally administered CDK9 inhibitor. Voruciclib is being evaluated in a Phase 1 trial evaluating dose and schedule in patients with acute myeloid leukemia (“AML”) and B-cell malignancies. Voruciclib is also being evaluated in pre-clinical studies to explore the potential synergistic activity in various solid tumor cancers of voruciclib in combination with drug-candidates that targets in the RAS signaling pathway, including KRAS.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Voruciclib Scientific Overview: Cell Cycle Signaling</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CDK9 has important functions in cell cycle regulation, including the modulation of two therapeutic targets in cancer:</w:t>
      </w:r>
    </w:p>
    <w:p>
      <w:pPr>
        <w:spacing w:after="0" w:line="104" w:lineRule="exact"/>
        <w:rPr>
          <w:sz w:val="20"/>
          <w:szCs w:val="20"/>
          <w:color w:val="auto"/>
        </w:rPr>
      </w:pPr>
    </w:p>
    <w:p>
      <w:pPr>
        <w:jc w:val="both"/>
        <w:ind w:left="1020" w:right="120" w:hanging="503"/>
        <w:spacing w:after="0" w:line="243"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ind w:left="1020" w:right="320" w:hanging="503"/>
        <w:spacing w:after="0" w:line="24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 Targeting MYC directly has historically been difficult, but CDK9 is a promising approach to target this oncogene.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MCL1</w:t>
      </w:r>
    </w:p>
    <w:p>
      <w:pPr>
        <w:spacing w:after="0" w:line="104" w:lineRule="exact"/>
        <w:rPr>
          <w:sz w:val="20"/>
          <w:szCs w:val="20"/>
          <w:color w:val="auto"/>
        </w:rPr>
      </w:pPr>
    </w:p>
    <w:p>
      <w:pPr>
        <w:ind w:right="180" w:firstLine="509"/>
        <w:spacing w:after="0" w:line="303" w:lineRule="auto"/>
        <w:rPr>
          <w:sz w:val="20"/>
          <w:szCs w:val="20"/>
          <w:color w:val="auto"/>
        </w:rPr>
      </w:pPr>
      <w:r>
        <w:rPr>
          <w:rFonts w:ascii="Arial" w:cs="Arial" w:eastAsia="Arial" w:hAnsi="Arial"/>
          <w:sz w:val="16"/>
          <w:szCs w:val="16"/>
          <w:color w:val="auto"/>
        </w:rPr>
        <w:t xml:space="preserve">In pre-clinical studies voruciclib shows dose-dependent suppression of MCL1; in December 2017, a study of voruciclib published in the journal </w:t>
      </w:r>
      <w:r>
        <w:rPr>
          <w:rFonts w:ascii="Arial" w:cs="Arial" w:eastAsia="Arial" w:hAnsi="Arial"/>
          <w:sz w:val="16"/>
          <w:szCs w:val="16"/>
          <w:i w:val="1"/>
          <w:iCs w:val="1"/>
          <w:color w:val="auto"/>
        </w:rPr>
        <w:t xml:space="preserve">Nature Scientific Reports </w:t>
      </w:r>
      <w:r>
        <w:rPr>
          <w:rFonts w:ascii="Arial" w:cs="Arial" w:eastAsia="Arial" w:hAnsi="Arial"/>
          <w:sz w:val="16"/>
          <w:szCs w:val="16"/>
          <w:color w:val="auto"/>
        </w:rPr>
        <w:t>reported that the combination of voruciclib plus the BCL-2 inhibitor venetoclax was capable of inhibiting two master regulators</w:t>
      </w:r>
      <w:r>
        <w:rPr>
          <w:rFonts w:ascii="Arial" w:cs="Arial" w:eastAsia="Arial" w:hAnsi="Arial"/>
          <w:sz w:val="16"/>
          <w:szCs w:val="16"/>
          <w:i w:val="1"/>
          <w:iCs w:val="1"/>
          <w:color w:val="auto"/>
        </w:rPr>
        <w:t xml:space="preserve"> </w:t>
      </w:r>
      <w:r>
        <w:rPr>
          <w:rFonts w:ascii="Arial" w:cs="Arial" w:eastAsia="Arial" w:hAnsi="Arial"/>
          <w:sz w:val="16"/>
          <w:szCs w:val="16"/>
          <w:color w:val="auto"/>
        </w:rPr>
        <w:t>of cell survival, MCL-1 and BCL-2, and achieved synergistic antitumor effect in an aggressive subset of DLBCL pre-clinical models.</w:t>
      </w:r>
    </w:p>
    <w:p>
      <w:pPr>
        <w:spacing w:after="0" w:line="32"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In a peer reviewed manuscript published in 2020 by Luedtke et al, it was reported that the inhibition of CDK9 by voruciclib synergistically enhances cell death induced by the Bcl-2 selective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also downregulates MYC, which also contributes to the synergies with venetoclax.</w:t>
      </w:r>
    </w:p>
    <w:p>
      <w:pPr>
        <w:spacing w:after="0" w:line="9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research presented suggests that voruciclib is an attractive therapeutic target for treating cancers in combination with venetoclax or other BCL-2 inhibitors and is supportive of our ongoing clinical evaluation of voruciclib in B-cell malignancies and AML.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MYC</w:t>
      </w:r>
    </w:p>
    <w:p>
      <w:pPr>
        <w:spacing w:after="0" w:line="117" w:lineRule="exact"/>
        <w:rPr>
          <w:sz w:val="20"/>
          <w:szCs w:val="20"/>
          <w:color w:val="auto"/>
        </w:rPr>
      </w:pPr>
    </w:p>
    <w:p>
      <w:pPr>
        <w:jc w:val="both"/>
        <w:ind w:right="660" w:firstLine="509"/>
        <w:spacing w:after="0" w:line="248" w:lineRule="auto"/>
        <w:rPr>
          <w:sz w:val="20"/>
          <w:szCs w:val="20"/>
          <w:color w:val="auto"/>
        </w:rPr>
      </w:pPr>
      <w:r>
        <w:rPr>
          <w:rFonts w:ascii="Arial" w:cs="Arial" w:eastAsia="Arial" w:hAnsi="Arial"/>
          <w:sz w:val="18"/>
          <w:szCs w:val="18"/>
          <w:color w:val="auto"/>
        </w:rPr>
        <w:t>Many cancers are associated with overexpression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demonstrates that voruciclib:</w:t>
      </w:r>
    </w:p>
    <w:p>
      <w:pPr>
        <w:spacing w:after="0" w:line="74"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in a rapid decrease in the phosphorylation of proteins that promote MYC transcription;</w:t>
      </w:r>
    </w:p>
    <w:p>
      <w:pPr>
        <w:spacing w:after="0" w:line="23"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Rapidly decreases phosphorylation of MYC protein on Ser62, a site implicated in stabilizing MYC in KRAS mutant cancers;</w:t>
      </w:r>
    </w:p>
    <w:p>
      <w:pPr>
        <w:ind w:left="1020" w:hanging="503"/>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Possesses single agent activity against multiple KRAS mutant cancer cell lines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w:t>
      </w: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Synergistically inhibits KRAS G12C mutant cancer cell lines in combination with KRAS G12C inhibitors,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p>
    <w:p>
      <w:pPr>
        <w:spacing w:after="0" w:line="10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research presented suggests that voruciclib could be an attractive therapeutic agent for cancers, including solid tumors, dependent on the activity of MYC.</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We are evaluating patients with hematological malignancies in a Phase 1 clinical trial evaluating the dose and schedule of voruciclib. The trial started with the evaluation of dose and schedule of voruciclib as a monotherapy in patients with relapsed and refractory B-cell malignancies and AML after failure of prior standard therapies to determine the safety, preliminary efficacy and maximum tolerated dose. We are now also starting to evaluate the dose and schedule of voruciclib in combination with venetoclax, a BCL2 inhibitor, to assess synergies and the opportunity for combination treatments, initially in patients with AML and subsequently across multiple indications.</w:t>
      </w:r>
    </w:p>
    <w:p>
      <w:pPr>
        <w:spacing w:after="0" w:line="78"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As reported at the American Society of Hematology 2021 annual meeting in a poster presentation, data to date from the Phase 1 study evaluating voruciclib as a monotherapy on an optimized schedule of 14 consecutive days in a 28-day cycle was well tolerated. No dose limiting toxicities were observed and no significant myelosuppression was seen in patients with B-cell malignancies, suggesting a lower likelihood of additive toxicities in combination with venetoclax. Disease stabilization was observed in heavily pretreated patients and differentiation syndrome was observed in AML patients, which is indicative of biologic activity. We expect to initiate a Phase 1 study to evaluate voruciclib in combination with venetoclax in patients with AML by the end of calendar year 2022.</w:t>
      </w:r>
    </w:p>
    <w:p>
      <w:pPr>
        <w:spacing w:after="0" w:line="77"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 on the Voruciclib Clinical Development Program</w:t>
      </w:r>
    </w:p>
    <w:p>
      <w:pPr>
        <w:spacing w:after="0" w:line="104"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While the extent to which the ongoing COVID-19 pandemic will further impact the progress of the voruciclib clinical development program, including the ongoing Phase 1 study, is subject to future developments which are highly uncertain and cannot be predicted with confidence, the Phase 1 study remains ongoing and is continuing to enroll patients; however, the rate of enrollment of patients has been negatively impacted by the pandemic. We will continue efforts to be proactive in managing the impact from the pandemic, including various actions to communicate with sites and investigators, and making accommodations to patients consistent with FDA guidance as we may deem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ME-344: Clinical Stage Mitochondrial Inhibitor with Combinatorial Potential</w:t>
      </w:r>
    </w:p>
    <w:p>
      <w:pPr>
        <w:spacing w:after="0" w:line="104" w:lineRule="exact"/>
        <w:rPr>
          <w:sz w:val="20"/>
          <w:szCs w:val="20"/>
          <w:color w:val="auto"/>
        </w:rPr>
      </w:pPr>
    </w:p>
    <w:p>
      <w:pPr>
        <w:ind w:right="160" w:firstLine="509"/>
        <w:spacing w:after="0" w:line="282" w:lineRule="auto"/>
        <w:rPr>
          <w:sz w:val="20"/>
          <w:szCs w:val="20"/>
          <w:color w:val="auto"/>
        </w:rPr>
      </w:pPr>
      <w:r>
        <w:rPr>
          <w:rFonts w:ascii="Arial" w:cs="Arial" w:eastAsia="Arial" w:hAnsi="Arial"/>
          <w:sz w:val="16"/>
          <w:szCs w:val="16"/>
          <w:color w:val="auto"/>
        </w:rPr>
        <w:t>ME-344 is our novel and tumor selective, isoflavone-derived mitochondrial inhibitor drug candidate. It targets the OXPHOS pathway involved in adenosine triphosphate ("ATP") production in the mitochondria. ME-344 was studied in an investigator-initiated, multi-center, randomized clinical trial in</w:t>
      </w:r>
    </w:p>
    <w:p>
      <w:pPr>
        <w:ind w:right="200"/>
        <w:spacing w:after="0" w:line="214" w:lineRule="auto"/>
        <w:rPr>
          <w:sz w:val="20"/>
          <w:szCs w:val="20"/>
          <w:color w:val="auto"/>
        </w:rPr>
      </w:pPr>
      <w:r>
        <w:rPr>
          <w:rFonts w:ascii="Arial" w:cs="Arial" w:eastAsia="Arial" w:hAnsi="Arial"/>
          <w:sz w:val="18"/>
          <w:szCs w:val="18"/>
          <w:color w:val="auto"/>
        </w:rPr>
        <w:t>combination with the vascular endothelial growth factor (“VEGF”) inhibitor bevacizumab (marketed as Avastin</w:t>
      </w:r>
      <w:r>
        <w:rPr>
          <w:rFonts w:ascii="Arial" w:cs="Arial" w:eastAsia="Arial" w:hAnsi="Arial"/>
          <w:sz w:val="24"/>
          <w:szCs w:val="24"/>
          <w:color w:val="auto"/>
          <w:vertAlign w:val="superscript"/>
        </w:rPr>
        <w:t>®</w:t>
      </w:r>
      <w:r>
        <w:rPr>
          <w:rFonts w:ascii="Arial" w:cs="Arial" w:eastAsia="Arial" w:hAnsi="Arial"/>
          <w:sz w:val="18"/>
          <w:szCs w:val="18"/>
          <w:color w:val="auto"/>
        </w:rPr>
        <w:t>) that enrolled a total of 42 patients with human epidermal growth factor receptor 2 (“HER2”) negative breast cancer.</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ME-344 Scientific Overview: Cancer Metabolism</w:t>
      </w:r>
    </w:p>
    <w:p>
      <w:pPr>
        <w:spacing w:after="0" w:line="117" w:lineRule="exact"/>
        <w:rPr>
          <w:sz w:val="20"/>
          <w:szCs w:val="20"/>
          <w:color w:val="auto"/>
        </w:rPr>
      </w:pPr>
    </w:p>
    <w:p>
      <w:pPr>
        <w:jc w:val="both"/>
        <w:ind w:right="460" w:firstLine="509"/>
        <w:spacing w:after="0" w:line="294" w:lineRule="auto"/>
        <w:rPr>
          <w:sz w:val="20"/>
          <w:szCs w:val="20"/>
          <w:color w:val="auto"/>
        </w:rPr>
      </w:pPr>
      <w:r>
        <w:rPr>
          <w:rFonts w:ascii="Arial" w:cs="Arial" w:eastAsia="Arial" w:hAnsi="Arial"/>
          <w:sz w:val="16"/>
          <w:szCs w:val="16"/>
          <w:color w:val="auto"/>
        </w:rPr>
        <w:t>Tumor cells often display a high metabolic rate to support cell division and growth. This heightened metabolism requires a continual supply of energy in the form of ATP. The two major sources of ATP are the specialized cellular organelles termed mitochondria and through the metabolism of carbohydrates via the glycolysis pathway, which is frequently upregulated in cancer cells in a phenomenon called the Warburg Effect.</w:t>
      </w:r>
    </w:p>
    <w:p>
      <w:pPr>
        <w:spacing w:after="0" w:line="39"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0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7"/>
          <w:szCs w:val="17"/>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65"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 xml:space="preserve">Support for this combinatorial use of ME-344 was first published in the June 2016 edition of </w:t>
      </w:r>
      <w:r>
        <w:rPr>
          <w:rFonts w:ascii="Arial" w:cs="Arial" w:eastAsia="Arial" w:hAnsi="Arial"/>
          <w:sz w:val="17"/>
          <w:szCs w:val="17"/>
          <w:i w:val="1"/>
          <w:iCs w:val="1"/>
          <w:color w:val="auto"/>
        </w:rPr>
        <w:t>Cell Reports</w:t>
      </w:r>
      <w:r>
        <w:rPr>
          <w:rFonts w:ascii="Arial" w:cs="Arial" w:eastAsia="Arial" w:hAnsi="Arial"/>
          <w:sz w:val="17"/>
          <w:szCs w:val="17"/>
          <w:color w:val="auto"/>
        </w:rPr>
        <w:t>;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63" w:lineRule="exact"/>
        <w:rPr>
          <w:sz w:val="20"/>
          <w:szCs w:val="20"/>
          <w:color w:val="auto"/>
        </w:rPr>
      </w:pPr>
    </w:p>
    <w:p>
      <w:pPr>
        <w:ind w:right="480" w:firstLine="509"/>
        <w:spacing w:after="0" w:line="256" w:lineRule="auto"/>
        <w:rPr>
          <w:sz w:val="20"/>
          <w:szCs w:val="20"/>
          <w:color w:val="auto"/>
        </w:rPr>
      </w:pPr>
      <w:r>
        <w:rPr>
          <w:rFonts w:ascii="Arial" w:cs="Arial" w:eastAsia="Arial" w:hAnsi="Arial"/>
          <w:sz w:val="18"/>
          <w:szCs w:val="18"/>
          <w:color w:val="auto"/>
        </w:rPr>
        <w:t xml:space="preserve">Results published in the November 2019 issue of </w:t>
      </w:r>
      <w:r>
        <w:rPr>
          <w:rFonts w:ascii="Arial" w:cs="Arial" w:eastAsia="Arial" w:hAnsi="Arial"/>
          <w:sz w:val="18"/>
          <w:szCs w:val="18"/>
          <w:i w:val="1"/>
          <w:iCs w:val="1"/>
          <w:color w:val="auto"/>
        </w:rPr>
        <w:t>Clinical Cancer Research</w:t>
      </w:r>
      <w:r>
        <w:rPr>
          <w:rFonts w:ascii="Arial" w:cs="Arial" w:eastAsia="Arial" w:hAnsi="Arial"/>
          <w:sz w:val="18"/>
          <w:szCs w:val="18"/>
          <w:color w:val="auto"/>
        </w:rPr>
        <w:t xml:space="preserve"> from a multicenter, investigator-initiated, randomized, open-label, clinical trial that evaluated the combination of ME-344 and bevacizumab in 42 women with early HER2-negative breast cancer further support the combinatorial use of ME-344 with anti-angiogenic therapeutics.</w:t>
      </w:r>
    </w:p>
    <w:p>
      <w:pPr>
        <w:spacing w:after="0" w:line="67" w:lineRule="exact"/>
        <w:rPr>
          <w:sz w:val="20"/>
          <w:szCs w:val="20"/>
          <w:color w:val="auto"/>
        </w:rPr>
      </w:pPr>
    </w:p>
    <w:p>
      <w:pPr>
        <w:ind w:right="280" w:firstLine="509"/>
        <w:spacing w:after="0" w:line="249" w:lineRule="auto"/>
        <w:rPr>
          <w:sz w:val="20"/>
          <w:szCs w:val="20"/>
          <w:color w:val="auto"/>
        </w:rPr>
      </w:pPr>
      <w:r>
        <w:rPr>
          <w:rFonts w:ascii="Arial" w:cs="Arial" w:eastAsia="Arial" w:hAnsi="Arial"/>
          <w:sz w:val="18"/>
          <w:szCs w:val="18"/>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spacing w:after="0" w:line="86" w:lineRule="exact"/>
        <w:rPr>
          <w:sz w:val="20"/>
          <w:szCs w:val="20"/>
          <w:color w:val="auto"/>
        </w:rPr>
      </w:pPr>
    </w:p>
    <w:p>
      <w:pPr>
        <w:ind w:left="1020" w:right="100" w:hanging="503"/>
        <w:spacing w:after="0" w:line="24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ME-344 treated patients, mean absolute Ki67 decreases were 13.3 compared to an increase of 1.1 in the bevacizumab monotherapy group (P=0.01).</w:t>
      </w:r>
    </w:p>
    <w:p>
      <w:pPr>
        <w:ind w:left="1020" w:right="420" w:hanging="503"/>
        <w:spacing w:after="0" w:line="25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ME-344 treated patients, mean relative Ki67 decreases were 23% compared to an increase of 186% in the bevacizumab monotherapy group (P &lt; 0.01).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6" w:lineRule="exact"/>
        <w:rPr>
          <w:sz w:val="20"/>
          <w:szCs w:val="20"/>
          <w:color w:val="auto"/>
        </w:rPr>
      </w:pPr>
    </w:p>
    <w:p>
      <w:pPr>
        <w:jc w:val="both"/>
        <w:ind w:left="1020" w:right="12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87"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Treatment was generally well tolerated; three grade 3 adverse events of high blood pressure were reported, two in the ME-344 arm and one in the bevacizumab monotherapy arm.</w:t>
      </w:r>
    </w:p>
    <w:p>
      <w:pPr>
        <w:spacing w:after="0" w:line="63"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 xml:space="preserve">Results from our earlier, first-in-human, single-agent Phase 1 clinical trial of ME-344 in patients with refractory solid tumors were published in the April 1, 2015 edition of </w:t>
      </w:r>
      <w:r>
        <w:rPr>
          <w:rFonts w:ascii="Arial" w:cs="Arial" w:eastAsia="Arial" w:hAnsi="Arial"/>
          <w:sz w:val="17"/>
          <w:szCs w:val="17"/>
          <w:i w:val="1"/>
          <w:iCs w:val="1"/>
          <w:color w:val="auto"/>
        </w:rPr>
        <w:t>Cancer</w:t>
      </w:r>
      <w:r>
        <w:rPr>
          <w:rFonts w:ascii="Arial" w:cs="Arial" w:eastAsia="Arial" w:hAnsi="Arial"/>
          <w:sz w:val="17"/>
          <w:szCs w:val="17"/>
          <w:color w:val="auto"/>
        </w:rPr>
        <w:t>.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 We are planning to advance ME-344 in combination with the anti-angiogenic antibody bevacizumab in a Phase 1b study evaluating patients with relapsed colorectal cancer in the first half of calendar year 2023.</w:t>
      </w:r>
    </w:p>
    <w:p>
      <w:pPr>
        <w:spacing w:after="0" w:line="68"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Additionally, ME-344 may also have clinical potential against hematological malignancies. At the AACR Annual Meeting 2022, a poster 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concludes that ME-344 enhances venetoclax activity against AML cells including resistant AML.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2022 and 2021</w:t>
      </w:r>
    </w:p>
    <w:p>
      <w:pPr>
        <w:spacing w:after="0" w:line="22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recognized revenue of $8.7 million for the three months ended September 30, 2022 compared to $7.8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2021. Revenue increased as a result of higher progress towards completion of our performance obligations under our KKC Commercialization Agreement, offset by decreased reimbursement of expenses from KKC due to research and development activity related to zandelisib.</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r>
      <w:tr>
        <w:trPr>
          <w:trHeight w:val="185"/>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0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Zandelisib</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12,392</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Voruciclib</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ME-344</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80" w:type="dxa"/>
            <w:vAlign w:val="bottom"/>
          </w:tcPr>
          <w:p>
            <w:pPr>
              <w:spacing w:after="0"/>
              <w:rPr>
                <w:sz w:val="18"/>
                <w:szCs w:val="18"/>
                <w:color w:val="auto"/>
              </w:rPr>
            </w:pPr>
          </w:p>
        </w:tc>
      </w:tr>
      <w:tr>
        <w:trPr>
          <w:trHeight w:val="250"/>
        </w:trPr>
        <w:tc>
          <w:tcPr>
            <w:tcW w:w="5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19,463</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decreased primarily as a result of lower costs related to the TIDAL study due to enrollment completing prior to the three months ended September 30, 2022. Costs related to voruciclib decreased for the three months ended September 30, 2022 compared with the three months ended September 30, 2021, due to lower costs related to the Phase 1 study. Costs related to ME-344 increased for the three months ended September 30, 2022 compared with the three months ended September 30, 2021, due to increased drug manufacturing costs. The increase in other research and development costs is primarily due to higher personnel costs.</w:t>
      </w:r>
    </w:p>
    <w:p>
      <w:pPr>
        <w:spacing w:after="0" w:line="17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expenses decreased by $0.4 million to $7.5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compared to $7.9 million for the three months ended September 30, 2021. The decrease is primarily due to</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decreased share-based compensation ($1.0 million) and external professional services and legal costs ($0.4 million), partially offset by increased personnel costs ($0.4 million), and corporate overhead costs ($0.6 million).</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We recorded a non-cash gain of $1.1 million during the three months ended September 30, 2022 due to a change in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our warrant liability. The change in the warrant liability is primarily due to changes in our stock price. Additionally, we received interest and dividend income of $0.5 million for the three months ended September 30, 2022 compared to $8,000 for the three months ended September 30, 2021. The increase is primarily due to higher yields during the three months ended September 30, 2022 compared to the three months ended September 30,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have accumulated losses of $390.8 million since inception and expect to incur operating losses and generate negative cash flows from operations for the foreseeable future. As of September 30, 2022, we had $138.4 million in cash and cash equivalents, and short-term investments. We believe that these resources will be sufficient to fund our operations for at least 12 months from the issuance of this Quarterly Report.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67"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Sources and Uses of Our Cash</w:t>
      </w:r>
    </w:p>
    <w:p>
      <w:pPr>
        <w:spacing w:after="0" w:line="104"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Net cash used in operating activities for the three months ended September 30, 2022 was $14.8 million as compared to net cash used in operating activities of $7.7 million for the three months ended September 30, 2021. The increase in net cash used in operating activities period over period reflects the receipt of a $10.0 million milestone in September 2021 related to the KKC Commercialization Agreement, with no corresponding receipt for the three months ended September 30, 2022, as well as other changes in working capital.</w:t>
      </w:r>
    </w:p>
    <w:p>
      <w:pPr>
        <w:spacing w:after="0" w:line="73" w:lineRule="exact"/>
        <w:rPr>
          <w:sz w:val="20"/>
          <w:szCs w:val="20"/>
          <w:color w:val="auto"/>
        </w:rPr>
      </w:pPr>
    </w:p>
    <w:p>
      <w:pPr>
        <w:jc w:val="both"/>
        <w:ind w:right="120" w:firstLine="509"/>
        <w:spacing w:after="0" w:line="256" w:lineRule="auto"/>
        <w:rPr>
          <w:sz w:val="20"/>
          <w:szCs w:val="20"/>
          <w:color w:val="auto"/>
        </w:rPr>
      </w:pPr>
      <w:r>
        <w:rPr>
          <w:rFonts w:ascii="Arial" w:cs="Arial" w:eastAsia="Arial" w:hAnsi="Arial"/>
          <w:sz w:val="18"/>
          <w:szCs w:val="18"/>
          <w:color w:val="auto"/>
        </w:rPr>
        <w:t>Net cash provided by investing activities for the three months ended September 30, 2022 was $13.7 million as compared to $15.0 million provided by investing activities for the three months ended September 30, 2021. The change was primarily due to decreased proceeds from maturities of short-term investments in 2022, net of purchases.</w:t>
      </w:r>
    </w:p>
    <w:p>
      <w:pPr>
        <w:spacing w:after="0" w:line="67" w:lineRule="exact"/>
        <w:rPr>
          <w:sz w:val="20"/>
          <w:szCs w:val="20"/>
          <w:color w:val="auto"/>
        </w:rPr>
      </w:pPr>
    </w:p>
    <w:p>
      <w:pPr>
        <w:jc w:val="both"/>
        <w:ind w:right="100" w:firstLine="509"/>
        <w:spacing w:after="0" w:line="256" w:lineRule="auto"/>
        <w:rPr>
          <w:sz w:val="20"/>
          <w:szCs w:val="20"/>
          <w:color w:val="auto"/>
        </w:rPr>
      </w:pPr>
      <w:r>
        <w:rPr>
          <w:rFonts w:ascii="Arial" w:cs="Arial" w:eastAsia="Arial" w:hAnsi="Arial"/>
          <w:sz w:val="18"/>
          <w:szCs w:val="18"/>
          <w:color w:val="auto"/>
        </w:rPr>
        <w:t>Net cash used in financing activities during the three months ended September 30, 2022 was $40,000 compared with $0.2 million used in financing activities during the three months ended September 30, 2021 due to the payment of RSU tax withholdings in exchange for common shares surrendered by RSU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pacing w:after="0" w:line="7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 xml:space="preserve">We lease office space in San Diego, California under non-cancelable operating leases. The leases are subject to additional variable non-lease component charges (e.g., common area maintenance, maintenance, etc.). See Note 8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of the unaudited condensed financial statements for additional details related to our lease obligations.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04"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September 30, 2022, we had not accrued any amounts for potential future payments.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04" w:lineRule="exact"/>
        <w:rPr>
          <w:sz w:val="20"/>
          <w:szCs w:val="20"/>
          <w:color w:val="auto"/>
        </w:rPr>
      </w:pPr>
    </w:p>
    <w:p>
      <w:pPr>
        <w:ind w:right="300" w:firstLine="509"/>
        <w:spacing w:after="0" w:line="256" w:lineRule="auto"/>
        <w:rPr>
          <w:sz w:val="20"/>
          <w:szCs w:val="20"/>
          <w:color w:val="auto"/>
        </w:rPr>
      </w:pPr>
      <w:r>
        <w:rPr>
          <w:rFonts w:ascii="Arial" w:cs="Arial" w:eastAsia="Arial" w:hAnsi="Arial"/>
          <w:sz w:val="18"/>
          <w:szCs w:val="18"/>
          <w:color w:val="auto"/>
        </w:rPr>
        <w:t>As a result of the ongoing COVID-19 pandemic, various public health orders and guidance measures have been implemented across much of the U.S., and across the globe, including in the locations of our office, clinical trial sites, key vendors and partners. Despite the relaxation of many governmental orders earlier this year, COVID-19 still impacts the normal conduct of business.</w:t>
      </w:r>
    </w:p>
    <w:p>
      <w:pPr>
        <w:spacing w:after="0" w:line="6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While we continue to enroll and dose patients in our clinical trials, our clinical development program timelines may continue to be subject to potential negative impacts from the ongoing pandemic in the U.S. and globally. The extent to which the ongoing pandemic continues to impact our business, including our preclinical studies, CMC studies, manufacturing, and clinical trials, will depend on future developments, which are highly uncertain and cannot be predicted with confidence.</w:t>
      </w:r>
    </w:p>
    <w:p>
      <w:pPr>
        <w:spacing w:after="0" w:line="7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(“IRBs”), and the FDA. The foregoing may also impact the integrity of our study data. The ongoing COVID-19 pandemic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92"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The ongoing COVID-19 pandemic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87"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In light of the ongoing COVID-19 pandemic, the FDA issued a number of new guidance documents. Specifically, as a result of the potential effect of the ongoing COVID-19 pandemic on many clinical trial programs in the U.S. and globally, the FDA issued guidance concerning potential impacts on clinical trial programs, which guidance FDA has continually updated. In addition, the European Medicines Agency (“EMA”) as well as various country regulatory authorities (EU and UK) have issued similar guidance. We have adapted the FDA and EMA/UK guidance for study procedures, data collection, and oversight resulting from the ongoing COVID-19 pandemic.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2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We describe our significant accounting policies in </w:t>
      </w:r>
      <w:r>
        <w:rPr>
          <w:rFonts w:ascii="Arial" w:cs="Arial" w:eastAsia="Arial" w:hAnsi="Arial"/>
          <w:sz w:val="18"/>
          <w:szCs w:val="18"/>
          <w:i w:val="1"/>
          <w:iCs w:val="1"/>
          <w:color w:val="auto"/>
        </w:rPr>
        <w:t>Note 1. The Company and Summary of Significant Accounting Policies</w:t>
      </w:r>
      <w:r>
        <w:rPr>
          <w:rFonts w:ascii="Arial" w:cs="Arial" w:eastAsia="Arial" w:hAnsi="Arial"/>
          <w:sz w:val="18"/>
          <w:szCs w:val="18"/>
          <w:color w:val="auto"/>
        </w:rPr>
        <w:t xml:space="preserve">, of the notes to the financial statements included in our 2022 Annual Report. We discuss our critical accounting estimates in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in our 2022 Annual Report. There have been no changes in our significant accounting policies or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estimates since June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1. The Company and Summary of Significant Accounting Policies</w:t>
      </w:r>
      <w:r>
        <w:rPr>
          <w:rFonts w:ascii="Arial" w:cs="Arial" w:eastAsia="Arial" w:hAnsi="Arial"/>
          <w:sz w:val="16"/>
          <w:szCs w:val="16"/>
          <w:color w:val="auto"/>
        </w:rPr>
        <w:t xml:space="preserve"> in the Notes to Condensed Financial Statements in this Quarterly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67"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by positioning our portfolio to respond appropriately to a significant reduction in a credit rating of any such financial institution.</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Disclosure Controls and Procedures</w:t>
      </w:r>
    </w:p>
    <w:p>
      <w:pPr>
        <w:spacing w:after="0" w:line="10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42" w:lineRule="exact"/>
        <w:rPr>
          <w:sz w:val="20"/>
          <w:szCs w:val="20"/>
          <w:color w:val="auto"/>
        </w:rPr>
      </w:pPr>
    </w:p>
    <w:p>
      <w:pPr>
        <w:jc w:val="both"/>
        <w:ind w:right="100" w:firstLine="509"/>
        <w:spacing w:after="0" w:line="256" w:lineRule="auto"/>
        <w:rPr>
          <w:sz w:val="20"/>
          <w:szCs w:val="20"/>
          <w:color w:val="auto"/>
        </w:rPr>
      </w:pPr>
      <w:r>
        <w:rPr>
          <w:rFonts w:ascii="Arial" w:cs="Arial" w:eastAsia="Arial" w:hAnsi="Arial"/>
          <w:sz w:val="18"/>
          <w:szCs w:val="18"/>
          <w:color w:val="auto"/>
        </w:rPr>
        <w:t>Our Chief Executive Officer and Chief Financial Officer have concluded that our disclosure controls and procedures were not effective due to the material weakness in our internal control over financial reporting related to the inadequate design and implementation of controls to evaluate and monitor the accounting for revenue recognition related to license agreements.</w:t>
      </w:r>
    </w:p>
    <w:p>
      <w:pPr>
        <w:spacing w:after="0" w:line="6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After giving full consideration to the material weakness, and the additional analyses and other procedures that we performed to ensure that</w:t>
      </w:r>
    </w:p>
    <w:p>
      <w:pPr>
        <w:spacing w:after="0" w:line="35"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preparation and fair presentation of our financial statements included in this Quarterly Report, our management and the board of directors has concluded that our financial statements present fairly, in all material respects, our financial position, results of operations and cash flows for the periods disclosed in conformity with U.S. GAAP.</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Plan for Remediation of Material Weakness</w:t>
      </w:r>
    </w:p>
    <w:p>
      <w:pPr>
        <w:spacing w:after="0" w:line="117" w:lineRule="exact"/>
        <w:rPr>
          <w:sz w:val="20"/>
          <w:szCs w:val="20"/>
          <w:color w:val="auto"/>
        </w:rPr>
      </w:pPr>
    </w:p>
    <w:p>
      <w:pPr>
        <w:ind w:right="140" w:firstLine="509"/>
        <w:spacing w:after="0" w:line="268" w:lineRule="auto"/>
        <w:rPr>
          <w:sz w:val="20"/>
          <w:szCs w:val="20"/>
          <w:color w:val="auto"/>
        </w:rPr>
      </w:pPr>
      <w:r>
        <w:rPr>
          <w:rFonts w:ascii="Arial" w:cs="Arial" w:eastAsia="Arial" w:hAnsi="Arial"/>
          <w:sz w:val="17"/>
          <w:szCs w:val="17"/>
          <w:color w:val="auto"/>
        </w:rPr>
        <w:t>Management is implementing enhanced internal controls to remediate the material weakness. The remediation plan includes enhancement of our contract review of license agreements to confirm appropriate understanding of the terms, as well as implementation of a control designed to evaluate and monitor, at inception and on a quarterly basis, the estimated consideration to be received under license agreements for purposes of revenue recognition, analysis of deferred revenue balances, and enhanced detailed review of our revenue recognition models.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100" w:firstLine="509"/>
        <w:spacing w:after="0" w:line="278" w:lineRule="auto"/>
        <w:rPr>
          <w:sz w:val="20"/>
          <w:szCs w:val="20"/>
          <w:color w:val="auto"/>
        </w:rPr>
      </w:pPr>
      <w:r>
        <w:rPr>
          <w:rFonts w:ascii="Arial" w:cs="Arial" w:eastAsia="Arial" w:hAnsi="Arial"/>
          <w:sz w:val="17"/>
          <w:szCs w:val="17"/>
          <w:color w:val="auto"/>
        </w:rPr>
        <w:t>Other than the ongoing remediation efforts related to the material weakness discussed above, there were no changes in our internal control over financial reporting (as such term is defined by Rules 13a-15(f) and 15d-15(f) of the Exchange Act) during the most recent fiscal quarter ended September 30, 2022 that have materially affected, or are reasonably likely to materially affect, our internal control over financial reporting.</w:t>
      </w:r>
    </w:p>
    <w:p>
      <w:pPr>
        <w:spacing w:after="0" w:line="50"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elements of our remediation plan can only be accomplished over time, and we can offer no assurance that these initiatives will ultimately have the intended effects.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material changes in our risk factors from those included in our 2022 Annual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40" w:type="dxa"/>
            <w:vAlign w:val="bottom"/>
            <w:gridSpan w:val="7"/>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Exhibits</w:t>
            </w:r>
          </w:p>
        </w:tc>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880" w:type="dxa"/>
            <w:vAlign w:val="bottom"/>
          </w:tcPr>
          <w:p>
            <w:pPr>
              <w:ind w:left="280"/>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101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Letter Agreement between Brian G. Drazba and MEI Pharma, Inc., dated as of July 7, 2022 (incorporated by reference to Exhibit 10.1 to the</w:t>
              </w:r>
            </w:hyperlink>
          </w:p>
        </w:tc>
      </w:tr>
      <w:tr>
        <w:trPr>
          <w:trHeight w:val="169"/>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40" w:type="dxa"/>
            <w:vAlign w:val="bottom"/>
            <w:gridSpan w:val="7"/>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Registrant's Current Report on Form 8-K filed on July 7, 2022 (File No. 000-50484)).</w:t>
              </w:r>
            </w:hyperlink>
          </w:p>
        </w:tc>
      </w:tr>
      <w:tr>
        <w:trPr>
          <w:trHeight w:val="196"/>
        </w:trPr>
        <w:tc>
          <w:tcPr>
            <w:tcW w:w="880" w:type="dxa"/>
            <w:vAlign w:val="bottom"/>
          </w:tcPr>
          <w:p>
            <w:pPr>
              <w:ind w:left="280"/>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562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2"/>
              </w:rPr>
              <w:t>Rule 13a-14(a) or Rule 15d-14(a) Certification of Principal Executive Officer.</w:t>
            </w:r>
          </w:p>
        </w:tc>
        <w:tc>
          <w:tcPr>
            <w:tcW w:w="540" w:type="dxa"/>
            <w:vAlign w:val="bottom"/>
            <w:tcBorders>
              <w:top w:val="single" w:sz="8" w:color="0000FF"/>
            </w:tcBorders>
          </w:tcPr>
          <w:p>
            <w:pPr>
              <w:spacing w:after="0"/>
              <w:rPr>
                <w:sz w:val="17"/>
                <w:szCs w:val="17"/>
                <w:color w:val="auto"/>
              </w:rPr>
            </w:pPr>
          </w:p>
        </w:tc>
        <w:tc>
          <w:tcPr>
            <w:tcW w:w="3980" w:type="dxa"/>
            <w:vAlign w:val="bottom"/>
            <w:gridSpan w:val="2"/>
          </w:tcPr>
          <w:p>
            <w:pPr>
              <w:spacing w:after="0"/>
              <w:rPr>
                <w:sz w:val="17"/>
                <w:szCs w:val="17"/>
                <w:color w:val="auto"/>
              </w:rPr>
            </w:pPr>
          </w:p>
        </w:tc>
      </w:tr>
      <w:tr>
        <w:trPr>
          <w:trHeight w:val="196"/>
        </w:trPr>
        <w:tc>
          <w:tcPr>
            <w:tcW w:w="880" w:type="dxa"/>
            <w:vAlign w:val="bottom"/>
          </w:tcPr>
          <w:p>
            <w:pPr>
              <w:ind w:left="280"/>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Arial" w:cs="Arial" w:eastAsia="Arial" w:hAnsi="Arial"/>
                <w:sz w:val="18"/>
                <w:szCs w:val="18"/>
                <w:color w:val="0000FF"/>
              </w:rPr>
              <w:t>Rule 13a-14(a) or Rule 15d-14(a) Certification of Principal Financial Officer.</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80" w:type="dxa"/>
            <w:vAlign w:val="bottom"/>
          </w:tcPr>
          <w:p>
            <w:pPr>
              <w:ind w:left="28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0000FF"/>
                <w:w w:val="93"/>
              </w:rPr>
              <w:t>Certification of Principal Executive Officer and Principal Financial Officer required by Rule 13a-14(b) or Rule 15d-14(b) and Section 1350</w:t>
            </w:r>
          </w:p>
        </w:tc>
      </w:tr>
      <w:tr>
        <w:trPr>
          <w:trHeight w:val="169"/>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0"/>
              </w:rPr>
              <w:t>of Chapter 63 of Title 18 of the United States Code (18 U.S.C 1350).</w:t>
            </w:r>
          </w:p>
        </w:tc>
        <w:tc>
          <w:tcPr>
            <w:tcW w:w="20" w:type="dxa"/>
            <w:vAlign w:val="bottom"/>
            <w:tcBorders>
              <w:top w:val="single" w:sz="8" w:color="0000FF"/>
              <w:bottom w:val="single" w:sz="8" w:color="0000EE"/>
            </w:tcBorders>
          </w:tcPr>
          <w:p>
            <w:pPr>
              <w:spacing w:after="0"/>
              <w:rPr>
                <w:sz w:val="14"/>
                <w:szCs w:val="14"/>
                <w:color w:val="auto"/>
              </w:rPr>
            </w:pPr>
          </w:p>
        </w:tc>
        <w:tc>
          <w:tcPr>
            <w:tcW w:w="5100" w:type="dxa"/>
            <w:vAlign w:val="bottom"/>
            <w:tcBorders>
              <w:top w:val="single" w:sz="8" w:color="0000FF"/>
            </w:tcBorders>
            <w:gridSpan w:val="4"/>
          </w:tcPr>
          <w:p>
            <w:pPr>
              <w:spacing w:after="0"/>
              <w:rPr>
                <w:sz w:val="14"/>
                <w:szCs w:val="14"/>
                <w:color w:val="auto"/>
              </w:rPr>
            </w:pPr>
          </w:p>
        </w:tc>
        <w:tc>
          <w:tcPr>
            <w:tcW w:w="60" w:type="dxa"/>
            <w:vAlign w:val="bottom"/>
          </w:tcPr>
          <w:p>
            <w:pPr>
              <w:spacing w:after="0"/>
              <w:rPr>
                <w:sz w:val="14"/>
                <w:szCs w:val="14"/>
                <w:color w:val="auto"/>
              </w:rPr>
            </w:pP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6"/>
                <w:szCs w:val="16"/>
                <w:color w:val="auto"/>
              </w:rPr>
            </w:pPr>
          </w:p>
        </w:tc>
        <w:tc>
          <w:tcPr>
            <w:tcW w:w="10140" w:type="dxa"/>
            <w:vAlign w:val="bottom"/>
            <w:gridSpan w:val="7"/>
          </w:tcPr>
          <w:p>
            <w:pPr>
              <w:spacing w:after="0" w:line="195" w:lineRule="exact"/>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5540" w:right="4360" w:hanging="5519"/>
        <w:spacing w:after="0" w:line="7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MEI Pharma, Inc.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P. Gold</w:t>
      </w: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18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November 14, 2022</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Daniel P. Gold, certify that:</w:t>
      </w:r>
    </w:p>
    <w:p>
      <w:pPr>
        <w:spacing w:after="0" w:line="10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17" w:lineRule="exact"/>
        <w:rPr>
          <w:rFonts w:ascii="Arial" w:cs="Arial" w:eastAsia="Arial" w:hAnsi="Arial"/>
          <w:sz w:val="18"/>
          <w:szCs w:val="18"/>
          <w:color w:val="auto"/>
        </w:rPr>
      </w:pPr>
    </w:p>
    <w:p>
      <w:pPr>
        <w:jc w:val="both"/>
        <w:ind w:left="520" w:right="100" w:hanging="512"/>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7"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520" w:right="260" w:hanging="512"/>
        <w:spacing w:after="0" w:line="256"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jc w:val="both"/>
        <w:ind w:left="1020" w:right="40" w:hanging="503"/>
        <w:spacing w:after="0" w:line="256"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6"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020" w:right="60" w:hanging="503"/>
        <w:spacing w:after="0" w:line="256"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6" w:lineRule="exact"/>
        <w:rPr>
          <w:rFonts w:ascii="Arial" w:cs="Arial" w:eastAsia="Arial" w:hAnsi="Arial"/>
          <w:sz w:val="18"/>
          <w:szCs w:val="18"/>
          <w:color w:val="auto"/>
        </w:rPr>
      </w:pPr>
    </w:p>
    <w:p>
      <w:pPr>
        <w:ind w:left="1020" w:right="120" w:hanging="503"/>
        <w:spacing w:after="0" w:line="256"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6"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6"/>
          <w:szCs w:val="16"/>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6350</wp:posOffset>
            </wp:positionV>
            <wp:extent cx="33089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Daniel P. Gold</w:t>
      </w:r>
    </w:p>
    <w:p>
      <w:pPr>
        <w:ind w:left="6020"/>
        <w:spacing w:after="0" w:line="219" w:lineRule="auto"/>
        <w:rPr>
          <w:sz w:val="20"/>
          <w:szCs w:val="20"/>
          <w:color w:val="auto"/>
        </w:rPr>
      </w:pPr>
      <w:r>
        <w:rPr>
          <w:rFonts w:ascii="Arial" w:cs="Arial" w:eastAsia="Arial" w:hAnsi="Arial"/>
          <w:sz w:val="18"/>
          <w:szCs w:val="18"/>
          <w:color w:val="auto"/>
        </w:rPr>
        <w:t>Chief Executive Officer</w:t>
      </w:r>
    </w:p>
    <w:p>
      <w:pPr>
        <w:ind w:left="6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G. Drazba, certify that:</w:t>
      </w:r>
    </w:p>
    <w:p>
      <w:pPr>
        <w:spacing w:after="0" w:line="10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03" w:lineRule="exact"/>
        <w:rPr>
          <w:rFonts w:ascii="Arial" w:cs="Arial" w:eastAsia="Arial" w:hAnsi="Arial"/>
          <w:sz w:val="18"/>
          <w:szCs w:val="18"/>
          <w:color w:val="auto"/>
        </w:rPr>
      </w:pPr>
    </w:p>
    <w:p>
      <w:pPr>
        <w:jc w:val="both"/>
        <w:ind w:left="520" w:right="100" w:hanging="512"/>
        <w:spacing w:after="0" w:line="256"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6"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520" w:right="260" w:hanging="512"/>
        <w:spacing w:after="0" w:line="248"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jc w:val="both"/>
        <w:ind w:left="1020" w:right="4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87"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ind w:left="1020" w:right="6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87" w:lineRule="exact"/>
        <w:rPr>
          <w:rFonts w:ascii="Arial" w:cs="Arial" w:eastAsia="Arial" w:hAnsi="Arial"/>
          <w:sz w:val="18"/>
          <w:szCs w:val="18"/>
          <w:color w:val="auto"/>
        </w:rPr>
      </w:pPr>
    </w:p>
    <w:p>
      <w:pPr>
        <w:ind w:left="1020" w:right="12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8" w:lineRule="exact"/>
        <w:rPr>
          <w:rFonts w:ascii="Arial" w:cs="Arial" w:eastAsia="Arial" w:hAnsi="Arial"/>
          <w:sz w:val="18"/>
          <w:szCs w:val="18"/>
          <w:color w:val="auto"/>
        </w:rPr>
      </w:pPr>
    </w:p>
    <w:p>
      <w:pPr>
        <w:ind w:left="1020" w:right="740" w:hanging="503"/>
        <w:spacing w:after="0" w:line="324"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6"/>
          <w:szCs w:val="16"/>
          <w:color w:val="auto"/>
        </w:rPr>
        <w:t>/s/ Brian G. Drazba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6350</wp:posOffset>
            </wp:positionV>
            <wp:extent cx="33089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Brian G. Drazba</w:t>
      </w:r>
    </w:p>
    <w:p>
      <w:pPr>
        <w:ind w:left="6020"/>
        <w:spacing w:after="0" w:line="219" w:lineRule="auto"/>
        <w:rPr>
          <w:sz w:val="20"/>
          <w:szCs w:val="20"/>
          <w:color w:val="auto"/>
        </w:rPr>
      </w:pPr>
      <w:r>
        <w:rPr>
          <w:rFonts w:ascii="Arial" w:cs="Arial" w:eastAsia="Arial" w:hAnsi="Arial"/>
          <w:sz w:val="18"/>
          <w:szCs w:val="18"/>
          <w:color w:val="auto"/>
        </w:rPr>
        <w:t>Chief Financial Officer</w:t>
      </w:r>
    </w:p>
    <w:p>
      <w:pPr>
        <w:ind w:left="6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and Section 1350 of Chapter 63 of Title 18 of the United States Code (18 U.S.C. § 1350), Daniel P. Gold, the Chief Executive Officer of MEI Pharma, Inc. (the “Registrant”), and Brian G. Drazba, the Chief Financial Officer of the Registrant, each hereby certifies that, to his knowledge:</w:t>
      </w:r>
    </w:p>
    <w:p>
      <w:pPr>
        <w:spacing w:after="0" w:line="50" w:lineRule="exact"/>
        <w:rPr>
          <w:sz w:val="20"/>
          <w:szCs w:val="20"/>
          <w:color w:val="auto"/>
        </w:rPr>
      </w:pPr>
    </w:p>
    <w:p>
      <w:pPr>
        <w:ind w:left="520" w:right="20" w:hanging="512"/>
        <w:spacing w:after="0" w:line="324"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period ended September 30, 2022, (the “Form 10-Q”) to which this Certification is attached as Exhibit 32.1, fully complies with the requirements of Section 13(a) or Section 15(d) of the Securities Exchange Act of 1934, as amended; and</w:t>
      </w:r>
    </w:p>
    <w:p>
      <w:pPr>
        <w:spacing w:after="0" w:line="29" w:lineRule="exact"/>
        <w:rPr>
          <w:rFonts w:ascii="Arial" w:cs="Arial" w:eastAsia="Arial" w:hAnsi="Arial"/>
          <w:sz w:val="16"/>
          <w:szCs w:val="16"/>
          <w:color w:val="auto"/>
        </w:rPr>
      </w:pPr>
    </w:p>
    <w:p>
      <w:pPr>
        <w:ind w:left="520" w:right="60" w:hanging="512"/>
        <w:spacing w:after="0" w:line="261"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71"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Dated: November 14, 2022</w:t>
            </w:r>
          </w:p>
        </w:tc>
        <w:tc>
          <w:tcPr>
            <w:tcW w:w="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 Daniel P. Gold</w:t>
            </w:r>
          </w:p>
        </w:tc>
        <w:tc>
          <w:tcPr>
            <w:tcW w:w="5980" w:type="dxa"/>
            <w:vAlign w:val="bottom"/>
            <w:gridSpan w:val="2"/>
          </w:tcPr>
          <w:p>
            <w:pPr>
              <w:ind w:left="780"/>
              <w:spacing w:after="0"/>
              <w:rPr>
                <w:sz w:val="20"/>
                <w:szCs w:val="20"/>
                <w:color w:val="auto"/>
              </w:rPr>
            </w:pPr>
            <w:r>
              <w:rPr>
                <w:rFonts w:ascii="Arial" w:cs="Arial" w:eastAsia="Arial" w:hAnsi="Arial"/>
                <w:sz w:val="18"/>
                <w:szCs w:val="18"/>
                <w:color w:val="auto"/>
              </w:rPr>
              <w:t>/s/ Brian G. Drazba</w:t>
            </w:r>
          </w:p>
        </w:tc>
        <w:tc>
          <w:tcPr>
            <w:tcW w:w="2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52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Daniel P. Gold</w:t>
            </w:r>
          </w:p>
        </w:tc>
        <w:tc>
          <w:tcPr>
            <w:tcW w:w="780" w:type="dxa"/>
            <w:vAlign w:val="bottom"/>
          </w:tcPr>
          <w:p>
            <w:pPr>
              <w:spacing w:after="0"/>
              <w:rPr>
                <w:sz w:val="15"/>
                <w:szCs w:val="15"/>
                <w:color w:val="auto"/>
              </w:rPr>
            </w:pPr>
          </w:p>
        </w:tc>
        <w:tc>
          <w:tcPr>
            <w:tcW w:w="52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Brian G. Drazba</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220" w:type="dxa"/>
            <w:vAlign w:val="bottom"/>
          </w:tcPr>
          <w:p>
            <w:pPr>
              <w:spacing w:after="0" w:line="189" w:lineRule="exact"/>
              <w:rPr>
                <w:sz w:val="20"/>
                <w:szCs w:val="20"/>
                <w:color w:val="auto"/>
              </w:rPr>
            </w:pPr>
            <w:r>
              <w:rPr>
                <w:rFonts w:ascii="Arial" w:cs="Arial" w:eastAsia="Arial" w:hAnsi="Arial"/>
                <w:sz w:val="18"/>
                <w:szCs w:val="18"/>
                <w:color w:val="auto"/>
              </w:rPr>
              <w:t>Chief Executive Officer</w:t>
            </w:r>
          </w:p>
        </w:tc>
        <w:tc>
          <w:tcPr>
            <w:tcW w:w="5980" w:type="dxa"/>
            <w:vAlign w:val="bottom"/>
            <w:gridSpan w:val="2"/>
          </w:tcPr>
          <w:p>
            <w:pPr>
              <w:ind w:left="780"/>
              <w:spacing w:after="0" w:line="189" w:lineRule="exact"/>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980" w:type="dxa"/>
            <w:vAlign w:val="bottom"/>
            <w:gridSpan w:val="2"/>
          </w:tcPr>
          <w:p>
            <w:pPr>
              <w:ind w:left="78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560"/>
        </w:trPr>
        <w:tc>
          <w:tcPr>
            <w:tcW w:w="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72" Type="http://schemas.openxmlformats.org/officeDocument/2006/relationships/hyperlink" Target="https://www.sec.gov/ix?doc=/Archives/edgar/data/0001262104/000119312522189565/d22012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2022-11-14T15:34:37Z</dcterms:created>
  <dcterms:modified xsi:type="dcterms:W3CDTF">2022-11-14T15:34:37Z</dcterms:modified>
</cp:coreProperties>
</file>