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jpeg" ContentType="image/jpeg"/>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its-20260630.htm"/>
        <w:bookmarkStart w:id="1" w:name="kslits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10-K</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ANNUAL REPORT PURSUANT TO SECTION 13 OR 15(d) OF THE SECURITIES EXCHANGE ACT OF 1934</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fiscal year ended June 30,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Commission File Number: 000-50484</w:t>
      </w:r>
    </w:p>
    <w:p>
      <w:pPr>
        <w:pStyle w:val="TextBody"/>
        <w:bidi w:val="0"/>
        <w:spacing w:before="240" w:after="283"/>
        <w:jc w:val="center"/>
        <w:rPr>
          <w:rFonts w:ascii="Times New Roman" w:hAnsi="Times New Roman"/>
          <w:b/>
          <w:color w:val="000000"/>
          <w:sz w:val="48"/>
        </w:rPr>
      </w:pPr>
      <w:bookmarkStart w:id="2" w:name="fis_unidentified_table"/>
      <w:bookmarkEnd w:id="2"/>
      <w:r>
        <w:rPr>
          <w:rFonts w:ascii="Times New Roman" w:hAnsi="Times New Roman"/>
          <w:b/>
          <w:color w:val="000000"/>
          <w:sz w:val="48"/>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8"/>
              </w:rPr>
            </w:pPr>
            <w:r>
              <w:rPr>
                <w:rFonts w:ascii="Times New Roman" w:hAnsi="Times New Roman"/>
                <w:b/>
                <w:caps/>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51-0407811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9920 Pacific Heights Blvd., Suite 150, San Diego, CA</w:t>
      </w:r>
      <w:r>
        <w:rPr>
          <w:rFonts w:ascii="Times New Roman" w:hAnsi="Times New Roman"/>
          <w:color w:val="000000"/>
          <w:sz w:val="20"/>
        </w:rPr>
        <w:t xml:space="preserve"> </w:t>
      </w:r>
      <w:r>
        <w:rPr>
          <w:rFonts w:ascii="Times New Roman" w:hAnsi="Times New Roman"/>
          <w:b/>
          <w:color w:val="000000"/>
          <w:sz w:val="20"/>
        </w:rPr>
        <w:t>92121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(858) 369-7100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240" w:after="283"/>
        <w:jc w:val="center"/>
        <w:rPr>
          <w:rFonts w:ascii="Times New Roman" w:hAnsi="Times New Roman"/>
          <w:b/>
          <w:color w:val="000000"/>
          <w:sz w:val="20"/>
        </w:rPr>
      </w:pPr>
      <w:bookmarkStart w:id="3" w:name="fis_unidentified_table_2"/>
      <w:bookmarkEnd w:id="3"/>
      <w:r>
        <w:rPr>
          <w:rFonts w:ascii="Times New Roman" w:hAnsi="Times New Roman"/>
          <w:b/>
          <w:color w:val="000000"/>
          <w:sz w:val="20"/>
        </w:rPr>
        <w:t>Securities registered pursuant to Section 12(b) of the Act:</w:t>
      </w:r>
    </w:p>
    <w:tbl>
      <w:tblPr>
        <w:tblW w:w="6715" w:type="dxa"/>
        <w:jc w:val="left"/>
        <w:tblInd w:w="0" w:type="dxa"/>
        <w:tblLayout w:type="fixed"/>
        <w:tblCellMar>
          <w:top w:w="28" w:type="dxa"/>
          <w:left w:w="28" w:type="dxa"/>
          <w:bottom w:w="28" w:type="dxa"/>
          <w:right w:w="28" w:type="dxa"/>
        </w:tblCellMar>
      </w:tblPr>
      <w:tblGrid>
        <w:gridCol w:w="3121"/>
        <w:gridCol w:w="146"/>
        <w:gridCol w:w="691"/>
        <w:gridCol w:w="146"/>
        <w:gridCol w:w="26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1" w:type="dxa"/>
            <w:tcBorders>
              <w:bottom w:val="single" w:sz="7"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Common Stock, $0.00000002</w:t>
            </w:r>
            <w:r>
              <w:rPr>
                <w:rFonts w:ascii="Times New Roman" w:hAnsi="Times New Roman"/>
                <w:color w:val="000000"/>
                <w:sz w:val="18"/>
              </w:rPr>
              <w:t xml:space="preserve"> </w:t>
            </w:r>
            <w:r>
              <w:rPr>
                <w:rFonts w:ascii="Times New Roman" w:hAnsi="Times New Roman"/>
                <w:b/>
                <w:color w:val="000000"/>
                <w:sz w:val="18"/>
              </w:rPr>
              <w:t>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The Nasdaq</w:t>
            </w:r>
            <w:r>
              <w:rPr>
                <w:rFonts w:ascii="Times New Roman" w:hAnsi="Times New Roman"/>
                <w:color w:val="000000"/>
                <w:sz w:val="18"/>
              </w:rPr>
              <w:t> </w:t>
            </w:r>
            <w:r>
              <w:rPr>
                <w:rFonts w:ascii="Times New Roman" w:hAnsi="Times New Roman"/>
                <w:b/>
                <w:color w:val="000000"/>
                <w:sz w:val="18"/>
              </w:rPr>
              <w:t>Stock Market LLC</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None</w:t>
      </w:r>
    </w:p>
    <w:p>
      <w:pPr>
        <w:pStyle w:val="TextBody"/>
        <w:bidi w:val="0"/>
        <w:jc w:val="center"/>
        <w:rPr>
          <w:rFonts w:ascii="Times New Roman" w:hAnsi="Times New Roman"/>
          <w:b/>
          <w:color w:val="000000"/>
          <w:sz w:val="16"/>
        </w:rPr>
      </w:pPr>
      <w:r>
        <w:rPr>
          <w:rFonts w:ascii="Times New Roman" w:hAnsi="Times New Roman"/>
          <w:b/>
          <w:color w:val="000000"/>
          <w:sz w:val="16"/>
        </w:rPr>
        <w:t>(Title of Class)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a check mark if the registrant is a well-known seasoned issuer, as defined in Rule 405 of the Securities Act. Yes ☐ No ☒</w:t>
      </w:r>
    </w:p>
    <w:p>
      <w:pPr>
        <w:pStyle w:val="TextBody"/>
        <w:bidi w:val="0"/>
        <w:spacing w:before="180" w:after="283"/>
        <w:jc w:val="left"/>
        <w:rPr>
          <w:rFonts w:ascii="Times New Roman" w:hAnsi="Times New Roman"/>
          <w:color w:val="000000"/>
          <w:sz w:val="20"/>
        </w:rPr>
      </w:pPr>
      <w:bookmarkStart w:id="4" w:name="eolpage2"/>
      <w:bookmarkEnd w:id="4"/>
      <w:r>
        <w:rPr>
          <w:rFonts w:ascii="Times New Roman" w:hAnsi="Times New Roman"/>
          <w:color w:val="000000"/>
          <w:sz w:val="20"/>
        </w:rPr>
        <w:t>Indicate by a check mark if the registrant is not required to file reports pursuant to Section 13 or Section 15(d) of the Act. Yes ☐ No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80" w:after="283"/>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5" w:name="fis_unidentified_table_3"/>
      <w:bookmarkStart w:id="6" w:name="fis_unidentified_table_3"/>
      <w:bookmarkEnd w:id="6"/>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hAnsi="Arial"/>
          <w:color w:val="000000"/>
          <w:sz w:val="22"/>
        </w:rPr>
        <w:t>§</w:t>
      </w:r>
      <w:r>
        <w:rPr>
          <w:rFonts w:ascii="Times New Roman" w:hAnsi="Times New Roman"/>
          <w:color w:val="000000"/>
          <w:sz w:val="20"/>
        </w:rPr>
        <w:t>240.10D-1(b).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aggregate market value of the voting and non-voting common equity held by non-affiliates, based on the closing price per share of Registrant's Common Stock on the Nasdaq Capital Market was approximately $43.0 million as of December 31,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September 22, 2026, there were 30,407,268 shares of the registrant’s common stock, par value $0.00000002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Lite Strategy, Inc.</w:t>
      </w:r>
    </w:p>
    <w:p>
      <w:pPr>
        <w:pStyle w:val="TextBody"/>
        <w:bidi w:val="0"/>
        <w:jc w:val="center"/>
        <w:rPr>
          <w:rFonts w:ascii="Times New Roman" w:hAnsi="Times New Roman"/>
          <w:color w:val="000000"/>
          <w:sz w:val="20"/>
        </w:rPr>
      </w:pPr>
      <w:bookmarkStart w:id="7" w:name="toc_page"/>
      <w:bookmarkEnd w:id="7"/>
      <w:r>
        <w:rPr>
          <w:rFonts w:ascii="Times New Roman" w:hAnsi="Times New Roman"/>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41"/>
        <w:gridCol w:w="326"/>
        <w:gridCol w:w="7854"/>
        <w:gridCol w:w="146"/>
        <w:gridCol w:w="157"/>
        <w:gridCol w:w="309"/>
        <w:gridCol w:w="372"/>
      </w:tblGrid>
      <w:tr>
        <w:trPr/>
        <w:tc>
          <w:tcPr>
            <w:tcW w:w="10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c>
          <w:tcPr>
            <w:tcW w:w="372" w:type="dxa"/>
            <w:tcBorders>
              <w:bottom w:val="single" w:sz="7" w:space="0" w:color="000000"/>
            </w:tcBorders>
            <w:tcMar>
              <w:top w:w="0" w:type="dxa"/>
              <w:left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
              <w:r>
                <w:rPr>
                  <w:rStyle w:val="InternetLink"/>
                  <w:rFonts w:ascii="Times New Roman" w:hAnsi="Times New Roman"/>
                  <w:b/>
                  <w:color w:val="0000FF"/>
                  <w:sz w:val="18"/>
                  <w:u w:val="single"/>
                </w:rPr>
                <w:t>PART I</w:t>
              </w:r>
            </w:hyperlink>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
              <w:r>
                <w:rPr>
                  <w:rStyle w:val="InternetLink"/>
                  <w:rFonts w:ascii="Times New Roman" w:hAnsi="Times New Roman"/>
                  <w:color w:val="0000FF"/>
                  <w:sz w:val="18"/>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1A:</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risk_factors">
              <w:r>
                <w:rPr>
                  <w:rStyle w:val="InternetLink"/>
                  <w:rFonts w:ascii="Times New Roman" w:hAnsi="Times New Roman"/>
                  <w:color w:val="0000FF"/>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1B:</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4">
              <w:r>
                <w:rPr>
                  <w:rStyle w:val="InternetLink"/>
                  <w:rFonts w:ascii="Times New Roman" w:hAnsi="Times New Roman"/>
                  <w:color w:val="0000FF"/>
                  <w:sz w:val="18"/>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1C:</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c_cybersecurity">
              <w:r>
                <w:rPr>
                  <w:rStyle w:val="InternetLink"/>
                  <w:rFonts w:ascii="Times New Roman" w:hAnsi="Times New Roman"/>
                  <w:color w:val="0000FF"/>
                  <w:sz w:val="18"/>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2:</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5">
              <w:r>
                <w:rPr>
                  <w:rStyle w:val="InternetLink"/>
                  <w:rFonts w:ascii="Times New Roman" w:hAnsi="Times New Roman"/>
                  <w:color w:val="0000FF"/>
                  <w:sz w:val="18"/>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3:</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6">
              <w:r>
                <w:rPr>
                  <w:rStyle w:val="InternetLink"/>
                  <w:rFonts w:ascii="Times New Roman" w:hAnsi="Times New Roman"/>
                  <w:color w:val="0000FF"/>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4:</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7">
              <w:r>
                <w:rPr>
                  <w:rStyle w:val="InternetLink"/>
                  <w:rFonts w:ascii="Times New Roman" w:hAnsi="Times New Roman"/>
                  <w:color w:val="0000FF"/>
                  <w:sz w:val="18"/>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part_ii">
              <w:r>
                <w:rPr>
                  <w:rStyle w:val="InternetLink"/>
                  <w:rFonts w:ascii="Times New Roman" w:hAnsi="Times New Roman"/>
                  <w:color w:val="0000FF"/>
                  <w:sz w:val="20"/>
                  <w:u w:val="single"/>
                </w:rPr>
                <w:t>PART II</w:t>
              </w:r>
            </w:hyperlink>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5:</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9">
              <w:r>
                <w:rPr>
                  <w:rStyle w:val="InternetLink"/>
                  <w:rFonts w:ascii="Times New Roman" w:hAnsi="Times New Roman"/>
                  <w:color w:val="0000FF"/>
                  <w:sz w:val="18"/>
                  <w:u w:val="single"/>
                </w:rPr>
                <w:t>Market for the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6:</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0">
              <w:r>
                <w:rPr>
                  <w:rStyle w:val="InternetLink"/>
                  <w:rFonts w:ascii="Times New Roman" w:hAnsi="Times New Roman"/>
                  <w:color w:val="0000FF"/>
                  <w:sz w:val="18"/>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7:</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1">
              <w:r>
                <w:rPr>
                  <w:rStyle w:val="InternetLink"/>
                  <w:rFonts w:ascii="Times New Roman" w:hAnsi="Times New Roman"/>
                  <w:color w:val="0000FF"/>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7a:</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2">
              <w:r>
                <w:rPr>
                  <w:rStyle w:val="InternetLink"/>
                  <w:rFonts w:ascii="Times New Roman" w:hAnsi="Times New Roman"/>
                  <w:color w:val="0000FF"/>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8:</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3">
              <w:r>
                <w:rPr>
                  <w:rStyle w:val="InternetLink"/>
                  <w:rFonts w:ascii="Times New Roman" w:hAnsi="Times New Roman"/>
                  <w:color w:val="0000FF"/>
                  <w:sz w:val="18"/>
                  <w:u w:val="single"/>
                </w:rPr>
                <w:t>Consolidated 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9:</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4">
              <w:r>
                <w:rPr>
                  <w:rStyle w:val="InternetLink"/>
                  <w:rFonts w:ascii="Times New Roman" w:hAnsi="Times New Roman"/>
                  <w:color w:val="0000FF"/>
                  <w:sz w:val="18"/>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9A:</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5">
              <w:r>
                <w:rPr>
                  <w:rStyle w:val="InternetLink"/>
                  <w:rFonts w:ascii="Times New Roman" w:hAnsi="Times New Roman"/>
                  <w:color w:val="0000FF"/>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9B:</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6">
              <w:r>
                <w:rPr>
                  <w:rStyle w:val="InternetLink"/>
                  <w:rFonts w:ascii="Times New Roman" w:hAnsi="Times New Roman"/>
                  <w:color w:val="0000FF"/>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9C:</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9c">
              <w:r>
                <w:rPr>
                  <w:rStyle w:val="InternetLink"/>
                  <w:rFonts w:ascii="Times New Roman" w:hAnsi="Times New Roman"/>
                  <w:color w:val="0000FF"/>
                  <w:sz w:val="18"/>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7">
              <w:r>
                <w:rPr>
                  <w:rStyle w:val="InternetLink"/>
                  <w:rFonts w:ascii="Times New Roman" w:hAnsi="Times New Roman"/>
                  <w:b/>
                  <w:color w:val="0000FF"/>
                  <w:sz w:val="18"/>
                  <w:u w:val="single"/>
                </w:rPr>
                <w:t>PART III</w:t>
              </w:r>
            </w:hyperlink>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10:</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8">
              <w:r>
                <w:rPr>
                  <w:rStyle w:val="InternetLink"/>
                  <w:rFonts w:ascii="Times New Roman" w:hAnsi="Times New Roman"/>
                  <w:color w:val="0000FF"/>
                  <w:sz w:val="18"/>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11:</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19">
              <w:r>
                <w:rPr>
                  <w:rStyle w:val="InternetLink"/>
                  <w:rFonts w:ascii="Times New Roman" w:hAnsi="Times New Roman"/>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12:</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0">
              <w:r>
                <w:rPr>
                  <w:rStyle w:val="InternetLink"/>
                  <w:rFonts w:ascii="Times New Roman" w:hAnsi="Times New Roman"/>
                  <w:color w:val="0000FF"/>
                  <w:sz w:val="18"/>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13:</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1">
              <w:r>
                <w:rPr>
                  <w:rStyle w:val="InternetLink"/>
                  <w:rFonts w:ascii="Times New Roman" w:hAnsi="Times New Roman"/>
                  <w:color w:val="0000FF"/>
                  <w:sz w:val="18"/>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14:</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2">
              <w:r>
                <w:rPr>
                  <w:rStyle w:val="InternetLink"/>
                  <w:rFonts w:ascii="Times New Roman" w:hAnsi="Times New Roman"/>
                  <w:color w:val="0000FF"/>
                  <w:sz w:val="18"/>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3">
              <w:r>
                <w:rPr>
                  <w:rStyle w:val="InternetLink"/>
                  <w:rFonts w:ascii="Times New Roman" w:hAnsi="Times New Roman"/>
                  <w:b/>
                  <w:color w:val="0000FF"/>
                  <w:sz w:val="18"/>
                  <w:u w:val="single"/>
                </w:rPr>
                <w:t>PART IV</w:t>
              </w:r>
            </w:hyperlink>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15:</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4">
              <w:r>
                <w:rPr>
                  <w:rStyle w:val="InternetLink"/>
                  <w:rFonts w:ascii="Times New Roman" w:hAnsi="Times New Roman"/>
                  <w:color w:val="0000FF"/>
                  <w:sz w:val="18"/>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7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Item 16:</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854"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d58841d10k_htm_toc58841_25">
              <w:r>
                <w:rPr>
                  <w:rStyle w:val="InternetLink"/>
                  <w:rFonts w:ascii="Times New Roman" w:hAnsi="Times New Roman"/>
                  <w:color w:val="0000FF"/>
                  <w:sz w:val="18"/>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(Annual Report) includes forward-looking statements, which involve a number of risks and uncertainties.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future plans, strategies, intentions, expectations, objectives, goals or prospects and other statements that are not historical facts are also forward-looking statements. Discussions containing these forward-looking statements may be found, among other places, in “Business” and “Management’s Discussion and Analysis of Financial Condition and Results of Operations” in this Annual Report. For such statements, we claim the protection of the Private Securities Litigation Reform Act of 1995. Readers of this Annual Report are cautioned not to place undue reliance on these forward-looking statements, which speak only as of the time this Annual Report was filed with the Securities and Exchange Commission, or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those discussed in “Risk Factors” and in “Management’s Discussion and Analysis of Financial Condition and Results of Operations” of this Annual Report. Other sections of this report and our other filings with the SEC may include additional factors which could adversely impact our business and financial performance. Moreover, we operate in a very competitive and rapidly changing environment. There is substantial uncertainty regarding current or expected inflation rates and fluctuating interest rates as a result and other responses from the Federal Reserve thereto, a potential economic downturn, industry, global economic conditions, government policy including the evolving regulatory environment and the implementation of our business model and strategic plans for our business, including our ability to manage the risks inherent in operating our cryptocurrency business and in safekeeping cryptocurrency assets.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 to reflect events or circumstances that arise after the filing of this Annual Report or documents incorporated by reference herein that include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Annual Report to “Lite Strategy,” “we,” “us” and “our” refer to Lite Strategy, Inc.</w:t>
      </w:r>
    </w:p>
    <w:p>
      <w:pPr>
        <w:pStyle w:val="TextBody"/>
        <w:bidi w:val="0"/>
        <w:spacing w:before="120" w:after="283"/>
        <w:jc w:val="left"/>
        <w:rPr>
          <w:rFonts w:ascii="Times New Roman" w:hAnsi="Times New Roman"/>
          <w:color w:val="000000"/>
          <w:sz w:val="20"/>
        </w:rPr>
      </w:pPr>
      <w:bookmarkStart w:id="8" w:name="fis_part_i"/>
      <w:bookmarkEnd w:id="8"/>
      <w:r>
        <w:rPr>
          <w:rFonts w:ascii="Times New Roman" w:hAnsi="Times New Roman"/>
          <w:color w:val="000000"/>
          <w:sz w:val="20"/>
        </w:rPr>
        <w:t>Lite Strategy, Inc. and our corporate logo are registered service marks of Lite Strategy. Any other brand names or trademarks appearing in this Annual Report are the property of their respective 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9" w:name="d58841d10k_htm_toc58841_1"/>
      <w:bookmarkEnd w:id="9"/>
      <w:r>
        <w:rPr>
          <w:rFonts w:ascii="Times New Roman" w:hAnsi="Times New Roman"/>
          <w:b/>
          <w:color w:val="000000"/>
          <w:sz w:val="20"/>
        </w:rPr>
        <w:t>PART I</w:t>
      </w:r>
      <w:bookmarkStart w:id="10" w:name="fis_business"/>
      <w:bookmarkEnd w:id="10"/>
    </w:p>
    <w:p>
      <w:pPr>
        <w:pStyle w:val="TextBody"/>
        <w:bidi w:val="0"/>
        <w:spacing w:before="240" w:after="283"/>
        <w:jc w:val="left"/>
        <w:rPr>
          <w:rFonts w:ascii="Times New Roman" w:hAnsi="Times New Roman"/>
          <w:b/>
          <w:color w:val="000000"/>
          <w:sz w:val="20"/>
        </w:rPr>
      </w:pPr>
      <w:bookmarkStart w:id="11" w:name="d58841d10k_htm_toc58841_2"/>
      <w:bookmarkEnd w:id="11"/>
      <w:r>
        <w:rPr>
          <w:rFonts w:ascii="Times New Roman" w:hAnsi="Times New Roman"/>
          <w:b/>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Lite Strategy, Inc. (Nasdaq: LITS) is a pharmaceutical company that has historically developed novel and differentiated cancer therapies. During fiscal year 2026, we commenced pre-clinical development programs in nononcologic disease indications. We also hold Litecoin (LTC) tokens as a primary reserve asset as part of our broader institutional treasury initiative. We initially </w:t>
      </w:r>
      <w:r>
        <w:rPr>
          <w:rFonts w:ascii="Times New Roman" w:hAnsi="Times New Roman"/>
          <w:color w:val="231F20"/>
          <w:sz w:val="20"/>
        </w:rPr>
        <w:t xml:space="preserve">built our pipeline by acquiring promising cancer agents and creating value in programs through clinical development, strategic partnerships, and out-licensing or commercialization, as appropriate. </w:t>
      </w:r>
      <w:r>
        <w:rPr>
          <w:rFonts w:ascii="Times New Roman" w:hAnsi="Times New Roman"/>
          <w:color w:val="000000"/>
          <w:sz w:val="20"/>
        </w:rPr>
        <w:t>Our approach to pre-clinical drug 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PI3Kδ inhibitor a</w:t>
      </w:r>
      <w:r>
        <w:rPr>
          <w:rFonts w:ascii="Times New Roman" w:hAnsi="Times New Roman"/>
          <w:color w:val="231F20"/>
          <w:sz w:val="20"/>
        </w:rPr>
        <w:t>nd, prior to its sale in October 2024 to Aardvark Therapeutics, Inc., ME-344, an intravenous small molecule mitochondrial inhibitor targeting the oxidative phosphorylation pathway in the mitochondria</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shifting our Litecoin Treasury Strategy (as defined below) from initial LTC accumulation to active capital market operations, on October 29, 2025, we announced that our Board of Directors (Board) authorized a program to repurchase shares of our common stock, par value $0.00000002 per share (the Common Stock), up to an aggregate amount of $25.0 million, excluding fees, commissions and excise tax due under the Inflation Reduction Act of 2022 (the Share Repurchase Program). The Share Repurchase Program was effective immediately and provides for shares to be repurchased in the open market, privately negotiated transactions or otherwise. The timing of purchases and the exact number of shares to be purchased under the Share Repurchase Program will depend on market conditions, does not include specific price targets or timetables and may be suspended or terminated by us at any time. We intend to finance the purchases using proceeds from our Covered Call Options (as defined below) or from the liquidation of a portion of our LTC tokens.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2025, we commenced utilization of our Share Repurchase Program and have repurchased an aggregate of 4,378,525 shares of our Common Stock from the open market (Treasury Shares) at a weighted-average price of $1.12 per share as of June 30, 2026. As of June 30, 2026, we had approximately $20.2 million remaining usage available under the Share Repurchase Program. Treasury Shares repurchased through the Share Repurchase Program are considered held in treasury and returned to the status of authorized but unissued shares of Common Stock. The Share Repurchase Program does not have an expiration date.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Litecoin Treasury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compared to the leading math-based currency. We believe this strategy will allow us to diversify reserves, enhance capital efficiency and align with emerging financial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with GSR Markets Ltd (GSR Markets), an affiliate of GSR Strategies LLC (GSR or Asset Manager), in which we write covered call options on certain of our LTC holdings (Covered Call Options). We utilize these Covered Call Options on certain digital asset holdings as part of broader digital asset treasury management strategy. These strategies are designed to generate incremental liquidity and income while retaining exposure to the underlying digital assets, subject to the risk that the assets may be delivered to option counterparties if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related to changes in the fair value of derivative liabilities associated with our Covered Call Options, as well as counterparty credit risk related to our digital assets receivable, net. We monitor these risks on an ongoing basis and evaluate expected credit losses each reporting period. As of June 30, 2026, we concluded expected credit losses were immaterial due to the short duration of the receivables, the over-collateralized nature of the arrangements, and the credit profile and risk management practices of the transfer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Unrealized changes in fair value on our Covered Call Options are recognized through periodic remeasurement and realized gains or losses are recognized upon settlement or expiration. Changes in fair value of our Covered Call Options and/or realized gains on Covered Call Options which expire unexercised are recognized upon settlement (expiration) of the related Covered Call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within gain on derivative liabilities, net, a component of other (expense) income, net, in the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Private Investment in Public Equity (PIPE) and Related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2025 (the Closing Date), we closed on a $100.0 million PIPE and issued an aggregate of (i) 23,216,898 shares of our Common Stock, at an offering price of $3.42 per share and (ii) pre-funded warrants (the Pre-Funded Warrants), to purchase up to an aggregate of 6,022,869 shares of Common Stock, at an offering price of $3.4199 per Pre-Funded Warrant.</w:t>
      </w:r>
    </w:p>
    <w:p>
      <w:pPr>
        <w:pStyle w:val="TextBody"/>
        <w:bidi w:val="0"/>
        <w:spacing w:before="120" w:after="283"/>
        <w:jc w:val="left"/>
        <w:rPr/>
      </w:pPr>
      <w:r>
        <w:rPr>
          <w:rFonts w:ascii="Times New Roman" w:hAnsi="Times New Roman"/>
          <w:color w:val="000000"/>
          <w:sz w:val="20"/>
        </w:rPr>
        <w:t xml:space="preserve">Also in July 2025, we entered into various agreements with certain advisors to the PIPE, asset managers and custodians to help us deploy our Litecoin Treasury Strategy, including but not limited to (i) a placement agency agreement, (ii) an asset management agreement, (iii) an advisory agreement, (iv) a strategic advisor agreement and (v) a new at-the-market sales agreement (the Sales Agreement). As consideration of services provided associated with the PIPE, we issued warrants (the Advisory Warrants) for the purchase of up to 3,070,177 shares of Common Stock with a weighted-average exercise price of approximately $4.10 per share. See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for a summary of the fair value assumptions used to value the Advisory Warrants upon the closing of the PIPE.</w:t>
      </w:r>
    </w:p>
    <w:p>
      <w:pPr>
        <w:pStyle w:val="TextBody"/>
        <w:bidi w:val="0"/>
        <w:spacing w:before="120" w:after="283"/>
        <w:jc w:val="left"/>
        <w:rPr>
          <w:rFonts w:ascii="Times New Roman" w:hAnsi="Times New Roman"/>
          <w:sz w:val="20"/>
        </w:rPr>
      </w:pPr>
      <w:r>
        <w:rPr>
          <w:rFonts w:ascii="Times New Roman" w:hAnsi="Times New Roman"/>
          <w:i/>
          <w:color w:val="000000"/>
          <w:sz w:val="20"/>
        </w:rPr>
        <w:t>Strategic Alternatives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in oncology, while we continued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of strategic alternatives concluded with the August 2025 commencement of our Litecoin Treasury Strategy through the acquisition of LTC tokens, reflecting the full deployment of the net proceeds of the PIPE. We are committed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nononcologic disease indications for potential out-licensing or sale related opportunities.</w:t>
      </w:r>
    </w:p>
    <w:p>
      <w:pPr>
        <w:pStyle w:val="TextBody"/>
        <w:bidi w:val="0"/>
        <w:spacing w:before="240" w:after="283"/>
        <w:jc w:val="left"/>
        <w:rPr>
          <w:rFonts w:ascii="Times New Roman" w:hAnsi="Times New Roman"/>
          <w:sz w:val="20"/>
        </w:rPr>
      </w:pPr>
      <w:r>
        <w:rPr>
          <w:rFonts w:ascii="Times New Roman" w:hAnsi="Times New Roman"/>
          <w:b/>
          <w:color w:val="231F20"/>
          <w:sz w:val="20"/>
        </w:rPr>
        <w:t>Risks and Uncertainties of Digital Assets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fair value of our intangible digital assets, calculated by reference to the principal market price in accordance with U.S. GAAP, relates primarily to the value of the LTC tokens held by us and fluctuations in the price of LTC tokens could materially and adversely affect an investment in our stock. The price of LTC tokens has a limited history and during such history, LTC token prices have been volatile and subject to influence by many factors, including, but not limited to, the levels of liquidity, global LTC supply and demand, compliance and internal control failures leading to the theft of LTC from global trading platforms or vaults, limited liquidity and trading volumes compared to sovereign currency markets and competition from other forms of digital currency or payment services, and global or regional political, economic or financial conditions. If digital asset markets continue to experience significant price fluctuations, we may experience losses.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LTC is subject to a developing regulatory landscape. On March 17, 2026, the SEC issued an interpretation addressing how the federal securities laws apply to certain types of crypto assets and transactions involving crypto assets (the Digital Asset Interpretation). While not a binding regulation, the Digital Asset Interpretation represents a shift in the SEC’s regulatory posture toward the crypto asset industry, moving from reliance primarily on enforcement actions to affirmative guidance establishing a classification framework and clarifying when crypto-related activities do or do not implicate the federal securities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the Digital Asset Interpretation, the SEC classified crypto assets into five categories based on their characteristics, uses, and functions. “Digital commodities,” “digital collectibles” including “meme coins,” and “digital tools” are not themselves securities according to the SEC. A “digital commodity” is a crypto asset intrinsically linked to, and deriving its value from, the programmatic operation of a “functional” crypto system and supply and demand dynamics, rather than from the expectation of profits based on the essential managerial efforts of others. The Digital Asset Interpretation stated that a digital commodity is not a security and identifies a number of specific crypto assets as digital commodities, including LTC.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Commodity Futures Trading Commission (the CFTC) joined the </w:t>
      </w:r>
      <w:r>
        <w:rPr>
          <w:rFonts w:ascii="Times New Roman" w:hAnsi="Times New Roman"/>
          <w:color w:val="231F20"/>
          <w:sz w:val="20"/>
        </w:rPr>
        <w:t>Digital Asset Interpretation</w:t>
      </w:r>
      <w:r>
        <w:rPr>
          <w:rFonts w:ascii="Times New Roman" w:hAnsi="Times New Roman"/>
          <w:color w:val="000000"/>
          <w:sz w:val="20"/>
        </w:rPr>
        <w:t xml:space="preserve"> to provide guidance that the CFTC and its staff will administer the Commodities Exchange Act of 1936, as amended (the CEA) consistent with the SEC’s interpretation. Accordingly, by following the Digital Asset Interpretation, the CFTC will continue to regulate LTC as a digital commodity. Under the CEA, the CFTC has broad enforcement authority to police market manipulation and fraud in spot digital asset markets in which we may transact. Beyond instances of fraud or manipulation, the CFTC generally does not oversee cash or spot market exchanges or transactions involving digital asset commodities that do not utilize margin, leverage or financing. In addition, CFTC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regulations and CFTC oversight and enforcement authority apply with respect to futures, swaps, other derivative products and certain retail leveraged commodity transactions involving digital asset commodities, including the markets on which these products trade and the Digital Asset Interpretation does not include in its taxonomy digital derivatives or digital swaps or address regulation regarding these products.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Under the </w:t>
      </w:r>
      <w:r>
        <w:rPr>
          <w:rFonts w:ascii="Times New Roman" w:hAnsi="Times New Roman"/>
          <w:color w:val="231F20"/>
          <w:sz w:val="20"/>
        </w:rPr>
        <w:t>Digital Asset Interpretation</w:t>
      </w:r>
      <w:r>
        <w:rPr>
          <w:rFonts w:ascii="Times New Roman" w:hAnsi="Times New Roman"/>
          <w:color w:val="000000"/>
          <w:sz w:val="20"/>
        </w:rPr>
        <w:t>, even if a crypto asset is deemed to be a non-security crypto asset (such as a digital commodity), the interpretation takes the view that the non-security crypto asset may still be subject to an investment contract, even in the secondary market, and thus secondary market transactions, even in such non-security crypto assets, might be subject to the federal securities laws. While the Digital Asset Interpretation conveys the SEC’s views on how the definition of “security” applies to crypto assets, it does not have the binding force of a regulation adopted through notice-and-comment rulemaking. Accordingly, courts are not bound by it and may reach different conclusions, and the SEC could revise or withdraw it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we will be able to register under the Investment Company Act of 1940 at such time, or take such other actions as may be necessary to ensure our activities comply with applicable law, which could force us to liquidate our LTC holdings.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with any computer network, digital asset networks are vulnerable to various kinds of attacks and disruptions. As LTC operates on a decentralized network, it is highly resistant to hacking attacks. Although LTC may be less susceptible to attack than other cryptocurrencies, transfer of digital assets on blockchains are vulnerable to certain types of exploits.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our LTC accounts requires private keys to initiate transactions and three separate keys for approval. If any single approval key was lost, destroyed or otherwise compromised, we may be unable to access our LTC holdings until such approval key was replaced. The processes by which LTC transactions are settled are dependent on the LTC peer-to-peer network, and as such, we are subject to operational risk. A risk also exists with respect to previously unknown technical vulnerabilities, which may adversely affect the value of LTC.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Drug Candidate Development Programs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drug candidate pipeline includes voruciclib, an oral CDK9 inhibitor and zandelisib, </w:t>
      </w:r>
      <w:r>
        <w:rPr>
          <w:rFonts w:ascii="Times New Roman" w:hAnsi="Times New Roman"/>
          <w:color w:val="231F20"/>
          <w:sz w:val="20"/>
        </w:rPr>
        <w:t>an oral selective PI3Kδ inhibitor. In October 2024, we sold ME-344, a small molecule mitochondrial inhibitor targeting the oxidative phosphorylation pathway, to Aardvark Therapeutics, Inc. for development in obesity and metabolic diseases, with potential for future milestone payments of up to $62.0 million upon reaching prespecified development and commercialization targets.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Voruciclib: Oral CDK9 Inhibitor 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CDK9 has important functions in cell cycle regulation, and its modulation has potential applicability in cancer and autoimmune diseases. </w:t>
      </w:r>
      <w:r>
        <w:rPr>
          <w:rFonts w:ascii="Times New Roman" w:hAnsi="Times New Roman"/>
          <w:color w:val="231F20"/>
          <w:sz w:val="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r>
        <w:rPr>
          <w:rFonts w:ascii="Times New Roman" w:hAnsi="Times New Roman"/>
          <w:color w:val="000000"/>
          <w:sz w:val="20"/>
        </w:rPr>
        <w:t>. Inhibition of Mcl-1 also leads to apoptosis or alteration of differentiation of T lymphocytes and macrophages, which is relevant for the treatment of nononcologic diseases</w:t>
      </w:r>
      <w:r>
        <w:rPr>
          <w:rFonts w:ascii="Times New Roman" w:hAnsi="Times New Roman"/>
          <w:color w:val="231F2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Voruciclib, a selective oral CDK9 inhibitor, was studied in a Phase 1 trial as a single agent in patients with acute myeloid leukemia (AML) and B-cell malignancies and in combination with the B-cell lymphoma 2 (BCL-2) inhibitor venetoclax (marketed as Venclexta®) in patients with AML. These studies showed the anticipated decreases in Mcl-1 protein as reported by Davids et al (Blood Advances. 2025;9(4):820-832) and Alvarado-Valero et al (Blood Neoplasia. 2025;2(3):100108). Previously, voruciclib had been evaluated by Piramal Enterprises Limited in three clinical studies in patients with solid tumors. All voruciclib clinical trial activities were ceased in September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evaluating voruciclib in a pre-clinical development program for nononcologic diseases and commenced these activities in the second quarter of fiscal year 2026. Preliminary ex vivo study results showed modulation of immune cell subsets, which support further development in animal models.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Zandelisib: Oral PI3Kδ Inhibitor 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Zandelisib is an oral, once-daily, selective PI3Kδ inhibitor that was being developed for the treatment of indolent B-cell lymphomas. In November 2022 we announced the discontinuation of zandelisib development after a meeting with the U.S. Food and Drug Administration (the FDA), in which the FDA recommended modifications to the phase 3 registration study that we deemed not feasible to complete in a time frame that would support further investments. Currently, we are not conducting any clinical trial activities for zandelisib and are assessing potential out-licensing or sale related opportunities.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marketplace for our drug candidates is highly competitive. A number of other companies have products or drug candidates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products that receive regulatory approval, such products may not compete successfully with products produced by our competitors or with products that may subsequently receive regulatory approval.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similar drugs have significantly greater capital resources, larger research and development staffs and facilities and greater experience in drug development, regulation, manufacturing, marketing and commercialization than we do. They compete with us in recruiting sites and eligible patients to participate in clinical studies and in attracting development and/or commercialization partners. They also license technologies that are competitive with our technologies. As a result, our competitors may be able to more easily develop technologies and products that would render our technologies or our drug candidates obsolete or non-competitive.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own, by assignment or exclusive license, worldwide rights to each of our current drug candidates.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have acquired from Presage Biosciences, Inc. (Presage), and additionally have created internally, exclusive worldwide rights to develop, manufacture and commercialize voruciclib, crystal forms of voruciclib, related formulations and methods of use. The U.S. Patent and Trademark Office (USPTO) has granted one U.S. patent covering a crystal form of voruciclib which is projected to expire in 2042, not including any patent term extension. Additionally, there are approximately six allowed or issued foreign patents, two pending U.S. patent applications, and eleven pending foreign patent applications for crystal forms of voruciclib, related formulations and methods of use.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have acquired, by assignment, worldwide rights to zandelisib and other related compounds from Pathway Therapeutics, Inc. The USPTO has issued nine patents covering zandelisib as composition of matter, pharmaceutical compositions, methods of use to treat cancer and combinations with additional therapies. The issued U.S. patents with composition of matter claims covering zandelisib are projected to expire between 2030 and 2032, not including any patent term adjustment and patent term extension. There are approximately 31 foreign patents granted and one pending foreign patent application directed to zandelisib and related compounds or methods of use thereof.</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success depends in large part on our ability to protect our proprietary technologies, compounds and information and to operate without infringing the proprietary rights of third parties. We rely on a combination of patent, trade secret, copyright and trademark laws, as well as confidentiality, licensing and other agreements, to establish and protect our proprietary rights. We seek patent protection for our key inventions, including drug candidates we identify, routes for chemical synthesis and pharmaceutical formulations. There is no assurance that any of our pending patent applications will issue, or that any of our patents will be enforceable or will cover a drug or other commercially significant product or method. In addition, we regularly review our patent portfolio to identify patents and patent applications that we deem to have relatively low value to our ongoing business operations for potential abandonment. There is also no assurance that we will correctly identify which of our patents and patent applications should be maintained and which should be abandoned. The term of most of our other current patents commenced and most of our future patents, if any, will commence, on the date of issuance and terminate 20 years from the earliest effective filing date of the non-provisional patent application. Because any marketing and regulatory approval for a drug often occurs several years after the related patent application is filed, the resulting market exclusivity afforded by any patent on our drug candidates and technologies will likely be substantially less than 20 years.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As most patent applications in the U.S. are maintained as confidential until published by the USPTO at 18 months from filing for all cases filed after November 29, 2000, or at issue, for cases filed prior to November 29, 2000, we cannot be certain that we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Presage were the first to make the inventions covered by the patents and applications referred to above. Additionally, publication of discoveries in scientific or patent literature often lags behind the actual discoveries. Moreover, pursuant to the terms of the Uruguay Round Agreements Act, patents filed on or after June 8, 1995, have a term of twenty years from the date of such filing except for provisional applications, irrespective of the period of time it may take for such patent to ultimately issue. This may shorten the period of patent protection afforded to therapeutic uses of zandelisib or voruciclib as patent applications in the biopharmaceutical sector often take considerable time to issue. However, in some countries the patent term may be extended.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order to protect the confidentiality of our technology, including trade secrets and know-how and other proprietary technical and business information, we require all of our consultants, advisors and collaborators to enter into agreements that prohibit the use or disclosure of information that is deemed confidential. These agreements also oblige our consultants, advisors and collaborators to assign to us, or negotiate a license to developments, discoveries and inventions made by such persons in connection with their work relating to our products. We cannot be sure that confidentiality will be maintained by those from whom we have acquired technology or disclosure prevented by these agreements. We also cannot be sure that our proprietary information or intellectual property will be protected by these agreements or that others will not independently develop substantially equivalent proprietary information or intellectual property.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pharmaceutical industry is highly competitive and patents may have been applied for by and issued to other parties relating to products competitive with voruciclib or zandelisib. Use of these compounds and any other drug candidates may give rise to claims that they infringe the patents or proprietary rights of other parties, existing now and in the future. An adverse claim could subject us to significant liabilities to such other parties and/or require disputed rights to be licensed from such other parties. 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objective of our research and development (R&amp;D) program is the generation of data sufficient to meet medical needs and develop a clinical and commercial profile with attractive attributes and/or allow us to enter a development and/or commercial relationship with another party. The data are generated by our pre-clinical studies and clinical trial programs.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key aspects of our R&amp;D program have been to provide a complete characterization of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relevant molecular targets of action of our drug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relative therapeutic benefits and indications for use of our drug candidates as a monotherapy or as part of combinational therapy with other agents;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most appropriate therapeutic indications and dosage forms for voruciclib or zandelisib, based upon pre-clinical findings.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U.S. Regulatory Requirements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U.S. Food and Drug Administration (FDA) and comparable regulatory agencies in other countries, regulate and impose substantial requirements upon the research, development, nonclinical and clinical testing, labeling, manufacture, quality control, storage, approval, advertising, promotion, marketing, distribution, import and export of pharmaceutical products, as well as significant reporting and record-keeping obligations. State governments may also impose obligations in these and other areas. These requirements are extensive and are frequently changing.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U.S., pharmaceutical products are regulated by the FDA under the Federal Food, Drug and Cosmetic Act (FDCA) and other laws. The process required by the FDA before drugs may be marketed in the U.S. generally involves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nonclinical laboratory evaluations, including formulation and stability testing and animal tests performed under the FDA’s Good Laboratory Practices (GLP) regulations to assess pharmacological activity and toxicity potential. The FDA, however, has announced a plan to phase out certain animal testing for certain kinds of drugs, potentially replacing animal testing with new approach methodologies with an initial focus on monoclonal antibodies;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an investigational new drug (IND) application, including results of nonclinical tests, manufacturing information and protocols for clinical tests, which must become effective before clinical trials may begin in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approval of institutional review boards (IRBs) to administer the products to human subjects in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adequate and well-controlled human clinical trials to establish the safety and efficacy of the product for the product’s intended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development of manufacturing processes which conform to the FDA’s current Good Manufacturing Practices (cGMP), as confirmed by FDA inspection (remotely or in person);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results for nonclinical, toxicology and clinical studies and chemistry, manufacture and control information on the product to the FDA in a new drug application (NDA);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review and approval of an NDA, prior to any commercial sale or shipment of a product.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testing and approval process requires substantial time, effort and financial resources and we cannot be certain that we will be able to ultimately submit marketing applications for any of our product candidates, that our development efforts will prove to be successful, that our studies will have positive outcomes, or that any approval will be granted on a timely basis, if at all.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results of the nonclinical studies, together with initial specified manufacturing information, the proposed clinical trial protocol and information about the participating investigators are submitted to the FDA as part of an investigational new drug (IND) application, which must become effective before we may begin human clinical trials in the U.S. Clinical trials must be conducted in accordance with federal regulations and Good Clinical Practice (GCP) requirements and with investigational products that follow cGMP. GCPs include, among other requirements, the requirements related to monitoring, drug accountability, data integrity and that all research subjects provide their informed consent in writing for their participation in any clinical trial. FDA has issued a number of guidances regarding the conduct of clinical studies including with respect to good clinical practices and the conduct of different clinical studies. Following issuance of a final guidance, the FDA will further be requiring diversity action plans for certain clinical studies.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Additionally, an independent IRB must review and approve each study protocol and oversee conduct of the trial. An IND becomes effective 30 days after receipt by the FDA, unless the FDA, within the 30-day period, raises concerns or questions about the conduct of the trials as outlined in the IND and imposes a clinical hold. If the FDA imposes a clinical hold at any time before or during clinical trials, the IND sponsor must resolve the FDA’s concerns before clinical trials can begin or continue. Nonclinical tests and studies can take several years to complete and there is no guarantee that an IND that is submitted based on such tests and studies will become effective within any specific time period, if at all.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Sponsors must make certain reports and submissions to the FDA and global health authorities, as appropriate, and to clinical investigators who, in turn, make certain reports and submissions to the IRB or ethics committee, including annual reports and reports of investigator financial interests, serious adverse events and other significant safety information, study amendments and new study protocols. Information about certain clinical trials, including a description of the study and study results, must also be submitted within specific time frames to the National Institutes of Health (the NIH), for public dissemination on the clinicaltrials.gov website. Sponsors of investigational products for serious diseases must also have a publicly available policy on requests for expanded access.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Investigational drugs and active ingredients imported into the U.S. are also subject to regulation by the FDA. Further, the export of investigational products outside of the U.S. is subject to regulatory requirements of the receiving country as well as U.S. export requirements under the FDCA.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Human clinical trials are typically conducted in three sequential phases that may overlap.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sz w:val="20"/>
        </w:rPr>
      </w:pPr>
      <w:r>
        <w:rPr>
          <w:rFonts w:ascii="Times New Roman" w:hAnsi="Times New Roman"/>
          <w:i/>
          <w:color w:val="231F20"/>
          <w:sz w:val="20"/>
        </w:rPr>
        <w:t>Phase 1</w:t>
      </w:r>
      <w:r>
        <w:rPr>
          <w:rFonts w:ascii="Times New Roman" w:hAnsi="Times New Roman"/>
          <w:color w:val="231F20"/>
          <w:sz w:val="20"/>
        </w:rPr>
        <w:t>: The drug is initially introduced into healthy human subjects or patients and tested for safety and dosage tolerance. Absorption, metabolism, distribution and excretion testing is generally performed at this stage.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sz w:val="20"/>
        </w:rPr>
      </w:pPr>
      <w:r>
        <w:rPr>
          <w:rFonts w:ascii="Times New Roman" w:hAnsi="Times New Roman"/>
          <w:i/>
          <w:color w:val="231F20"/>
          <w:sz w:val="20"/>
        </w:rPr>
        <w:t>Phase 2</w:t>
      </w:r>
      <w:r>
        <w:rPr>
          <w:rFonts w:ascii="Times New Roman" w:hAnsi="Times New Roman"/>
          <w:color w:val="231F20"/>
          <w:sz w:val="20"/>
        </w:rPr>
        <w:t>: The drug is studied in controlled, exploratory therapeutic trials in a limited number of subjects with the disease or medical condition for which the new drug is intended to be used in order to identify possible adverse effects and safety risks, to determine the preliminary or potential efficacy of the product for specific targeted diseases or medical conditions and to determine dosage tolerance and the optimal effective dose.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sz w:val="20"/>
        </w:rPr>
      </w:pPr>
      <w:r>
        <w:rPr>
          <w:rFonts w:ascii="Times New Roman" w:hAnsi="Times New Roman"/>
          <w:i/>
          <w:color w:val="231F20"/>
          <w:sz w:val="20"/>
        </w:rPr>
        <w:t>Phase 3</w:t>
      </w:r>
      <w:r>
        <w:rPr>
          <w:rFonts w:ascii="Times New Roman" w:hAnsi="Times New Roman"/>
          <w:color w:val="231F20"/>
          <w:sz w:val="20"/>
        </w:rPr>
        <w:t>: When Phase 2 studies demonstrate that a specific dosage range of the drug may be efficacious and the drug has an acceptable safety profile for further investigation, controlled, large-scale therapeutic Phase 3 trials are undertaken at multiple study sites to demonstrate clinical efficacy and to further test for safety in an expanded patient population. The FDA typically requires an NDA include data from adequate and well-controlled clinical trials which provide substantial evidence of efficacy.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Concurrent with clinical trials, companies usually complete additional nonclinical and toxicology studies and must also develop additional information about the chemistry, manufacturing and controls (CMC) of the product candidate.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Some clinical trials are overseen by an independent group of qualified experts organized by the clinical trial sponsor, known as a data monitoring committee. This group reviews data and advises the study sponsor regarding the continuing safety of the trial. This group may also review interim data to assess the continuing validity and scientific merit of the clinical trial. The data monitoring committee may advise the sponsor to halt the clinical trial, modify the clinical trial, or continue the clinical trial depending on safety results and the trial’s likelihood of success.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cannot be certain that we will successfully complete clinical testing of our products within any specific time period, if at all. Furthermore, the FDA, the IRB or we may suspend or terminate clinical trials at any time on various grounds, including a finding that the subjects or patients are being exposed to an unacceptable safety risk or noncompliance with applicable regulatory requirements.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Results of nonclinical and toxicology studies and clinical trials, as well as detailed information about the manufacturing process, quality control methods and product composition, among other things, are submitted to the FDA as part of an NDA seeking approval to market and commercially distribute the product on the basis of a determination that the product is safe and effective for its intended use. Once the FDA receives an application, it has 60 days to review the NDA to determine if it is substantially complete to permit a substantive review, before it accepts the application for filing. The FDA may request additional information rather than accept an application for filing. In this event, the application must be resubmitted with the additional information. Once the submission is accepted for filing, the FDA begins an in-depth substantive review. Under the goals agreed to by the FDA under the Prescription Drug User Fee Act (PDUFA), the agency currently aims to review 90% of all applications for new molecular entities within ten months of the 60-day filing date for a standard review. The PDUFA date is only a goal, thus, the FDA does not always meet its PDUFA dates. The PDUFA date may also be extended if the FDA requests or the sponsor provides substantial additional information regarding the submission.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FDA may refer certain applications to an advisory committee, which is a panel of experts that make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Before approving an NDA, the FDA will inspect the facilities at which the product is manufactured and may inspect the sponsor, clinical study vendors and clinical sites at which the product candidate was studied and will not approve the product unless cGMP and GCP compliance are satisfactory. Inspections may be in-person or conducted remotely. If applicable regulatory criteria are not satisfied, the FDA may issue a complete response letter (CRL) to the sponsor requiring additional nonclinical or clinical studies or data or additional CMC information. If a CRL is issued, the applicant may either: resubmit the marketing application, addressing all of the deficiencies identified in the letter; withdraw the application; or request an opportunity for a hearing. In 2025, the FDA started publicly releasing complete response letters after issuance, for both products that eventually obtained approval and products that have not yet received approval.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Once the FDA determines that the approval requirements are met, it will issue an approval letter that authorizes commercial marketing of the product with specific prescribing information for specific indications. As a condition of approval, the FDA also may require post-marketing commitments and requirements, including studies and/or surveillance to monitor the product’s safety or efficacy. The FDA also may require a Medication Guide and also a risk evaluation and mitigation strategy (REMS), or other conditions for a product’s approval or following approval to ensure that the benefits of the product candidate outweigh the risks. Moreover, even if the FDA approves a product, it may limit the approved indications or populations for use of the product, require that contraindications, warnings, or precautions be included in the product labeling, including a black box warning, impose other conditions, such as post-approval studies, or may not approve label statements that are necessary for successful commercialization and marketing.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Even after an NDA is approved, the FDA may impose additional obligations or restrictions (such as labeling changes, or clinical post-marketing requirements), or even suspend or withdraw a product approval or require additional testing or label revisions on the basis of data that arise after the product reaches the market, or if compliance with regulatory standards is not maintained. We cannot be certain that any NDA we submit will be approved by the FDA for full or accelerated approval on a timely basis, if at all. Also, any such approval may limit the indicated uses for which the product may be marketed. Any refusal to approve, delay in approval, suspension or withdrawal of approval, or restrictions on indicated uses could have a material adverse impact on our business prospects.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Each NDA must be accompanied by a substantial user fee pursuant to the requirements of the PDUFA and its amendments. Fee waivers or reductions are available in certain circumstances. Following product approval, drug products are also subject to annual program fees. The FDA adjusts the PDUFA user fees on an annual basis. Subject to meeting certain requirements, a written request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can be submitted for a waiver for the application fee for the first human drug application that is filed by a small business, but there are no small business waivers for program fees. Product candidates that are designated as orphan products are not subject to application user fees unless the application includes an indication other than the orphan indication and may be exempt from program fees if certain criteria are met. We are not at the stage of development with our products where we are subject to these fees, but they are significant expenditures that may be incurred in the future and must be paid at the time of application submissions to the FDA.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Satisfaction of FDA requirements typically takes many years. The actual time required varies substantially, based upon the type, complexity and novelty of the pharmaceutical product, among other things. Government regulation imposes costly and time-consuming requirements and restrictions throughout the product life cycle and may delay product marketing for a considerable period of time, limit product marketing, or prevent marketing altogether. Success in nonclinical or early-stage clinical trials does not ensure success in later stage clinical trials. Data obtained from nonclinical and clinical activities are not always conclusive and may be susceptible to varying interpretations that could delay, limit, or prevent marketing approval. Even if a product receives marketing approval, the approval is limited to specific clinical indications. Further, even after marketing approval is obtained, the discovery of previously unknown problems with a product may result in restrictions on the product or even complete withdrawal of the product from the market.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After product approval, there are continuing significant regulatory requirements imposed by the FDA, including record-keeping requirements, obligations to report adverse side effects in patients using the products and restrictions on advertising and promotional activities. Failure to comply with the applicable laws and regulations can have negative consequences, including FDA and other governmental authority enforcement actions. In fact, in 2025, FDA increased its enforcement activity regarding promotion and advertising, both in the areas of promotional statements to healthcare providers and direct to consumer advertising.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Manufacturers and others involved in the manufacture and distribution of such products also must register their establishments with the FDA and certain state agencies and provide information regarding the products that they manufacture. Quality control and manufacturing procedures must continue to conform to cGMPs and the FDA periodically inspects facilities, via in person inspections or remote regulatory assessments, to assess cGMP compliance. Additionally, post-approval changes in ingredient composition, manufacturing processes or facilities, product labeling, or other areas may require submission of an NDA Supplement to the FDA for review and approval. New indications will require additional clinical studies and submission of an NDA Supplement. Commercially distributed products are also subject to a variety of additional requirements, including requirements regarding tracking, tracing and supply chain integrity; and requirements related to drug shortages and drug shortage prevention.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Failure to comply with the FDA’s regulatory requirements may result in an enforcement action by the FDA, including clinical holds, refusal to approve marketing applications or supplements, Warning Letters, product recalls, suspension or revocation of product approval, seizure of product to prevent distribution, impositions of injunctions prohibiting product manufacture or distribution and civil and criminal penalties, among other actions. Maintaining compliance is costly and time-consuming. We cannot be certain that we, or our present or future suppliers or third-party manufacturers, will be able to comply with all FDA regulatory requirements and potential consequences of noncompliance could have a material adverse impact on our business prospects.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FDA’s policies may change and additional governmental regulations may be enacted that could delay, limit, or prevent regulatory approval of our products, that require that we implement additional compliance steps, or affect our ability to manufacture, market, or distribute our products after approval.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activities also may be subject to state laws and regulations that affect our ability to develop and sell our products. We are also subject to numerous federal, state and local laws relating to such matters as safe working conditions, clinical, laboratory and manufacturing practices, environmental protection, fire hazard control and disposal of hazardous or potentially hazardous substances. We may incur significant costs to comply with such laws and regulations now or in the future and the failure to comply may have a material adverse impact on our business prospects.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FDCA includes provisions designed to facilitate the development and expedite the review of drugs intended for treatment of serious or life-threatening conditions that demonstrate the potential to address unmet medical needs for such conditions or present a significant improvement over existing therapy. These provisions set forth a procedure for designation of a drug as a fast track product. The fast track designation applies to the combination of the product and specific indication for which it is being studied. A product designated as fast track is ordinarily eligible for additional programs for expediting development and review, such as increased FDA interactions and rolling submission of the application.</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Products that are intended to treat serious or life-threatening conditions and that provide a meaningful therapeutic benefit over existing treatments may also be eligible for accelerated approval. Drug approval under the accelerated approval regulations may be based on evidence of clinical effect on a surrogate endpoint that is reasonably likely to predict clinical benefit. A post-marketing clinical study will be required to be completed to verify clinical benefit and other restrictions to assure safe use may be imposed. </w:t>
      </w:r>
      <w:r>
        <w:rPr>
          <w:rFonts w:ascii="Times New Roman" w:hAnsi="Times New Roman"/>
          <w:color w:val="000000"/>
          <w:sz w:val="20"/>
        </w:rPr>
        <w:t xml:space="preserve">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date of approval of an accelerated approval product, the FDA must specify the conditions for the required post approval studies, including enrollment targets, the study protocol, milestones and target completion dates. The FDA may also require that the confirmatory Phase 4 studies be commenced prior to the FDA granting a product accelerated approval. Reports on the progress of the required Phase 4 confirmatory studies must be submitted to the FDA every 180 days after approval. </w:t>
      </w:r>
      <w:r>
        <w:rPr>
          <w:rFonts w:ascii="Times New Roman" w:hAnsi="Times New Roman"/>
          <w:color w:val="231F20"/>
          <w:sz w:val="20"/>
        </w:rPr>
        <w:t xml:space="preserve">Failure to conduct required post-approval studies, or confirm a clinical benefit, will allow the FDA to withdraw the drug from the market on a statutorily defined expedited basis. </w:t>
      </w:r>
      <w:r>
        <w:rPr>
          <w:rFonts w:ascii="Times New Roman" w:hAnsi="Times New Roman"/>
          <w:color w:val="000000"/>
          <w:sz w:val="20"/>
        </w:rPr>
        <w:t>Failure to conduct the required Phase 4 confirmatory studies or to conduct such studies with due diligence, as well as failure to submit the required update reports can subject a sponsor to penalties. I</w:t>
      </w:r>
      <w:r>
        <w:rPr>
          <w:rFonts w:ascii="Times New Roman" w:hAnsi="Times New Roman"/>
          <w:color w:val="231F20"/>
          <w:sz w:val="20"/>
        </w:rPr>
        <w:t>n recent years, the accelerated approval pathway has come under significant FDA and public scrutiny. Accordingly, the FDA may be more conservative in granting accelerated approval or, if granted, may be more apt to withdraw approval if clinical benefit is not confirmed or the risk benefit assessment changes.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third potential designation that may be available is breakthrough therapy designation. A breakthrough therapy is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Products designated as breakthrough therapies are eligible for intensive FDA guidance, a commitment from the FDA to involve senior managers and experienced review staff in a proactive collaborative and cross-disciplinary review, rolling submission of the application and the facilitation of cross-disciplinary review.</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Finally, if a product is intended to treat a serious condition and, if approved, would provide significant improvements in the safety or effectiveness of the treatment, diagnosis, or prevention of the condition, the product may be eligible for priority review meaning that the FDA’s goal for the review of an NDA is shortened to six months (after a two month period during which the FDA decides whether the application is ready for filing) rather than the standard review of ten months from application acceptance. If we should seek additional designations for any of our programs, we cannot be assured that it will be granted by the FDA. There is also no guarantee that we will be able to maintain any designation that we have received or may receive.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Following the FDA’s approval of an NDA, sponsors are required to list with the FDA each patent with claims that cover the applicant’s drug or a method of using the drug. These patents are published in the FDA’s list of Approved Drug Products with Therapeutic Equivalence Evaluations, commonly known as the Orange Book. Drugs listed in the Orange Book can be cited by potential competitors as a reference listed drug in support of a 505(b)(2) NDA or an Abbreviated New Drug Application, (ANDA). In an effort to clarify which patents must be listed in the Orange Book, in January 2021, Congress passed the Orange Book Transparency Act of 2020, which largely codified the FDA’s existing practices into the FDCA. Listing patents in the Orange Book that do not qualify for listing can be considered to be anticompetitive conduct and, the Federal Trade Commission has sent letters to a number of companies with respect to certain patents that the agency asserted were improperly listed or inaccurate. Listings have also been the subject of court cases.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An ANDA provides for marketing of a generic drug product that has the same active ingredients, dosage form, strength, route of administration, labeling, performance characteristics and intended use as a previously approved product. ANDA applicants generally must only scientifically demonstrate that their product is bioequivalent to, or performs in the same manner as, the innovator drug and can often be substituted by pharmacists under prescriptions written for the reference listed drug.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Generally, the FDA may not approve an abbreviated new drug application (ANDA) or 505(b)(2) NDA unless the reference listed drug’s Orange Book listed patents have expired and/or if the applicant certifies that it is not seeking approval for a patented method of use. The FDA may approve these applications, however, if the 505(b)(2) NDA or ANDA sponsor certifies that the Orange Book listed patents for the reference listed drug are invalid or will not be infringed upon by the manufacture, use or sale of the drug product for which the application is submitted. This latter certification is called a paragraph IV certification. If the ANDA or 505(b)(2) NDA applicant has made a paragraph IV certification, following notice to the NDA and patent holders, the NDA and patent holders may then initiate a patent infringement lawsuit. If a lawsuit is brought,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Congress and U.S. federal administrative agencies have taken certain measures to increase drug competition and thus decrease drug prices, including by facilitating 505(b)(2) NDAs and ANDAs and by introducing additional products into the U.S. market. For example, the FDA finalized a rule and a guidance to facilitate drug importation. Congress also passed a bill requiring sponsors of NDA products to provide sufficient quantities of drug product on commercially reasonable market-based terms to entities developing generic and 505(b)(2) products. This bill also included provisions on shared and individual REMS for generic drug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Drug Price Competition and Patent Term Restoration Act of 1984, a sponsor may obtain marketing exclusivity for a specified period of time following FDA approval of certain drug applications. For example, new drugs containing new chemical entities that have not been previously approved by the FDA may obtain five years of exclusivity.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This exclusivity is not absolute. For instance, it will not delay the submission or approval of a full NDA; though, an applicant submitting a full NDA would be required to conduct or obtain a right of reference to all of the pre-clinical studies and adequate and well-controlled clinical trials necessary to demonstrate safety and efficacy.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Following NDA approval, a patent owner may obtain an extension of a single unexpired patent that has not previously been extended. The period of the extension is calculated using an equation that takes into account one-half the period of time elapsed between the filing of an IND and the filing of the corresponding NDA and the period of time between the filing of the NDA and FDA approval, subject to reductions for any time the applicant did not act with due diligence and a five-year maximum patent extension. The total patent life of the product with the extension cannot exceed fourteen years from the product’s approval date. The period of patent extension may also be reduced for any time that the applicant did not act with due diligence. We cannot be certain that we will be able to take advantage of either the patent term extension or marketing exclusivity provisions of these laws or that, if received, they will adequately protect any approved products from competition.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Best Pharmaceuticals for Children Act (BPCA) adds an additional six months of marketing exclusivity and patent protection to unexpired exclusivities and unexpired patents listed with the FDA for NDA applicants that conduct acceptable pediatric studies of new and currently marketed drug products for which pediatric information would be beneficial, as identified by the FDA in a Pediatric Written Request. The data do not need to show the product to be effective in the pediatric population studied; rather, if the clinical trial is deemed to fairly address the agreement between the sponsor and the FDA in the Pediatric Written Request, the additional protection is granted.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Pediatric Research Equity Act (PREA) also requires that most applications for drugs include a pediatric assessment (unless waived or deferred) to ensure the drugs’ safety and effectiveness in children. Such pediatric assessment must contain data, gathered using appropriate formulations for each age group for which the assessment is required, that are adequate to assess the safety and effectiveness of the drug product for the claimed indications in all relevant pediatric subpopulations and to support dosing and administration for each pediatric subpopulation for which the drug product is safe and effective. The pediatric assessments can only be deferred provided there is a timeline for the completion of such studies. The FDA may waive (partially or fully) the pediatric assessment requirement for several reasons, including if the applicant can demonstrate that reasonable attempts to produce a pediatric formulation necessary for that age group have failed. Orphan products are also exempt from the PREA requirements.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For product candidates intended for the treatment of adult cancer which are directed at molecular targets that the FDA determines to be substantially relevant to the growth or progression of pediatric cancer must submit, prior to marketing application submission, an initial Pediatric Study Plan for FDA agreement and with the application, reports from molecularly targeted pediatric cancer clinical investigations designed to yield clinically meaningful pediatric study data, using appropriate pediatric formulations, to inform potential pediatric labeling. While orphan products are not exempt from this requirement, the FDA may grant full or partial waivers, or deferrals, for submission of data.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Orphan Drug Act, the FDA may grant orphan drug designation to drugs intended to treat a rare disease or condition, which generally is a disease or condition that affects fewer than 200,000 individuals in the U.S. Additionally, sponsors must present a plausible hypothesis for clinical superiority to obtain orphan drug designation if there is a product already approved by the FDA that is considered by the FDA to be the same drug as the already approved product and is intended for the same approved indication. Orphan drug designation does not convey any advantage in, or shorten the duration of, the regulatory review and approval process.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approved indication for a period of seven years, except in limited circumstances. By example, if there is already a product approved by the FDA that is the same drug for the same approved indication, the orphan designated product will only receive orphan drug exclusivity if clinical superiority is demonstrated upon approval. Competitors may also be able to receive approval for different drugs for the indication for which the orphan product has exclusivity or the same drug for a different indication.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Pharmaceutical Coverage, Pricing and Reimbursement &amp; Healthcare Reform</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addition, future sales of our products, if approved for marketing, will depend, in part, on the availability and extent of coverage and reimbursement by third-party payors, such as government healthcare programs, including Medicare and Medicaid,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commercial insurance and managed healthcare organizations. These third-party payors are increasingly challenging the price and limiting the coverage and reimbursement amounts for medical products and services. There may be significant delays in obtaining coverage and reimbursement for approved products and coverage may be more limited than the purposes for which the product is approved by the FDA or regulatory authority in other countries. It is time-consuming and expensive to seek reimbursement from third- party payors. Moreover, eligibility for reimbursement does not imply that any product will be paid for in all cases or at a rate that covers our costs, including research, development, manufacture, sale and distribution. In the United States, third-party payors often rely upon Medicare coverage policy and payment limitations in setting their own reimbursement policies, but they also have their own methods and approval process apart from Medicare coverage and reimbursement determinations.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the containment of healthcare costs has become a priority for federal and state governments and the prices of drugs have been a focus in this effort. The U.S. government, state legislatures and foreign governments have shown significant interest in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the product candidate and have a material adverse effect on our sales, results of operations and financial condition. 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healthcare program reimbursement methodologies for drug products.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drug price transparency measures and, in some cases, designed to encourage importation from other countries and bulk purchasing. We cannot be sure whether additional state legislation related to pricing and reimbursement will be enacted, or what impact, if any, such changes will have on the profitability of any of our drug candidates, if approved for commercial use, in the future.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August 16, 2022, President Biden signed into the law the Inflation Reduction Act of 2022, or the IRA. Among other things, the IRA has multiple provisions that may impact the prices of drug products, such as negotiated ceiling prices and penalties for price increases that exceed the rate of inflation, that are both sold into the Medicare program and throughout the United States. Failure to participate in negotiations or to reach an agreement can result in a manufacturer being required to withdraw all drug products from coverage under Medicare and Medicaid. Drug price negotiations and other program implementation measures could further be affected by the ongoing changes in leadership at Health and Human Services (HHS) and the Centers for Medicare &amp; Medicaid Services (CMS) under the current administration. We cannot be sure whether additional legislation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to laws and regulations on pricing and reimbursement, our business activities must comply with numerous federal and state healthcare laws, including but not limited to, the federal Anti-Kickback Statute, the federal civil and criminal False Claims Acts, the civil monetary penalties statute, the federal Health Insurance Portability and Accountability Act of 1996 (HIPAA), the Affordable Care Act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will be subject to healthcare fraud and abuse and patient privacy regulation by both the federal government and the states and foreign jurisdictions in which we conduct our business.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noted above, the costs of compliance, risk of regulatory enforcement actions and private litigation under, and other burdens imposed by these laws could have an adverse impact on our business, reputation, financial condition, and results of operations. If we or our operations are found to be in violation of any federal or state healthcare law, or any other laws or regulations that apply to us, we may be subject to sanctions, including civil, criminal, and administrative penalties, damages, fines, disgorgement, suspension and debarment from government procurement and non-procurement programs, and refusal of orders under existing government contracts, exclusion from participation in U.S. federal or state health care programs, corporate integrity agreements, deferred and non-prosecution agreements, and the curtailment or restructuring of our operations, any of which could materially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Regulatory Changes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There have been a number of changes in the regulation of pharmaceutical products and legal standards, including the reduced level of judicial deference due to administrative agencies following a 2024 Supreme Court decision. This may introduce uncertainties with respect to how we or any product candidates may be regulated and our future likelihood of success. It is possible that new federal or state laws or regulations may be passed, or laws and regulations may be enforced differently than they were before, which may expose us to additional legal and regulatory risk or uncertainty and require the expenditure of additional resources to ensure that we are able to comply. Such actions could also adversely restrict our business and operations. There could also be changes in FDA’s approval standards that could impact our ability to obtain product approvals in the future and to competitively market any product candidates, including changes in product reimbursement to the extent applicable. Such changes may necessitate the conduct of additional development work, including pre-clinical and clinical trials and manufacturing development or may limit our ability to successfully market any product. Moreover, changes in the federal workforce, government shutdowns, and agency policies may result in regulatory delays or changes in administrative agencies’ regulatory approach. At the same time, FDA has created new programs intended to facilitate drug development, which, if we qualify for them, may provide new opportunities. Any of the foregoing may impact our business and results of operation.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Foreign Regulatory Requirements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Outside the U.S., our ability to market our products will also be contingent upon receiving marketing authorizations from the appropriate regulatory authorities and compliance with applicable post-approval regulatory requirements. Although the specific requirements and restrictions vary from country to country, as a general matter, foreign regulatory systems include risks similar to those associated with the FDA’s regulations, described above.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Under European Union (EU) regulatory systems, marketing authorization applications may be submitted either under a centralized procedure or a decentralized procedure (DCP). Under the centralized procedure, a single application to the European Medicines Agency (EMA) leads to an approval granted by the European Commission which permits the marketing of the product throughout the EU. The centralized procedure is mandatory for certain classes of medicinal products such as those containing new active substances for the treatment of oncology and other specified diseases and disorders. In addition, all medicinal products developed by certain biotechnological means must be authorized via the centralized procedure. The centralized procedure will apply to any of our products that are developed by means of a biotechnology process or are new substances intended for treatment of cancer. The DCP is used for products that are not eligible or not required to be authorized by the centralized procedure, although the centralized procedure can be used as an option for certain other products if relevant criteria are met. Since the exit of the United Kingdom (UK) from the European Union, the UK has been excluded from the centralized procedure. It will be necessary for applicants to make a separate application to the UK Medicines and Healthcare products Regulatory Agency (MHRA) for a UK marketing authorization. There is also an International Recognition Procedure, whereby the MHRA can take into account the expertise and decision-making of trusted reference regulatory partners in order to streamline the authorization process in the UK. The reference regulators includes the FDA and the European Commission, meaning if there is an authorization of our products in the U.S. or EU, this could be used to fast-track approval in the UK if the relevant conditions are met.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with FDA approval, we may not be able to secure regulatory approvals in the EU or UK in a timely manner, if at all. Additionally, as in the U.S., post-approval regulatory requirements, such as those regarding product manufacture, marketing, or distribution, would apply to any product that is approved in the EU and the entities involved in the supply chain of the product and failure to comply with such obligations could have a material adverse effect on our ability to successfully commercialize any product.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legislation in the EU is being substantially updated, with the new pharmaceutical legislation being agreed at the end of 2025. The legislation is expected to be finalized at the end of 2026, and will introduce changes to the product life cycle, subject to certain transition provisions.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conduct of clinical trials in the EU is governed by the European Clinical Trials Regulation (CTR), which came into application in January 2022. This CTR governs how regulatory bodies in member states authorize and manage clinical trials in the EU. No clinical trial may be started without a clinical trial authorization granted by the national competent authority in the relevant member state and a favorable ethics approval. Under the CTR, there is a single point of submission through the Clinical Trials Information System (CTIS), which is mandatory for all new clinical trial applications. With the exit of the UK from the EU in January 2021, the UK did not implement the CTR, although recent changes in the UK have updated the UK legislation to a similar framework as the EU CTR, and also seeks to streamline approval procedures (including a combined MHRA and ethics committee approval process).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Accordingly, there is a marked degree of change and uncertainty both in the regulation of clinical trials and in respect of marketing authorizations which we will face as we develop our products in the EU.</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do not have the facilities or capabilities to commercially manufacture any of our drug candidates. We are and expect to continue to be dependent on contract manufacturers for supplying our pre-clinical development program in nononcologic disease indications and any other future candidates, if applicable, for clinical trials and commercial scale manufacturing of our candidates in accordance with regulatory requirements, including cGMP. Contract manufacturers may utilize their own technology, technology developed by us, or technology acquired or licensed from third parties. FDA approval of the manufacturing procedures and the site will be required prior to commercial distribution.</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As of June 30, 2026, we had five employees whom all reside in the United States and were engaged in </w:t>
      </w:r>
      <w:r>
        <w:rPr>
          <w:rFonts w:ascii="Times New Roman" w:hAnsi="Times New Roman"/>
          <w:color w:val="000000"/>
          <w:sz w:val="20"/>
        </w:rPr>
        <w:t xml:space="preserve">business development, finance, information systems or administrative support. </w:t>
      </w:r>
      <w:r>
        <w:rPr>
          <w:rFonts w:ascii="Times New Roman" w:hAnsi="Times New Roman"/>
          <w:color w:val="231F20"/>
          <w:sz w:val="20"/>
        </w:rPr>
        <w:t>Our Chief Executive Officer and Chief Financial Officer has prior experience with pharmaceutical, biotechnology and medical product companies. Other personnel resources are used from time to time as consultants or third-party service organizations on an as-needed basis for treasury management and scientific and human resources activities. We believe that we have been successful in attracting skilled and experienced personnel, but there can be no assurance that we will be able to attract and retain the individuals needed.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strive to create a workplace of choice to attract, retain and develop top talent to achieve our strategic goals. We strive to maximize the potential of our human capital resources by creating a respectful, rewarding and inclusive work environment that enables our employees to further our mission. We adhere to a philosophy that includes, among other things, commitments to create ongoing job opportunities, pay fair wages and protect worker health and safety.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invest in our workforce by offering competitive salaries and benefits. We endeavor to foster a strong sense of ownership by offering stock options under our equity incentive plan. We also offer locally relevant benefits for all eligible employees.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None of our employees are represented by a labor union or covered by collective bargaining agreements. We have never experienced a work stoppage, and management believes our relations with employees to generally be positive.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Our annual reports on Form 10-K, quarterly reports on Form 10-Q, current reports on Form 8-K and amendments to those reports filed with or furnished to the SEC pursuant to Section 13(a) or 15(d) of the Securities Exchange Act of 1934, as amended, are available free of charge through our website at </w:t>
      </w:r>
      <w:r>
        <w:rPr>
          <w:rFonts w:ascii="Times New Roman" w:hAnsi="Times New Roman"/>
          <w:color w:val="000000"/>
          <w:sz w:val="20"/>
        </w:rPr>
        <w:t>https://litestrategy.com</w:t>
      </w:r>
      <w:r>
        <w:rPr>
          <w:rFonts w:ascii="Times New Roman" w:hAnsi="Times New Roman"/>
          <w:color w:val="231F20"/>
          <w:sz w:val="20"/>
        </w:rPr>
        <w:t xml:space="preserve"> as soon as reasonably practicable after they are electronically filed with, or furnished to, the SEC. Further, the SEC maintains an internet site that contains reports, proxy and information statements and other information regarding issuers that file electronically with the SEC and can be found on our EDGAR page at http://www.sec.gov.</w:t>
      </w:r>
    </w:p>
    <w:p>
      <w:pPr>
        <w:pStyle w:val="TextBody"/>
        <w:bidi w:val="0"/>
        <w:spacing w:before="240" w:after="283"/>
        <w:jc w:val="left"/>
        <w:rPr>
          <w:rFonts w:ascii="Times New Roman" w:hAnsi="Times New Roman"/>
          <w:b/>
          <w:color w:val="000000"/>
          <w:sz w:val="20"/>
        </w:rPr>
      </w:pPr>
      <w:bookmarkStart w:id="12" w:name="risk_factors"/>
      <w:bookmarkEnd w:id="12"/>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our securities involves a high degree of risk. You should consider carefully the risks described below, together with other information in this Annual Report and other public filings, before making investment decisions regarding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Moreover, the risks described below are not the only ones that we face. Additional risks not presently known to us or that we currently deem immaterial may also affect our business, operating results, prospects or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Investing in Litecoin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price of Litecoin has been and will likely continue to be, highly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Litecoin is a highly volatile asset that has traded between $39.39 and $135.56 per Litecoin in the 12 months ended June 30, 2026. More recently, during the second quarter of calendar year 2026, Litecoin has traded between $39.39 and $60.53 per Litecoin. In addition, Litecoin does not pay interest. The ability to generate a return on investment from the purchase of Litecoin will depend on whether there is appreciation in the value of Litecoin following our purchases. Future fluctuations in Litecoin’s trading prices may result in our converting Litecoin into cash with a value substantially below the cost of such purchases. Our Litecoin holdings are less liquid than our existing cash and cash equivalents and may not be able to serve as a source of liquidity for us to the same extent as cash and cash equivalents.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Litecoin at favorable prices or at all. Further, any Litecoin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Litecoin or otherwise generate funds using our Litecoin holdings, including in particular during times of market instability or when the price of Litecoin has declined significantly. If we are unable to sell our Litecoin, enter into additional capital raising transactions using Litecoin as collateral, or otherwise generate funds using our Litecoin holdings, or if we are forced to sell our Litecoin at a significant loss, in order to meet our working capital requirements, our business and financial condition could be negatively impacted.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launch of central bank digital currencies (CBDCs) may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introduction of a government-issued digital currency could eliminate or reduce the need or demand for private-sector issued crypto currencies, or significantly limit their utility. National governments around the world could introduce CBDCs, which could in turn limit the size of the market opportunity for cryptocurrencies, including Litecoin.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regulatory developments related to crypto assets and crypto asset markets, which could adversely affect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Litecoin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Litecoin. The U.S. federal government, states, regulatory agencies and foreign countries may also enact new laws and regulations, or pursue regulatory, legislative, enforcement or judicial actions, that could materially impact the price of Litecoin or the ability of individuals or institutions such as us to own or transfer Litecoin. On March 17, 2026, the SEC issued </w:t>
      </w:r>
      <w:r>
        <w:rPr>
          <w:rFonts w:ascii="Times New Roman" w:hAnsi="Times New Roman"/>
          <w:color w:val="231F20"/>
          <w:sz w:val="20"/>
        </w:rPr>
        <w:t>the Digital Asset Interpretation. In the Digital Asset Interpretation, the SEC classified crypto assets into five categories based on their characteristics, uses, and functions. “Digital commodities,” “digital collectibles” including “meme coins,” and “digital tools” are not themselves securities according to the SEC. The Digital Asset Interpretation identifies a number of specific crypto assets as digital commodities, including Litecoin. Additionally, the CFTC joined th</w:t>
      </w:r>
      <w:r>
        <w:rPr>
          <w:rFonts w:ascii="Times New Roman" w:hAnsi="Times New Roman"/>
          <w:color w:val="000000"/>
          <w:sz w:val="20"/>
        </w:rPr>
        <w:t xml:space="preserve">e </w:t>
      </w:r>
      <w:r>
        <w:rPr>
          <w:rFonts w:ascii="Times New Roman" w:hAnsi="Times New Roman"/>
          <w:color w:val="231F20"/>
          <w:sz w:val="20"/>
        </w:rPr>
        <w:t>Digital Asset Interpretation</w:t>
      </w:r>
      <w:r>
        <w:rPr>
          <w:rFonts w:ascii="Times New Roman" w:hAnsi="Times New Roman"/>
          <w:color w:val="000000"/>
          <w:sz w:val="20"/>
        </w:rPr>
        <w:t xml:space="preserve"> to provide guidance stating that the CFTC and its staff will administer the CEA consistent with such interpretation and continue to regulate Litecoin as a digital commodity.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Digital Asset Interpretation is not binding, Litecoin could be determined to constitute a security in the future either by the SEC or any other agency, or in a proceeding in a court of law or otherwise. If Litecoin is determined to constitute a security for purposes of the federal securities laws, the additional regulatory restrictions imposed by such a determination could adversely affect the market price of Litecoin and in turn adversely affect the market price of our common stock. Moreover, the risks of us engaging in a Litecoin treasury strategy could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Regulatory change reclassifying Litecoin as a security could lead to our falling within the definition of “investment company” under the Investment Company Act of 1940, as amended, or the 1940 Act and could adversely affect the market price of Litecoin and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Digital Asset Interpretation, the SEC stated its view that Litecoin is not a “security” for purposes of the federal securities laws. Such statement is not binding, so a determination by the SEC or a court of competent jurisdiction that Litecoin is a security could lead to our meeting the definition of “investment company” under the 1940 Act, if the portion of our assets that consists of investments in Litecoin exceeds the 40% limit prescribed in the 1940 Act, which would subject us to significant additional regulatory requirements that could have a material adverse effect on our business and operations and may also require us to change the manner in which we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monitor our assets and income in order to conduct our business activities in a manner such that we do not fall within the definition of “investment company” under the 1940 Act or would qualify under one of the exemptions or exclusions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by the 1940 Act and corresponding SEC rules. If Litecoin is determined to be a security for purposes of the federal securities laws, we would take steps to reduce our holdings of Litecoin as a percentage of our total assets. These steps may include, among others, selling Litecoin that we might otherwise hold for the long term and deploying our cash in assets that are not considered to be investment securities under the 1940 Act, in which case we may be forced to sell our Litecoin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Litecoin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Litecoin and in turn adversely affect the market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not subject to legal and regulatory obligations that apply to investment companies such as mutual funds and exchange-traded funds, or to obligations applicable to investment advisers.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Mutual funds, exchange-traded funds and their directors and management are subject to extensive regulation as “investment companies” and “investment advisers” under U.S. federal and state law; this regulation is intended for the benefit and protection of investors. We do not currently comply with and do not intend to voluntarily comply with these laws and regulations. This means, among other things, that the execution of or changes to our Litecoin strategy, our use of leverage, the manner in which our Litecoin is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has broad discretion over the investment, leverage and cash management policies it authorizes, whether in respect of our Litecoin holdings or other activities we may pursue and has the power to change our current policies, including our strategy of acquiring and holding Litecoin.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our third-party service providers experience a security breach or cyberattack and unauthorized parties obtain access to our Litecoin, or if our private keys are lost or destroyed, or other similar circumstances or events occur, we may lose some or all of our Litecoin and our financial condition and results of operations could be materially adversely affected.</w:t>
      </w:r>
    </w:p>
    <w:p>
      <w:pPr>
        <w:pStyle w:val="TextBody"/>
        <w:bidi w:val="0"/>
        <w:jc w:val="left"/>
        <w:rPr>
          <w:rFonts w:ascii="Times New Roman" w:hAnsi="Times New Roman"/>
          <w:color w:val="000000"/>
          <w:sz w:val="20"/>
        </w:rPr>
      </w:pPr>
      <w:r>
        <w:rPr>
          <w:rFonts w:ascii="Times New Roman" w:hAnsi="Times New Roman"/>
          <w:color w:val="000000"/>
          <w:sz w:val="20"/>
        </w:rPr>
        <w:t>We expect that substantially all of the Litecoin we acquire will be held in custody accounts at U.S.-based institutional-grade digital asset custodians. Security breaches and cyberattacks are of particular concern with respect to digital assets, including Litecoin. Litecoin and other blockchain-based cryptocurrencies and the entities that provide services to participants in the Litecoin ecosystem have been and may in the future be, subject to security breaches, cyberattacks, or other malicious activities. For example, in April 2026, it was reported that hackers attempted to create a fake transaction on the MWEB (Mimblewimble Extension Blocks) privacy layer for Litecoin. Although the transaction was mistakenly approved, the transaction was ultimately reversed by the chain by reorganizing several blocks. Other cryptocurrencies have experienced multiple blockchain reorganizations over the years in response to fraudulent transactions. A successful security breach or cyberattack could result 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partial or total loss of our Litecoin in a manner that may not be covered by insurance or the liability provisions of the custody agreements with the custodians who hold our Litecoin;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harm to our reputation and brand;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improper disclosure of data and violations of applicable data privacy and other laws; or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significant regulatory scrutiny, investigations, fines, penalties and other legal, regulatory, contractual and financial exposure.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Litecoin ecosystem or in the use of the Litecoin network to conduct financial transactions, which could negatively impact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Attacks upon systems across a variety of industries, including industries related to Litecoin,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preventative measures. Further, there has been an increase in such activities due to the increase in work-from-home arrangements.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Litecoin industry, including third-party services on which we rely, could materially and adversely affect our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Condition and Capital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from our inception and we anticipate that we may incur losses in the foreseeable future.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pharmaceutical company that has historically developed novel and differentiated cancer therapies and is currently assessing pre-clinical development programs in nononcologic disease indications. We also hold LTC tokens as a primary reserve asset as part of our broader institutional treasury strategy. As a result, our financial condition and results of operations are also exposed to fluctuations in the market price of LTC. Until July 2024, we had primarily focused our efforts on developing voruciclib, a selective orally administered CDK9 inhibitor and ME-344 (prior to its sale in October 2024), an intravenous small molecule mitochondrial inhibitor targeting the oxidative phosphorylation pathway, with the goal of achieving regulatory approval. We are currently evaluating voruciclib in nonclinical models to support its development in autoimmune diseases and commenced these activities in the second quarter of fiscal year 2026. </w:t>
      </w:r>
      <w:r>
        <w:rPr>
          <w:rFonts w:ascii="Times New Roman" w:hAnsi="Times New Roman"/>
          <w:color w:val="231F20"/>
          <w:sz w:val="20"/>
        </w:rPr>
        <w:t>Currently, we are not conducting any clinical trial activities for zandelisib and are assessing potential out-licensing or sale related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operating losses. During the fiscal year ended June 30, 2026, we incurred a net loss of $71.2 million, while during the fiscal year ended June 30, 2025, we had a net loss of $15.9 million. As of June 30, 2026, we have an accumulated deficit of $475.3 million. In connection with the termination of all prior clinical programs noted above, our R&amp;D expenses have decreased.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operating and net losses, as we develop and seek development and/or commercial relationships with other partners for our drug candidates. In addition, because we hold LTC as a primary reserve asset, fluctuations in the market price of LTC, including declines below our acquisition costs, may materially affect our financial condition and results of operations and could increase or contribute to our net losses. The market price of LTC has historically been volatile, and we cannot predict future LTC prices or the effect that changes in the value of our LTC holdings may have on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results may fluctuate significantly from year to year, depending on changes in the market value of our LTC holdings, the timing of the development of our drug candidates or any future drug candidates, the timing of any clinical trials, the receipt of payments under any future agreements we may enter into and our expenditures on other R&amp;D activities as well as any payments owed under the License Agreement with Presage and any future similar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losses for the foreseeable future as we: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the pre-clinical development of any drug candidate;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maintain, expand and protect our global intellectual property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utilize consultants or third-party organizations or hire additional clinical, quality control and scientific personnel;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add operational, financial and management information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drug development, as well as the volatility associated with our LTC holdings, we are unable to accurately predict the timing or amount of increased expenses or when, or if, we will be able to achieve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additional funding and may be unable to raise capital when needed, which would force us to delay, reduce or eliminate our pre-clinical drug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to continue such development of our pre-clinical drug development programs or our Litecoin Treasury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current unrestricted cash and cash equivalents and unrestricted digital assets will be sufficient to fund our currently anticipated operating plan for at least the next 12 months. It is possible that the assumptions upon which we have based this estimate may prove to be wrong and we could use our capital resources sooner than we presently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but not limited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implementation and execution of our Litecoin Treasury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rate of progress and costs related to development of any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rate of progress and costs for any drug candidates that we may in-license or acquire in the future;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 associated with any drug candidate, including any such costs we may be required to expend if our licensors are unwilling or unable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terms and timing of any collaborative, licensing, co-promotion or other arrangements that we may establish.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capital requirements will also depend on the extent to which we acquire or invest in additional complementary businesses, products and technologies. Until we can generate a sufficient amount of revenue, if ever, we may seek to finance future cash needs through public or private equity offerings, debt financings, milestone and royalty payments from corporate collaboration and licensing arrangements, as well as through interest income earned on cash and investment balances. We cannot be certain that additional funding will be available on acceptable terms, or at all and our ability to raise additional capital may be adversely impacted by potential worsening global economic conditions, including high rates of inflation and interest rates, the continuing disruptions to and volatility in the credit and financial markets in the United States and worldwide, including resulting from the ongoing conflicts between Russia and the Ukraine, conflicts in the Middle East and increasing tensions between China and Taiwan.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left"/>
        <w:rPr>
          <w:rFonts w:ascii="Times New Roman" w:hAnsi="Times New Roman"/>
          <w:sz w:val="20"/>
        </w:rPr>
      </w:pPr>
      <w:r>
        <w:rPr>
          <w:rFonts w:ascii="Times New Roman" w:hAnsi="Times New Roman"/>
          <w:b/>
          <w:i/>
          <w:color w:val="000000"/>
          <w:sz w:val="20"/>
        </w:rPr>
        <w:t>The value of our intellectual property is dependent, in part, on obtaining and maintaining patent protection and preserving trade secrets, which cannot be guaranteed.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protection and trade secret protection are important to our business and our future will depend, in part on our ability to maintain trade secret protection, obtain patents and operate without infringing the proprietary rights of others both in the U.S. and abroad. Litigation or other legal proceedings may be necessary to defend against claims of infringement, to enforce our patents or to protect our trade secrets. Such litigation could result in substantial costs and diversion of our management’s attention.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pharmaceutical and biotechnology companies can be highly uncertain and involve complex legal and factual questions. We acquired patents and patent applications related to voruciclib from Presage in 2017 and in September 2013, we acquired patents and patent applications related to zandelisib from Pathway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applications may not proceed to grant or may be amended to reduce the scope of protection of any patent granted. The applications and patents may also be opposed or challenged by third parties. Should we resume development of our drug candidate or any future drug candidates, our commercial success will depend, in part, on our ability to obtain and maintain effective patent protection for our compounds and their use in treating, preventing, or curing cancer and to successfully defend patent rights in those technologies against third-party challenges. As patent applications in the U.S. are maintained in secrecy until published or issued and as publication of discoveries in the scientific or patent literature often lag behind the actual discoveries, we cannot be certain that we or Presage were the first to make the inventions covered by the pending patent applications or issued patents referred to above or that we or they were the first to file patent applications for such inventions. Additionally, the breadth of claims allowed in biotechnology and pharmaceutical patents or their enforceability cannot be predicted. We cannot be sure that, should any patents issue, we will be provided with adequate protection against potentially competitive products. Furthermore, we cannot be sure that should patents issue, they will be of commercial value to us, or that private parties, including competitors, will not successfully challenge our patents or circumvent our patent position in the U.S. or abroad.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Business Risks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consultants or commercial partners may engage in misconduct or other improper activities, including noncompliance with regulatory standards and requirements,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Misconduct by employees, independent contractors, consultants or commercial partners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(FCA), case against us even if the government considers the claim unmeritorious and declines to intervene, which could require us to incur costs defending against such a claim. Further, due to the risk that a judgment in an FCA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systems and those of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candidate development and, if such drug candidates are approved commercialization programs. For example, the loss of clinical trial data from completed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regulatory enforcement actions and the further development of any of our drug candidates could be delayed.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efforts will be seriously jeopardized if we are unable to retain and attract key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the continued contributions of our principal management, development and availability of consultants or third-party scientific personnel. We face competition for such personnel and we believe that risks and uncertainties related to our business, including the timing and risk associated with R&amp;D, our available and anticipated cash resources and the volatility of our stock price, may impact our ability to hire and retain key and other personnel. The loss of services of our Chief Executive Officer and Chief Financial Officer or other key employees could adversely impact our operations and ability to generate or raise additional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Negative U.S. and global economic conditions may pose challenges to our business strategy, which relies on funding from the financial markets or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conditions in the U.S. or global economy, including financial markets, may adversely affect our business and the business of current and prospective vendors, licensees and collaborators and others with whom we do or may conduct business. The duration and severity of these conditions is uncertain. If negative economic conditions occur, we may be unable to secure funding on terms satisfactory to us to sustain our operations or to find suitable collaborators to advance our internal programs, even if we achieve positive results from our pre-clinical drug development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Laws, rules and regulations relating to public companies may be costly and impact our ability to attract and retain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and regulations affecting public companies, including rules adopted by the SEC and by Nasdaq, may result in increased costs to us. These laws, rules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on our board committees or as executive officers. We cannot estimate accurately the amount or timing of additional costs we may incur to respond to these laws, rules and regulations.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Security breaches and privacy, data protection, cybersecurity, operational resilience and Artificial Intelligence (AI) issues could compromise our information and systems and expose us to liability, which would cause our business and reputation to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our service providers collect, store and otherwise process sensitive data, including intellectual property, our proprietary business information and that of our suppliers, as well as personal data (or other analogous terms such as personally identifiable information) of clinical trial participants, employees and other parties with whom we interact. Similarly, our third-party providers possess certain of our sensitive protected health data. The secure maintenance of this information is critical to our operations and business strategy. Despite our reasonable security and operational resilience measures, our information technology and infrastructure may be vulnerable to cyber-attacks unauthorized use or access, material disruptions including further to natural disaster, pandemics, epidemics, terrorism, war and telecommunications, electrical and other infrastructure failures, breaches or subject to other malicious and/or damaging security incidents including due to employee error, third-party malfeasance or other disruptions. Cyber-attacks and other security incidents are increasing in their frequency, levels of persistence, sophistication and intensity and are being conducted by sophisticated and organized groups and individuals with a wide range of motives and expertise, including state sponsored actors, organized criminal groups, "hacktivists," insiders, patient groups, disgruntled current or former employees and others.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and operational resilience measures become more sophisticated and such systems, controls and processes may not be successful in preventing a breach or other incident. Any such security incident could compromise our networks and the information stored there could be accessed, publicly disclosed, encrypted, lost, destroyed or stolen. We could be required to expend significant amounts of money and other resources to repair or replace information systems or networks. In addition, our liability insurance may not be sufficient in type or amount to cover us against claims related to security breaches, cyber-attacks and other related security incidents.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legislative and regulatory landscape for privacy and data protection continues to evolve and there has been an increasing amount of focus on privacy and data protection issues with the potential to affect our business, including compliance with the Health Insurance Portability and Accountability Act of 1996 and state laws requiring security breach notification.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collection and use of personal data, including health data, of individuals in and subject to the laws in the European Economic Area (EEA), Switzerland and UK is also governed by strict data protection laws. By way of example, since May 25, 2018, the General Data Protection Regulation (GDPR) has imposed obligations with respect to European Union personal data and substantial fines for breaches of the data protection rules and failing to comply with the GDPR or the UK implementation of the GDPR (as amended), could (in the worst case) attract regulatory penalties up to the greater of (i) €20 million / £17.5 million (as applicable); or (ii) 4% of an entire group's total annual worldwide turnover, as well as other enforcement actions, individuals may bring private actions (including potentially group or representative actions) against us. There is no statutory cap set out in the GDPR on the amount of compensation or the damages which individuals may recover. Claims that we have violated individuals' privacy and data protection rights, failed to comply with data protection law, or breached our contractual obligations, even if we are not found liable, could be expensive and time consuming to defend and could result in adverse publicity that could harm our business. The GDPR and other related laws increased our responsibility and potential liability in relation to personal data that we process and we were required to implement additional mechanisms to comply with the GDPR and related European laws. Enforcement uncertainty and the costs associated with ensuring compliance may be onerous and adversely affect our business, operating results, prospects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evaluate the legal issues that arise concerning transfer of personal data of persons located in or otherwise subject to the laws of the EEA member states, Switzerland or the UK to the U.S. or other jurisdictions that are not deemed adequate by the relevant supervisory authorities. Lite Strategy observes the applicable legal developments and maintains the appropriate data transfer mechanism(s). In addition to standard contractual clauses, we may rely on individual consents and/or authorizations of the patients where appropriate and necessary to safeguard the data flow from the EEA, Switzerland or UK to the U.S. or other jurisdictions. Present solutions to legitimize transfers of personal data from the EEA may be challenged or deemed insufficient. We may, in addition to other impacts, experience additional costs associated with increased compliance burdens and we and our customers face the potential for regulators in the EEA, Switzerland or UK to apply different standards to the transfer of personal data from the EEA, Switzerland or UK to the U.S. and other jurisdictions and to block, or require ad hoc verification of measures taken with respect to, certain data flows from the EEA, Switzerland or UK to the U.S. and other jurisdictions. We also may be required to engage in new contract negotiations with third parties that aid in processing data on our behalf. We may experience reluctance or refusal by current or prospective European clinical trial sites and CROs to use our products and we may find it necessary or desirable to make further changes to our processing of personal data of EEA, Switzerland or UK data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California and over a dozen other states have enacted consumer privacy laws which create individual privacy rights for consumers and place increased privacy and security obligations on entities handling personal data of consumers or households. These laws may significantly impact our business activities and require substantial compliance costs that adversely affect business, operating results, prospects and financial condition. There may be an ongoing movement in other state legislatures to enact more comprehensive privacy laws, which would create a more complex privacy regulatory landscape for our business in the U.S. In addition, there are ongoing privacy legislation and rule making efforts at the federal level which may increase our privacy obligations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incorporate the use of AI into our business, operations and offerings in ways which present opportunities as well as challenges and risks, particularly as AI can produce hallucinations and AI agents may take undesired actions, if used.AI systems or input data issues could present inaccurate information, privacy, reputational and other issues and liability. A number of jurisdictions have implemented (or will implement) AI-related laws which may adversely effect our business. For example, the EU AI Act, which has extra-territorial effect like the GDPR, imposes penalties up to the greater of: (i) €35 million; or (ii) 7% of an entire group's total annual worldwide turnover.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Thus, any access, disclosure or other loss of information, security and other incidents, including our data or systems being breached at our partners or third-party providers, along with violations of privacy, data protection, cybersecurity, operational resilience and AI laws that exist and are increasing around the world, could result in civil or regulatory legal claims or proceedings and other legal actions and liability, including fines, under such laws and in relation to the privacy of personal data confidential and proprietary information, disrupt our operations and damage our reputation, as well as general increases in compliance costs, which could adversely affect our business, operating results, prospects and financial condition. Additionally, many other jurisdictions have proposed, passed or implemented (or will implement in the future) privacy, data protection, cybersecurity, operational resilience and AI laws which will vary based on the jurisdiction and may result in increased costs, operational and legal burdens as well as the potential for significant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Even if we contract with third parties for the disposal of these materials and waste,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outside of our control, including natural disasters and public health emergencies, could severely disrupt our operations and have a material adverse effect on our business, operating results, prospects or financial condition. If a natural disaster, or public health emergency, power outage or other event occurred that prevented us from conducting our clinical trials, including by damaging our critical infrastructure, such as third-party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operating results, prospects or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deductibility of net operating losses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net operating losses. In December 2017, the U.S. government enacted comprehensive tax legislation commonly referred to as the Tax Cuts and Jobs Act (the Tax Act). The Tax Act limits the deduction of net operating losses to 80% of current year taxable income. The limitations on the net operating loss deduction, as well as other changes in tax policy, may subject us to additional taxation, adversely affecting our results of operations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Securities Markets and Investment in our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operating in a period of capital markets disruption and economic uncertainty.</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U.S. capital markets </w:t>
      </w:r>
      <w:r>
        <w:rPr>
          <w:rFonts w:ascii="Times New Roman" w:hAnsi="Times New Roman"/>
          <w:color w:val="000000"/>
          <w:sz w:val="20"/>
        </w:rPr>
        <w:t>are currently experiencing extreme volatility and disruption following recent government shutdowns, tariffs and trade disputes with other countries, inflation and high interest rates, supply chain disruptions and geopolitical tensions, including the US and EU sanctions on Russian oil and gas, the ongoing conflict between Russia and Ukraine, the wars between Israel and the terrorist groups Hamas and Hezbollah, the current political situation in Venezuela and escalating conflict and tensions with Iran. Disruptions in the capital markets in the past have resulted in illiquidity in parts of the capital markets.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should that become required for us to fund ongoing operations. These events have limited and could continue to limit our capital investment considerations, limit our abilit</w:t>
      </w:r>
      <w:r>
        <w:rPr>
          <w:rFonts w:ascii="Times New Roman" w:hAnsi="Times New Roman"/>
          <w:color w:val="231F20"/>
          <w:sz w:val="20"/>
        </w:rPr>
        <w:t>y to fund further clinical development, limit our ability to implement our Litecoin Treasury Strategy and have a material negative impact on our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the continued listing standards of the Nasdaq Capital Market, we may be delisted and the price of our common stock, our ability to access the capital markets and our financial condition could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common stock is currently listed on Nasdaq under the symbol LITS. To maintain the listing of our common stock on the Nasdaq Capital Market, we are required to meet certain listing requirements, including, among others, maintaining a minimum closing bid price of $1.00 per share. If we fail to comply with the continued listing standards and the Nasdaq Capital Market delists our securities from trading on its exchange, we and our stockholders could face significant negative consequences including: reducing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trading price of the shares of our common stock has been and may continue to be highly volatile and could decline in value and we may incur significant costs from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could be highly volatile in response to various factors, many of which are beyond our control,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successfully develop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and other developments or events relating to the value of Litecoin;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results and timing of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products introduced or announced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or termination of licenses, research contracts or other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or trends in the regulatory climate and the biotechnology, pharmaceutical and genomics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instability in the stock market as a result of current or future domestic and global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liquidity of any market for our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threatened or actual delisting of our common stock from a national stock exchange.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markets in general and the market for biotechnology and life sciences companies in particular, have experienced substantial price and volume fluctuations that have often been unrelated or disproportionate to the operating performance of companies traded in those markets. In addition, changes in economic conditions in the U.S., Europe or globally, particularly in the context of current global events, could impact upon our ability to grow profitably. Adverse economic changes are outside our control and may result in material adverse impacts on our business or our results of operations. These broad market and industry factors may materially affect the market price of shares of our common stock, regardless of our development and operating performance. In the past, following periods of volatility in the market price of a company’s securities, securities class-action litigation has often been instituted against that company. Such litigation, if instituted against us, could cause us to incur substantial costs and divert management’s attention and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including common stock issued upon exercise of outstanding warrants or options, may depress the market price of our common stock and cause stockholders to experience dilution.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market price of our common stock could decline as a result of sales of substantial amounts of our common stock in the public market, including upon exercise of outstanding warrants or stock options and any subsequent sales of such shares. As of June 30, 2026, we had outstanding warrants exercisable to purchase 3,406,839 shares of common stock at a weighted-average exercise price of $3.90 per share, which are expiring between in </w:t>
      </w:r>
      <w:r>
        <w:rPr>
          <w:rFonts w:ascii="Times New Roman" w:hAnsi="Times New Roman"/>
          <w:color w:val="231F20"/>
          <w:sz w:val="20"/>
        </w:rPr>
        <w:t xml:space="preserve">October 2027 and July 22, 2030 and 546,348 Pre-Funded Warrants with an exercise price of $0.0001, which are exercisable until they exercised in full. </w:t>
      </w:r>
      <w:r>
        <w:rPr>
          <w:rFonts w:ascii="Times New Roman" w:hAnsi="Times New Roman"/>
          <w:color w:val="000000"/>
          <w:sz w:val="20"/>
        </w:rPr>
        <w:t>We also have outstanding options to purchase 1,731,085 shares of common stock. We may seek additional capital through one or more additional equity transactions in the future; however, such transactions will be subject to market conditions and there can be no assurance any such transactions will be completed. If we sell shares in the future, the prices at which we sell these future shares will vary and these variations may be significant. Stockholders will experience significant dilution if we sell these future shares at prices significantly below the price at which such previous stockholders invested.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than as described below or in connection with a strategic transaction we do not intend to pay and we have not paid, any cash dividends on our shares of common stock. Our stockholders will not be able to receive a return on their shares unless the value of our common stock appreciates and they sell their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1D2228"/>
          <w:sz w:val="20"/>
        </w:rPr>
        <w:t>Other than the capital return paid on December 6, 2023, pursuant to the cooperation agreement dated as of October 31, 2023, with Anson Funds Management LP and Cable Car Capital LLC, w</w:t>
      </w:r>
      <w:r>
        <w:rPr>
          <w:rFonts w:ascii="Times New Roman" w:hAnsi="Times New Roman"/>
          <w:color w:val="000000"/>
          <w:sz w:val="20"/>
        </w:rPr>
        <w:t>e have never paid or declared any cash dividends on our common stock and we intend to retain any future earnings to finance the development and expansion of our business. We do not anticipate paying any cash dividends on our common stock in the foreseeable future. Therefore, our stockholders will not be able to receive a return on their investment unless the value of our common stock appreciates and they sell their shares.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have broad discretion over the use of the net proceeds from any exercise of outstanding warrants and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have broad discretion to use the net proceeds to us upon any exercise of outstanding warrants and options and investors in our stock will be relying on the judgment of our Board and management regarding the application of these proceeds. Although we expect to use a substantial portion of the net proceeds from any exercise of the warrants and options for general corporate purposes and progression of our clinical trial programs, we have not allocated these net proceeds for specific purposes.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authorized to issue blank check preferred stock, which could adversely affect the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allows us to issue blank check preferred stock with rights potentially senior to those of our common stock without any further vote or action by the holders of our common stock. The issuance of a class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shares or making a change in control of the company more difficult.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contained in our amended and restated certificate of incorporation and sixth amended and restated bylaws, as well as provisions of Delaware law, could impair a takeover attempt.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sixth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staggered board providing for three classes of directors, which limits the ability of a stockholder or group to gain control of our board;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sixth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sixth amended and restated bylaws provide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director, officer or other employee of ours to us or our stockholders, (iii) any action asserting a claim pursuant to any provision of the Delaware General Corporation Law, or (iv) any action asserting a claim governed by the internal affairs doctrine and, if brought outside of Delaware, the stockholder bringing the suit will be deemed to have consented to service of process on such stockholder’s counsel, provided, however, that, in each case, if the Court of Chancery does not have jurisdiction, the forum for such action shall be another state court located within the State of Delaware or, if no state court located within the State of Delaware has jurisdiction, the federal district court for the District of Delaware, in all cases subject to the court having personal jurisdiction over the indispensable parties named as defendants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our shares of capital stock shall be deemed to have notice of and consented to such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foregoing, the forum selection provision of our sixth amended and restated bylaws will not apply to suits brought to enforce any liability or duty created by the federal securities laws or any other claim for which the federal district courts of the U.S. of America shall be the sole and exclusive forum.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sixth amended and restated bylaws to be inapplicable or unenforceable in an action, we may incur additional costs associated with resolving such action in other jurisdictions, which could harm our business, operating results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executive officer and directors may sell shares of their stock and these sales could adversely affect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stock by our executive officer and directors, or the perception that such sales may occur, could cause the market price of our common stock to decline or could make it more difficult for us to raise funds through the sale of equity in the future, either as part, or outside, of trading plans under Rule 10b5-1 under the Securities Exchange Act of 1934, as amended (the Exchange Act).</w:t>
      </w:r>
    </w:p>
    <w:p>
      <w:pPr>
        <w:pStyle w:val="TextBody"/>
        <w:bidi w:val="0"/>
        <w:spacing w:before="240" w:after="283"/>
        <w:jc w:val="left"/>
        <w:rPr>
          <w:rFonts w:ascii="Times New Roman" w:hAnsi="Times New Roman"/>
          <w:b/>
          <w:color w:val="000000"/>
          <w:sz w:val="20"/>
        </w:rPr>
      </w:pPr>
      <w:bookmarkStart w:id="13" w:name="d58841d10k_htm_toc58841_4"/>
      <w:bookmarkEnd w:id="13"/>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bookmarkStart w:id="14" w:name="fis_properties"/>
      <w:bookmarkEnd w:id="14"/>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tem_1c_cybersecurity"/>
      <w:bookmarkEnd w:id="15"/>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the importance cybersecurity has to the success of our business, as well as recognize the need to continually assess cybersecurity risks and evolve our responses in the face of a rapidly and ever-changing environment. Accordingly, we aim to protect our business operations, records and information against known and evolving cybersecurity threats. </w:t>
      </w:r>
    </w:p>
    <w:p>
      <w:pPr>
        <w:pStyle w:val="TextBody"/>
        <w:bidi w:val="0"/>
        <w:spacing w:before="240" w:after="283"/>
        <w:jc w:val="left"/>
        <w:rPr>
          <w:rFonts w:ascii="Times New Roman" w:hAnsi="Times New Roman"/>
          <w:sz w:val="20"/>
        </w:rPr>
      </w:pPr>
      <w:r>
        <w:rPr>
          <w:rFonts w:ascii="Times New Roman" w:hAnsi="Times New Roman"/>
          <w:b/>
          <w:color w:val="000000"/>
          <w:sz w:val="20"/>
        </w:rPr>
        <w:t>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compromise of or through our information systems that may result in adverse effects on the confidentiality, integrity, or availability of our information systems or any information residing within these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administrative, technical and physical safeguards in place to manage such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these risk assessments, we re-design, implement and maintain reasonable safeguards to minimize identified risks, reasonably address any identified gaps in existing safeguards and regularly monitor the effectiveness of our safeguards. Primary responsibility for assessing, monitoring and managing our cybersecurity risks rests with the Senior Director, Information Security and Infrastructure who reports to our Chief Executive Officer and Chief Financial Officer to manage the risk assessment and mitigation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overall risk management system, we monitor and test our safeguards and train our employees on these safeguards, in collaboration with our Information Technology department. Personnel at all levels and departments are made aware of our cybersecurity policies through training and internal communications.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required, we engage consultants, or other third parties in connection with our risk assessment processes. These service providers, where appropriate, assist us in the assessment, testing or other aspects of our security controls to help identify material cybersecurity risks to our critical systems, information, products, services and our broader enterprise IT environment, as well as assist us in designing and implementing our cybersecurity policies and procedures. </w:t>
      </w:r>
    </w:p>
    <w:p>
      <w:pPr>
        <w:pStyle w:val="TextBody"/>
        <w:bidi w:val="0"/>
        <w:spacing w:before="120" w:after="283"/>
        <w:jc w:val="left"/>
        <w:rPr/>
      </w:pPr>
      <w:r>
        <w:rPr>
          <w:rFonts w:ascii="Times New Roman" w:hAnsi="Times New Roman"/>
          <w:color w:val="000000"/>
          <w:sz w:val="20"/>
        </w:rPr>
        <w:t xml:space="preserve">We have not encountered cybersecurity challenges that have materially impaired our operations or financial standing. For additional information regarding risks from cybersecurity threats, please refer to </w:t>
      </w:r>
      <w:hyperlink w:anchor="risk_factors">
        <w:r>
          <w:rPr>
            <w:rStyle w:val="InternetLink"/>
            <w:rFonts w:ascii="Times New Roman" w:hAnsi="Times New Roman"/>
            <w:color w:val="0000FF"/>
            <w:sz w:val="20"/>
            <w:u w:val="single"/>
          </w:rPr>
          <w:t>I</w:t>
        </w:r>
      </w:hyperlink>
      <w:hyperlink w:anchor="risk_factors">
        <w:r>
          <w:rPr>
            <w:rStyle w:val="InternetLink"/>
            <w:rFonts w:ascii="Times New Roman" w:hAnsi="Times New Roman"/>
            <w:i/>
            <w:color w:val="0000FF"/>
            <w:sz w:val="20"/>
            <w:u w:val="single"/>
          </w:rPr>
          <w:t>tem 1A, Risk Factors</w:t>
        </w:r>
      </w:hyperlink>
      <w:r>
        <w:rPr>
          <w:rFonts w:ascii="Times New Roman" w:hAnsi="Times New Roman"/>
          <w:color w:val="000000"/>
          <w:sz w:val="20"/>
        </w:rPr>
        <w:t>, in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Cybersecurity Governance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considers cybersecurity risk as part of its risk oversight function and has delegated oversight of cybersecurity and other information technology risks to the Audit Committee. The Audit Committee oversees management’s implementation of our cybersecurity risk management program and is responsible for monitoring and assessing strategic risk exposure, while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team is responsible for the day-to-day operations over the material risks we face. Our management team, including our Chief Executive Officer and Chief Financial Officer and Senior Director, Information Security and Infrastructure, provide periodic briefings to the Audit Committee regarding our cybersecurity risks and activities, including any recent cybersecurity incidents and related responses, if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receives annual reports from management on our cybersecurity risks. In addition, management updates the Audit Committee, as necessary, regarding any material cybersecurity incidents, as well as any incidents with lesser impact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reports to the full Board regarding its activities, including those related to cybersecurity. The full Board also receives briefings from management on our cyber risk management program, in the discretion of the Board and management. Board members may receive presentations on cybersecurity topics from external experts as part of the Board’s continuing education on topics that impact public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Chief Executive Officer and Chief Financial Officer and Senior Director, Information Security and Infrastructure, are responsible for assessing and managing our material risks from cybersecurity threats and have decades of experience in overseeing operations, including information technology functions, in the public company environment. The team has primary responsibility for our overall cybersecurity risk management program and supervises our retained external cybersecurity consultants as needed.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supervises cybersecurity risk management efforts to prevent, detect, mitigate, and remediate cybersecurity risks and incidents through various means, which may include briefings from external consultants engaged by us; threat intelligence and other information obtained from governmental, public or private sources; and alerts and reports produced by security tools deployed in the IT environment. The cybersecurity risk management program also includes tools and activities to prevent, detect and analyze current and emerging cybersecurity threats and plans and strategies to address threats and incidents. </w:t>
      </w:r>
    </w:p>
    <w:p>
      <w:pPr>
        <w:pStyle w:val="TextBody"/>
        <w:bidi w:val="0"/>
        <w:spacing w:before="240" w:after="283"/>
        <w:jc w:val="left"/>
        <w:rPr>
          <w:rFonts w:ascii="Times New Roman" w:hAnsi="Times New Roman"/>
          <w:b/>
          <w:color w:val="000000"/>
          <w:sz w:val="20"/>
        </w:rPr>
      </w:pPr>
      <w:bookmarkStart w:id="16" w:name="d58841d10k_htm_toc58841_5"/>
      <w:bookmarkEnd w:id="1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d58841d10k_htm_toc58841_6"/>
      <w:bookmarkEnd w:id="1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party to a material legal proceeding that we believe will have a material adverse effect on our business or financial conditions.</w:t>
      </w:r>
    </w:p>
    <w:p>
      <w:pPr>
        <w:pStyle w:val="TextBody"/>
        <w:bidi w:val="0"/>
        <w:spacing w:before="240" w:after="283"/>
        <w:jc w:val="left"/>
        <w:rPr>
          <w:rFonts w:ascii="Times New Roman" w:hAnsi="Times New Roman"/>
          <w:b/>
          <w:color w:val="000000"/>
          <w:sz w:val="20"/>
        </w:rPr>
      </w:pPr>
      <w:bookmarkStart w:id="18" w:name="d58841d10k_htm_toc58841_7"/>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b/>
          <w:color w:val="000000"/>
          <w:sz w:val="20"/>
        </w:rPr>
      </w:pPr>
      <w:bookmarkStart w:id="19" w:name="d58841d10k_htm_toc58841_8"/>
      <w:bookmarkStart w:id="20" w:name="part_ii"/>
      <w:bookmarkEnd w:id="19"/>
      <w:bookmarkEnd w:id="20"/>
      <w:r>
        <w:rPr>
          <w:rFonts w:ascii="Times New Roman" w:hAnsi="Times New Roman"/>
          <w:b/>
          <w:color w:val="000000"/>
          <w:sz w:val="20"/>
        </w:rPr>
        <w:t>PART II</w:t>
      </w:r>
      <w:bookmarkStart w:id="21" w:name="fis_market"/>
      <w:bookmarkEnd w:id="21"/>
    </w:p>
    <w:p>
      <w:pPr>
        <w:pStyle w:val="TextBody"/>
        <w:bidi w:val="0"/>
        <w:spacing w:before="240" w:after="283"/>
        <w:jc w:val="left"/>
        <w:rPr>
          <w:rFonts w:ascii="Times New Roman" w:hAnsi="Times New Roman"/>
          <w:b/>
          <w:color w:val="000000"/>
          <w:sz w:val="20"/>
        </w:rPr>
      </w:pPr>
      <w:bookmarkStart w:id="22" w:name="d58841d10k_htm_toc58841_9"/>
      <w:bookmarkEnd w:id="22"/>
      <w:r>
        <w:rPr>
          <w:rFonts w:ascii="Times New Roman" w:hAnsi="Times New Roman"/>
          <w:b/>
          <w:color w:val="000000"/>
          <w:sz w:val="20"/>
        </w:rPr>
        <w:t>Item 5. Market for the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Capital Market under the symbol LITS.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22, 2026, there were 30,407,268 shares of our common stock outstanding and 237 holders of record of our common stock. This number was derived from our stockholder records and does not include beneficial owners of our common stock whose shares are held in the name of various dealers, clearing agencies, banks, brokers and other fiduciaries.</w:t>
      </w:r>
    </w:p>
    <w:p>
      <w:pPr>
        <w:pStyle w:val="TextBody"/>
        <w:bidi w:val="0"/>
        <w:spacing w:before="120" w:after="283"/>
        <w:jc w:val="left"/>
        <w:rPr/>
      </w:pPr>
      <w:r>
        <w:rPr>
          <w:rFonts w:ascii="Times New Roman" w:hAnsi="Times New Roman"/>
          <w:color w:val="000000"/>
          <w:sz w:val="20"/>
        </w:rPr>
        <w:t xml:space="preserve">For a discussion of outstanding warrants and other securities exercisable for or convertible into shares of our common stock, see </w:t>
      </w:r>
      <w:hyperlink w:anchor="fn_stockholders_equity">
        <w:r>
          <w:rPr>
            <w:rStyle w:val="InternetLink"/>
            <w:rFonts w:ascii="Times New Roman" w:hAnsi="Times New Roman"/>
            <w:i/>
            <w:color w:val="0000FF"/>
            <w:sz w:val="20"/>
            <w:u w:val="single"/>
          </w:rPr>
          <w:t>Note 11. Stockholders' Equity</w:t>
        </w:r>
      </w:hyperlink>
      <w:hyperlink w:anchor="fn_stockholders_equity">
        <w:r>
          <w:rPr>
            <w:rStyle w:val="InternetLink"/>
            <w:rFonts w:ascii="Times New Roman" w:hAnsi="Times New Roman"/>
            <w:color w:val="0000FF"/>
            <w:sz w:val="20"/>
          </w:rPr>
          <w:t xml:space="preserve"> </w:t>
        </w:r>
      </w:hyperlink>
      <w:r>
        <w:rPr>
          <w:rFonts w:ascii="Times New Roman" w:hAnsi="Times New Roman"/>
          <w:color w:val="000000"/>
          <w:sz w:val="20"/>
        </w:rPr>
        <w:t xml:space="preserve">and </w:t>
      </w:r>
      <w:hyperlink w:anchor="fn11_sbc">
        <w:r>
          <w:rPr>
            <w:rStyle w:val="InternetLink"/>
            <w:rFonts w:ascii="Times New Roman" w:hAnsi="Times New Roman"/>
            <w:i/>
            <w:color w:val="0000FF"/>
            <w:sz w:val="20"/>
            <w:u w:val="single"/>
          </w:rPr>
          <w:t>Note 13. Share-based Compensation</w:t>
        </w:r>
      </w:hyperlink>
      <w:r>
        <w:rPr>
          <w:rFonts w:ascii="Times New Roman" w:hAnsi="Times New Roman"/>
          <w:color w:val="000000"/>
          <w:sz w:val="20"/>
        </w:rPr>
        <w:t xml:space="preserve"> under </w:t>
      </w:r>
      <w:hyperlink w:anchor="d58841d10k_htm_toc58841_13">
        <w:r>
          <w:rPr>
            <w:rStyle w:val="InternetLink"/>
            <w:rFonts w:ascii="Times New Roman" w:hAnsi="Times New Roman"/>
            <w:i/>
            <w:color w:val="0000FF"/>
            <w:sz w:val="20"/>
            <w:u w:val="single"/>
          </w:rPr>
          <w:t>Item 8. Consolidated Financial Statements and Supplementary Data</w:t>
        </w:r>
      </w:hyperlink>
      <w:r>
        <w:rPr>
          <w:rFonts w:ascii="Times New Roman" w:hAnsi="Times New Roman"/>
          <w:color w:val="000000"/>
          <w:sz w:val="20"/>
        </w:rPr>
        <w:t xml:space="preserve"> in this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Common Stock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2025, we announced that our Board authorized the Share Repurchase Program. The Share Repurchase Program was effective immediately and provides for shares to be repurchased in the open market, privately negotiated transactions or otherwise. The timing of purchases and the exact number of shares to be purchased under the Share Repurchase Program will depend on market conditions, does not include specific price targets or timetables and may be suspended or terminated by us at any time.</w:t>
      </w:r>
    </w:p>
    <w:p>
      <w:pPr>
        <w:pStyle w:val="TextBody"/>
        <w:bidi w:val="0"/>
        <w:spacing w:before="120" w:after="283"/>
        <w:jc w:val="left"/>
        <w:rPr/>
      </w:pPr>
      <w:r>
        <w:rPr>
          <w:rFonts w:ascii="Times New Roman" w:hAnsi="Times New Roman"/>
          <w:color w:val="000000"/>
          <w:sz w:val="20"/>
        </w:rPr>
        <w:t xml:space="preserve">As more fully described in </w:t>
      </w:r>
      <w:hyperlink w:anchor="fn_stockholders_equity">
        <w:r>
          <w:rPr>
            <w:rStyle w:val="InternetLink"/>
            <w:rFonts w:ascii="Times New Roman" w:hAnsi="Times New Roman"/>
            <w:i/>
            <w:color w:val="0000FF"/>
            <w:sz w:val="20"/>
            <w:u w:val="single"/>
          </w:rPr>
          <w:t xml:space="preserve">Note 11. </w:t>
        </w:r>
      </w:hyperlink>
      <w:hyperlink w:anchor="fn_stockholders_equity">
        <w:r>
          <w:rPr>
            <w:rStyle w:val="InternetLink"/>
            <w:rFonts w:ascii="Times New Roman" w:hAnsi="Times New Roman"/>
            <w:color w:val="0000FF"/>
            <w:sz w:val="20"/>
            <w:u w:val="single"/>
          </w:rPr>
          <w:t>S</w:t>
        </w:r>
      </w:hyperlink>
      <w:hyperlink w:anchor="fn_stockholders_equity">
        <w:r>
          <w:rPr>
            <w:rStyle w:val="InternetLink"/>
            <w:rFonts w:ascii="Times New Roman" w:hAnsi="Times New Roman"/>
            <w:i/>
            <w:color w:val="0000FF"/>
            <w:sz w:val="20"/>
            <w:u w:val="single"/>
          </w:rPr>
          <w:t>tockholders' Equity</w:t>
        </w:r>
      </w:hyperlink>
      <w:r>
        <w:rPr>
          <w:rFonts w:ascii="Times New Roman" w:hAnsi="Times New Roman"/>
          <w:i/>
          <w:color w:val="000000"/>
          <w:sz w:val="20"/>
        </w:rPr>
        <w:t xml:space="preserve">, </w:t>
      </w:r>
      <w:r>
        <w:rPr>
          <w:rFonts w:ascii="Times New Roman" w:hAnsi="Times New Roman"/>
          <w:color w:val="000000"/>
          <w:sz w:val="20"/>
        </w:rPr>
        <w:t>in December 2025 we commenced utilization of our Share Repurchase Program.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During the fiscal year ended June 30, 2025, we did not repurchase any shares of our Common Stock. The following table provides information about repurchases of our Common Stock registered pursuant to Section 12 of the Exchange Act, during the three months ended June 30, 2026: </w:t>
      </w:r>
    </w:p>
    <w:tbl>
      <w:tblPr>
        <w:tblW w:w="10205" w:type="dxa"/>
        <w:jc w:val="left"/>
        <w:tblInd w:w="0" w:type="dxa"/>
        <w:tblLayout w:type="fixed"/>
        <w:tblCellMar>
          <w:top w:w="28" w:type="dxa"/>
          <w:left w:w="28" w:type="dxa"/>
          <w:bottom w:w="28" w:type="dxa"/>
          <w:right w:w="28" w:type="dxa"/>
        </w:tblCellMar>
      </w:tblPr>
      <w:tblGrid>
        <w:gridCol w:w="1034"/>
        <w:gridCol w:w="146"/>
        <w:gridCol w:w="210"/>
        <w:gridCol w:w="1341"/>
        <w:gridCol w:w="146"/>
        <w:gridCol w:w="146"/>
        <w:gridCol w:w="382"/>
        <w:gridCol w:w="847"/>
        <w:gridCol w:w="146"/>
        <w:gridCol w:w="146"/>
        <w:gridCol w:w="296"/>
        <w:gridCol w:w="1888"/>
        <w:gridCol w:w="146"/>
        <w:gridCol w:w="146"/>
        <w:gridCol w:w="472"/>
        <w:gridCol w:w="2318"/>
        <w:gridCol w:w="395"/>
      </w:tblGrid>
      <w:tr>
        <w:trPr/>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Total Number of Shares (or Units) Purchased</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 (or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(or Units)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 xml:space="preserve">Maximum Number (or Approximate Dollar Value) of Shares (or Units) that May Yet be Purchased Under the Plans or Programs </w:t>
            </w:r>
            <w:r>
              <w:rPr>
                <w:rFonts w:ascii="Times New Roman" w:hAnsi="Times New Roman"/>
                <w:b/>
                <w:color w:val="000000"/>
                <w:sz w:val="13"/>
              </w:rPr>
              <w:t>(2)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22,094,599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21,176,591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20,247,453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20,247,453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________</w:t>
      </w:r>
    </w:p>
    <w:p>
      <w:pPr>
        <w:pStyle w:val="TextBody"/>
        <w:bidi w:val="0"/>
        <w:jc w:val="left"/>
        <w:rPr>
          <w:rFonts w:ascii="Times New Roman" w:hAnsi="Times New Roman"/>
          <w:color w:val="000000"/>
          <w:sz w:val="18"/>
        </w:rPr>
      </w:pPr>
      <w:r>
        <w:rPr>
          <w:rFonts w:ascii="Times New Roman" w:hAnsi="Times New Roman"/>
          <w:color w:val="000000"/>
          <w:sz w:val="18"/>
        </w:rPr>
        <w:t>(1) All shares repurchased pursuant to the Share Repurchase Program were executed through open-market transactions.</w:t>
      </w:r>
    </w:p>
    <w:p>
      <w:pPr>
        <w:pStyle w:val="TextBody"/>
        <w:bidi w:val="0"/>
        <w:jc w:val="left"/>
        <w:rPr>
          <w:rFonts w:ascii="Times New Roman" w:hAnsi="Times New Roman"/>
          <w:color w:val="000000"/>
          <w:sz w:val="18"/>
        </w:rPr>
      </w:pPr>
      <w:r>
        <w:rPr>
          <w:rFonts w:ascii="Times New Roman" w:hAnsi="Times New Roman"/>
          <w:color w:val="000000"/>
          <w:sz w:val="18"/>
        </w:rPr>
        <w:t>(2) On October 29, 2025, we announced our Share Repurchase Program to repurchase shares of our Common Stock up to an aggregate amount of $25.0 million. The Share Repurchase Program may be suspended or terminated by us at any time. This amount excludes fees.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anticipate paying any cash dividends in the foreseeable future and currently intend to retain all available funds and future earnings, if any, to support operations. Any future determination related to our dividend policy will be made at the discretion of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shows, as of June 30, 2026, information for equity compensation plans previously approved by stockholders and for compensation plans not previously approved by stockholders.</w:t>
      </w:r>
    </w:p>
    <w:tbl>
      <w:tblPr>
        <w:tblW w:w="10205" w:type="dxa"/>
        <w:jc w:val="left"/>
        <w:tblInd w:w="0" w:type="dxa"/>
        <w:tblLayout w:type="fixed"/>
        <w:tblCellMar>
          <w:top w:w="28" w:type="dxa"/>
          <w:left w:w="28" w:type="dxa"/>
          <w:bottom w:w="28" w:type="dxa"/>
          <w:right w:w="28" w:type="dxa"/>
        </w:tblCellMar>
      </w:tblPr>
      <w:tblGrid>
        <w:gridCol w:w="3451"/>
        <w:gridCol w:w="146"/>
        <w:gridCol w:w="218"/>
        <w:gridCol w:w="1398"/>
        <w:gridCol w:w="146"/>
        <w:gridCol w:w="146"/>
        <w:gridCol w:w="474"/>
        <w:gridCol w:w="1285"/>
        <w:gridCol w:w="146"/>
        <w:gridCol w:w="146"/>
        <w:gridCol w:w="304"/>
        <w:gridCol w:w="1951"/>
        <w:gridCol w:w="394"/>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w:t>
              <w:br/>
              <w:t>to be issued upon</w:t>
              <w:br/>
              <w:t>exercise of</w:t>
              <w:br/>
              <w:t>outstanding options,</w:t>
              <w:br/>
              <w:t>warrants 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 price of</w:t>
              <w:br/>
              <w:t>outstanding options,</w:t>
              <w:br/>
              <w:t>warrants 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w:t>
              <w:br/>
              <w:t>remaining available for future</w:t>
              <w:br/>
              <w:t>issuance under equity</w:t>
              <w:br/>
              <w:t>compensation plans</w:t>
              <w:br/>
              <w:t>(excluding securities</w:t>
              <w:br/>
              <w:t>reflected in column (a))</w:t>
              <w:br/>
              <w:t>(c)</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w:t>
              <w:br/>
              <w:t>    holders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2,058,800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w:t>
              <w:br/>
              <w:t>    holders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163,698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2,222,498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1,222,783 shares of common stock issuable upon exercise of options granted under the MEI Pharma, Inc. Amended and Restated 2008 Stock Omnibus Equity Compensation Plan (the Prior Omnibus Plan), under which no additional shares of common stock are authorized for issuance and 455,000 shares of common stock issuable upon exercise of options granted under the Lite Strategy, Inc. 2026 Stock Omnibus Equity Compensation Plan (the 2026 Omnibus Plan, together with the Prior Omnibus Plan, the Omnibus Plans) under which 2,513,800 shares of common stock are authorized for issuance. Effective February 12, 2026, our stockholders approved our 2026 Omnibus Plan, which replaces the Prior Omnibus Plan; however outstanding grants under the Prior Omnibus Plan shall continue in effect according to the Prior Omnibus Plan. The Omnibus Plans provide for the grant of options and/or other stock-based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stock-denominated awards to our non-employee directors, officers, employees and advisors. The weighted-average exercise price presented is the weighted-average exercise price of vested and unvested options under the Omnibus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53,302 shares of common stock issuable upon exercise of options granted under the MEI Pharma, Inc. 2021 Inducement Plan (Inducement Plan), under which 217,000 shares of common stock are authorized for issuance. The Inducement Plan provides for the grant of options and/or other stock-based or stock-denominated awards to attract and retain selected individuals to serve as employees. The weighted-average exercise price presented is the weighted-average exercise price of vested and unvested options.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3" w:name="d58841d10k_htm_toc58841_10"/>
      <w:bookmarkStart w:id="24" w:name="fis_financial_data"/>
      <w:bookmarkEnd w:id="23"/>
      <w:bookmarkEnd w:id="24"/>
      <w:r>
        <w:rPr>
          <w:rFonts w:ascii="Times New Roman" w:hAnsi="Times New Roman"/>
          <w:b/>
          <w:color w:val="000000"/>
          <w:sz w:val="20"/>
        </w:rPr>
        <w:t>Item 6. [Reserved]</w:t>
      </w:r>
    </w:p>
    <w:p>
      <w:pPr>
        <w:pStyle w:val="TextBody"/>
        <w:bidi w:val="0"/>
        <w:spacing w:before="240" w:after="283"/>
        <w:jc w:val="left"/>
        <w:rPr>
          <w:rFonts w:ascii="Times New Roman" w:hAnsi="Times New Roman"/>
          <w:sz w:val="20"/>
        </w:rPr>
      </w:pPr>
      <w:bookmarkStart w:id="25" w:name="d58841d10k_htm_toc58841_11"/>
      <w:bookmarkEnd w:id="25"/>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rFonts w:ascii="Times New Roman" w:hAnsi="Times New Roman"/>
          <w:color w:val="000000"/>
          <w:sz w:val="20"/>
        </w:rPr>
        <w:t xml:space="preserve">The following discussion and analysis should be read in conjunction with </w:t>
      </w:r>
      <w:hyperlink w:anchor="d58841d10k_htm_toc58841_13">
        <w:r>
          <w:rPr>
            <w:rStyle w:val="InternetLink"/>
            <w:rFonts w:ascii="Times New Roman" w:hAnsi="Times New Roman"/>
            <w:i/>
            <w:color w:val="0000FF"/>
            <w:sz w:val="20"/>
            <w:u w:val="single"/>
          </w:rPr>
          <w:t>Item 8. Consolidated Financial Statements and Supplementary Data</w:t>
        </w:r>
      </w:hyperlink>
      <w:r>
        <w:rPr>
          <w:rFonts w:ascii="Times New Roman" w:hAnsi="Times New Roman"/>
          <w:color w:val="000000"/>
          <w:sz w:val="20"/>
        </w:rPr>
        <w:t xml:space="preserve"> included below in this Annual Report. Operating results are not necessarily indicative of results that may occur in future periods.</w:t>
      </w:r>
    </w:p>
    <w:p>
      <w:pPr>
        <w:pStyle w:val="TextBody"/>
        <w:bidi w:val="0"/>
        <w:spacing w:before="120" w:after="283"/>
        <w:jc w:val="left"/>
        <w:rPr/>
      </w:pPr>
      <w:r>
        <w:rPr>
          <w:rFonts w:ascii="Times New Roman" w:hAnsi="Times New Roman"/>
          <w:color w:val="000000"/>
          <w:sz w:val="20"/>
        </w:rPr>
        <w:t xml:space="preserve">This discussion and analysis contains forward-looking statements that involve a number of risks, uncertainties and assumptions. Actual results may differ materially from those anticipated in the forward-looking statements as a result of many factors including, but not limited to, those set forth under Cautionary Statement About Forward-Looking Statements and Risk Factors in </w:t>
      </w:r>
      <w:hyperlink w:anchor="risk_factors">
        <w:r>
          <w:rPr>
            <w:rStyle w:val="InternetLink"/>
            <w:rFonts w:ascii="Times New Roman" w:hAnsi="Times New Roman"/>
            <w:i/>
            <w:color w:val="0000FF"/>
            <w:sz w:val="20"/>
            <w:u w:val="single"/>
          </w:rPr>
          <w:t>Item 1A. Risk Factors</w:t>
        </w:r>
      </w:hyperlink>
      <w:r>
        <w:rPr>
          <w:rFonts w:ascii="Times New Roman" w:hAnsi="Times New Roman"/>
          <w:color w:val="000000"/>
          <w:sz w:val="20"/>
        </w:rPr>
        <w:t xml:space="preserve"> included above in this Annual Report. All forward-looking statements included in this Annual Report are based on the information available to us as of the time we file this Annual Report and except as required by law, we undertake no obligation to update publicly or revise any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On September 10, 2025, we changed our name to Lite Strategy, Inc. and our ticker symbol to LITS. We are </w:t>
      </w:r>
      <w:r>
        <w:rPr>
          <w:rFonts w:ascii="Times New Roman" w:hAnsi="Times New Roman"/>
          <w:color w:val="000000"/>
          <w:sz w:val="20"/>
        </w:rPr>
        <w:t xml:space="preserve">a pharmaceutical company that has historically developed novel and differentiated cancer therapies. During fiscal year 2026, we commenced pre-clinical development programs in nononcologic disease indications. We also hold Litecoin (LTC) tokens as a primary reserve asset as part of our broader institutional treasury initiative. We initially </w:t>
      </w:r>
      <w:r>
        <w:rPr>
          <w:rFonts w:ascii="Times New Roman" w:hAnsi="Times New Roman"/>
          <w:color w:val="231F20"/>
          <w:sz w:val="20"/>
        </w:rPr>
        <w:t xml:space="preserve">built our pipeline by acquiring promising cancer agents and creating value in programs through clinical development, strategic partnerships, and out-licensing or commercialization, as appropriate. </w:t>
      </w:r>
      <w:r>
        <w:rPr>
          <w:rFonts w:ascii="Times New Roman" w:hAnsi="Times New Roman"/>
          <w:color w:val="000000"/>
          <w:sz w:val="20"/>
        </w:rPr>
        <w:t>Our approach to pre-clinical drug 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PI3Kδ inhibitor a</w:t>
      </w:r>
      <w:r>
        <w:rPr>
          <w:rFonts w:ascii="Times New Roman" w:hAnsi="Times New Roman"/>
          <w:color w:val="231F20"/>
          <w:sz w:val="20"/>
        </w:rPr>
        <w:t>nd, prior to its sale in October 2024 to Aardvark Therapeutics, Inc., ME-344, an intravenous small molecule mitochondrial inhibitor targeting the oxidative phosphorylation pathway in the mitochondria</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Development Programs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drug candidate pipeline includes voruciclib, an oral cyclin-dependent kinase 9 (CDK9) inhibitor and zandelisib, an oral, once-daily, selective </w:t>
      </w:r>
      <w:r>
        <w:rPr>
          <w:rFonts w:ascii="Times New Roman" w:hAnsi="Times New Roman"/>
          <w:color w:val="231F20"/>
          <w:sz w:val="20"/>
        </w:rPr>
        <w:t>PI3Kδ</w:t>
      </w:r>
      <w:r>
        <w:rPr>
          <w:rFonts w:ascii="Times New Roman" w:hAnsi="Times New Roman"/>
          <w:color w:val="000000"/>
          <w:sz w:val="20"/>
        </w:rPr>
        <w:t xml:space="preserve"> inhibitor.</w:t>
      </w:r>
    </w:p>
    <w:p>
      <w:pPr>
        <w:pStyle w:val="TextBody"/>
        <w:bidi w:val="0"/>
        <w:spacing w:before="120" w:after="283"/>
        <w:jc w:val="left"/>
        <w:rPr/>
      </w:pPr>
      <w:r>
        <w:rPr>
          <w:rFonts w:ascii="Times New Roman" w:hAnsi="Times New Roman"/>
          <w:color w:val="000000"/>
          <w:sz w:val="20"/>
        </w:rPr>
        <w:t xml:space="preserve">For a more complete discussion of our business, see the section of this Annual Report </w:t>
      </w:r>
      <w:hyperlink w:anchor="d58841d10k_htm_toc58841_2">
        <w:r>
          <w:rPr>
            <w:rStyle w:val="InternetLink"/>
            <w:rFonts w:ascii="Times New Roman" w:hAnsi="Times New Roman"/>
            <w:i/>
            <w:color w:val="0000FF"/>
            <w:sz w:val="20"/>
            <w:u w:val="single"/>
          </w:rPr>
          <w:t>Item 1. Business</w:t>
        </w:r>
      </w:hyperlink>
      <w:r>
        <w:rPr>
          <w:rFonts w:ascii="Times New Roman" w:hAnsi="Times New Roman"/>
          <w:color w:val="000000"/>
          <w:sz w:val="20"/>
        </w:rPr>
        <w:t xml:space="preserve"> above.</w:t>
      </w:r>
    </w:p>
    <w:p>
      <w:pPr>
        <w:pStyle w:val="TextBody"/>
        <w:bidi w:val="0"/>
        <w:spacing w:before="240" w:after="283"/>
        <w:jc w:val="left"/>
        <w:rPr>
          <w:rFonts w:ascii="Times New Roman" w:hAnsi="Times New Roman"/>
          <w:b/>
          <w:color w:val="000000"/>
          <w:sz w:val="20"/>
        </w:rPr>
      </w:pPr>
      <w:bookmarkStart w:id="26" w:name="mda_recentdevel"/>
      <w:bookmarkEnd w:id="26"/>
      <w:r>
        <w:rPr>
          <w:rFonts w:ascii="Times New Roman" w:hAnsi="Times New Roman"/>
          <w:b/>
          <w:color w:val="000000"/>
          <w:sz w:val="20"/>
        </w:rPr>
        <w:t>Recent Developments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shifting our Litecoin Treasury Strategy (as defined below) from initial LTC accumulation to active capital market operations, on October 29, 2025, we announced that our Board of Directors (Board) authorized a program to repurchase shares of our common stock, par value $0.00000002 per share (the Common Stock), up to an aggregate amount of $25.0 million, excluding fees, commissions and excise tax due under the Inflation Reduction Act of 2022 (the Share Repurchase Program). The Share Repurchase Program was effective immediately and provides for shares to be repurchased in the open market, privately negotiated transactions or otherwise. The timing of purchases and the exact number of shares to be purchased under the Share Repurchase Program will depend on market conditions, does not include specific price targets or timetables and may be suspended or terminated by us at any time. We intend to finance the purchases using proceeds from our Covered Call Options (as defined below) or from the liquidation of a portion of our LTC tokens.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2025, we commenced utilization of our Share Repurchase Program and have repurchased an aggregate of 4,378,525 shares of our Common Stock from the open market (Treasury Shares) at a weighted-average price of $1.12 per share as of June 30, 2026. Treasury Shares repurchased through the Share Repurchase Program are considered held in treasury and returned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status of authorized but unissued shares of Common Stock. The Share Repurchase Program does not have an expiration date, does not include specific price targets or timetables and may be suspended or terminated by us at any time.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Litecoin Treasury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compared to the leading math-based currency. We believe this strategy will allow us to diversify reserves, enhance capital efficiency and align with emerging financial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with GSR Markets Ltd (GSR Markets), an affiliate of GSR Strategies LLC (GSR or Asset Manager), in which we write covered call options on certain of our LTC holdings (Covered Call Options). We utilize these Covered Call Options on certain digital asset holdings as part of broader digital asset treasury management strategy. These strategies are designed to generate incremental liquidity and income while retaining exposure to the underlying digital assets, subject to the risk that the assets may be delivered to option counterparties if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related to changes in the fair value of derivative liabilities associated with our Covered Call Options, as well as counterparty credit risk related to our digital assets receivable, net. We monitor these risks on an ongoing basis and evaluate expected credit losses each reporting period. As of June 30, 2026, we concluded expected credit losses were immaterial due to the short duration of the receivables, the over-collateralized nature of the arrangements, and the credit profile and risk management practices of the transfer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fair value of our Covered Call Options and/or realized gains on Covered Call Options which expire unexercised are recognized upon settlement (expiration) of the related Covered Call Option contract within gain on derivative liabilities, net, a component of other (expense) income, net, in the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Private Investment in Public Equity (PIPE) and Related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2025 (the Closing Date), we closed on a $100.0 million PIPE and issued an aggregate of (i) 23,216,898 shares of our Common Stock, at an offering price of $3.42 per share and (ii) pre-funded warrants (the Pre-Funded Warrants), to purchase up to an aggregate of 6,022,869 shares of Common Stock, at an offering price of $3.4199 per Pre-Funded Warrant (the Offering).</w:t>
      </w:r>
    </w:p>
    <w:p>
      <w:pPr>
        <w:pStyle w:val="TextBody"/>
        <w:bidi w:val="0"/>
        <w:spacing w:before="120" w:after="283"/>
        <w:jc w:val="left"/>
        <w:rPr/>
      </w:pPr>
      <w:r>
        <w:rPr>
          <w:rFonts w:ascii="Times New Roman" w:hAnsi="Times New Roman"/>
          <w:color w:val="000000"/>
          <w:sz w:val="20"/>
        </w:rPr>
        <w:t xml:space="preserve">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 (iv) a strategic advisor agreement and (v) a new at-the-market sales agreement (the Sales Agreement). As consideration of services provided associated with the PIPE, we issued warrants for the purchase of up to 3,070,177 shares of Common Stock with a weighted-average exercise price of approximately $4.10 per share. See </w:t>
      </w:r>
      <w:hyperlink w:anchor="fn_warrants">
        <w:r>
          <w:rPr>
            <w:rStyle w:val="InternetLink"/>
            <w:rFonts w:ascii="Times New Roman" w:hAnsi="Times New Roman"/>
            <w:i/>
            <w:color w:val="0000FF"/>
            <w:sz w:val="20"/>
            <w:u w:val="single"/>
          </w:rPr>
          <w:t>Note 12. Warrants</w:t>
        </w:r>
      </w:hyperlink>
      <w:hyperlink w:anchor="fn_warrants">
        <w:r>
          <w:rPr>
            <w:rStyle w:val="InternetLink"/>
            <w:rFonts w:ascii="Times New Roman" w:hAnsi="Times New Roman"/>
            <w:color w:val="0000FF"/>
            <w:sz w:val="20"/>
          </w:rPr>
          <w:t xml:space="preserve"> </w:t>
        </w:r>
      </w:hyperlink>
      <w:r>
        <w:rPr>
          <w:rFonts w:ascii="Times New Roman" w:hAnsi="Times New Roman"/>
          <w:color w:val="000000"/>
          <w:sz w:val="20"/>
        </w:rPr>
        <w:t>for a summary of the fair value assumptions used to value the Advisory Warrants upon the closing of the PIPE.</w:t>
      </w:r>
    </w:p>
    <w:p>
      <w:pPr>
        <w:pStyle w:val="TextBody"/>
        <w:bidi w:val="0"/>
        <w:spacing w:before="120" w:after="283"/>
        <w:jc w:val="left"/>
        <w:rPr>
          <w:rFonts w:ascii="Times New Roman" w:hAnsi="Times New Roman"/>
          <w:sz w:val="20"/>
        </w:rPr>
      </w:pPr>
      <w:r>
        <w:rPr>
          <w:rFonts w:ascii="Times New Roman" w:hAnsi="Times New Roman"/>
          <w:i/>
          <w:color w:val="000000"/>
          <w:sz w:val="20"/>
        </w:rPr>
        <w:t>Strategic Alternatives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in oncology, while we continued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of strategic alternatives concluded with the August 2025 commencement of our Litecoin Treasury Strategy through our acquisition of LTC tokens, reflecting the full deployment of the net proceeds of the PIPE. LTC is an open source, global payment network that is fully decentralized without any central authorities. Mathematics secures the network and empowers individuals to control their own finances and features faster transaction confirmation times and improved storage efficiency than the leading math-based currency. We believe this strategy will allow us to diversify reserves, enhance capital efficiency and align with emerging financial technologies. We are committed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nononcologic disease indications for potential out-licensing or sale related opportunities.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rFonts w:ascii="Times New Roman" w:hAnsi="Times New Roman"/>
          <w:color w:val="000000"/>
          <w:sz w:val="20"/>
        </w:rPr>
      </w:pPr>
      <w:r>
        <w:rPr>
          <w:rFonts w:ascii="Times New Roman" w:hAnsi="Times New Roman"/>
          <w:color w:val="000000"/>
          <w:sz w:val="20"/>
        </w:rPr>
        <w:t xml:space="preserve">Critical accounting policies are those most important to the portrayal of our financial condition and results of operations and require management’s difficult, subjective, or complex judgment, often as a result of the need to make estimates about the effect of matters that are inherently uncertain and may change in subsequent periods. Certain accounting estimates are particularly sensitive because of their significance to financial statements and because of the possibility future events affecting the estimate may differ significantly from management’s current judgments. We believe the following critical accounting policies involve the most significant estimates and judgments used in the preparation of our consolidated financial statements. </w:t>
      </w:r>
    </w:p>
    <w:p>
      <w:pPr>
        <w:pStyle w:val="TextBody"/>
        <w:bidi w:val="0"/>
        <w:spacing w:before="120" w:after="283"/>
        <w:jc w:val="left"/>
        <w:rPr/>
      </w:pPr>
      <w:r>
        <w:rPr>
          <w:rFonts w:ascii="Times New Roman" w:hAnsi="Times New Roman"/>
          <w:color w:val="000000"/>
          <w:sz w:val="20"/>
        </w:rPr>
        <w:t xml:space="preserve">Except as provided below, there have been no material changes from the critical accounting estimates identified below nor our significant accounting policies set forth in </w:t>
      </w:r>
      <w:hyperlink w:anchor="fn2_sumsigpolicies">
        <w:r>
          <w:rPr>
            <w:rStyle w:val="InternetLink"/>
            <w:rFonts w:ascii="Times New Roman" w:hAnsi="Times New Roman"/>
            <w:i/>
            <w:color w:val="0000FF"/>
            <w:sz w:val="20"/>
            <w:u w:val="single"/>
          </w:rPr>
          <w:t>Note 2. Summary of Significant Accounting Policies</w:t>
        </w:r>
      </w:hyperlink>
      <w:r>
        <w:rPr>
          <w:rFonts w:ascii="Times New Roman" w:hAnsi="Times New Roman"/>
          <w:i/>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of Equity Instruments Issued for Exchange for Services</w:t>
      </w:r>
    </w:p>
    <w:p>
      <w:pPr>
        <w:pStyle w:val="TextBody"/>
        <w:bidi w:val="0"/>
        <w:spacing w:before="120" w:after="283"/>
        <w:jc w:val="left"/>
        <w:rPr/>
      </w:pPr>
      <w:r>
        <w:rPr>
          <w:rFonts w:ascii="Times New Roman" w:hAnsi="Times New Roman"/>
          <w:color w:val="000000"/>
          <w:sz w:val="20"/>
        </w:rPr>
        <w:t xml:space="preserve">Equity instruments issued in exchange for services rendered or to be rendered to us are accounted for in accordance with ASC 718, </w:t>
      </w:r>
      <w:r>
        <w:rPr>
          <w:rFonts w:ascii="Times New Roman" w:hAnsi="Times New Roman"/>
          <w:i/>
          <w:color w:val="000000"/>
          <w:sz w:val="20"/>
        </w:rPr>
        <w:t>Stock Compensation</w:t>
      </w:r>
      <w:r>
        <w:rPr>
          <w:rFonts w:ascii="Times New Roman" w:hAnsi="Times New Roman"/>
          <w:color w:val="000000"/>
          <w:sz w:val="20"/>
        </w:rPr>
        <w:t xml:space="preserve">. Such instruments are evaluated to determine if they should be classified as liability or equity awards. For these awards, we estimate the fair value of the services rendered/to be rendered (i.e., the compensation cost to be recognized) based upon either (i) the grant date fair value of the equity instruments issued as determined using an option pricing model such as the BSM Model or (ii) the fair value of the liabilities incurred/settled. For the Advisory Warrants issued in the PIPE, we estimated the grant date fair value using the valuation inputs as of the grant date. For the AMA Pre-Funded Warrants and the GD Advisory Warrant issued in settlement of the Asset-based Fee and the Annual Advisory Fee,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respectively, we determined the grant date fair value represented the amount of the liabilities settled. We recognize the expense immediately in our consolidated financial statements for services rendered at the time of issuance and for services not yet rendered, we recognize an asset and amortize the fair value of the services being rendered over the requisite service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10% increase (decrease) in the implied volatility utilized to estimate the grant date fair value of the Advisory Warrants would have resulted in an increase (decrease) of $0.7 million ($0.8 million) in the grant date fair value of the Advisory Warrants.</w:t>
      </w:r>
    </w:p>
    <w:p>
      <w:pPr>
        <w:pStyle w:val="TextBody"/>
        <w:bidi w:val="0"/>
        <w:spacing w:before="120" w:after="283"/>
        <w:jc w:val="left"/>
        <w:rPr/>
      </w:pPr>
      <w:r>
        <w:rPr>
          <w:rFonts w:ascii="Times New Roman" w:hAnsi="Times New Roman"/>
          <w:color w:val="000000"/>
          <w:sz w:val="20"/>
        </w:rPr>
        <w:t xml:space="preserve">A 10% increase (decrease) in our assets under management as of the Fee Reference Date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would have resulted in a $0.2 million increase (decrease) in the fair value of the liabilities settled through issuance of the AMA Pre-Funded Warrants and a $0.1 million increase (decrease) in the fair value of liabilities settled through issuance of the GD Advisory Warrant.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of Covered Call Options</w:t>
      </w:r>
    </w:p>
    <w:p>
      <w:pPr>
        <w:pStyle w:val="TextBody"/>
        <w:bidi w:val="0"/>
        <w:spacing w:before="120" w:after="283"/>
        <w:jc w:val="left"/>
        <w:rPr>
          <w:rFonts w:ascii="Times New Roman" w:hAnsi="Times New Roman"/>
          <w:sz w:val="20"/>
        </w:rPr>
      </w:pPr>
      <w:r>
        <w:rPr>
          <w:rFonts w:ascii="Times New Roman" w:hAnsi="Times New Roman"/>
          <w:color w:val="000000"/>
          <w:sz w:val="20"/>
        </w:rPr>
        <w:t>Covered Call Options written by us are accounted for in accordance with ASC 8</w:t>
      </w:r>
      <w:r>
        <w:rPr>
          <w:rFonts w:ascii="Times New Roman" w:hAnsi="Times New Roman"/>
          <w:i/>
          <w:color w:val="000000"/>
          <w:sz w:val="20"/>
        </w:rPr>
        <w:t>15, Derivatives and Hedging.</w:t>
      </w:r>
      <w:r>
        <w:rPr>
          <w:rFonts w:ascii="Times New Roman" w:hAnsi="Times New Roman"/>
          <w:color w:val="000000"/>
          <w:sz w:val="20"/>
        </w:rPr>
        <w:t xml:space="preserve"> Such instruments do not qualify for hedge accounting and are considered freestanding financial instruments and were evaluated to be liability instruments. Our Covered Call Options are initially recorded at fair value (the contract amount) and are marked-to-market at each reporting period (if they are still outstanding) using the Black-76 Model, with changes in the fair value of the derivative liability being recognized in the consolidated statements of operations within other (expense) income, net.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10% increase (decrease) in the implied volatility of LTC utilized to estimate the fair value of the derivative liabilities - covered call options would have resulted in a </w:t>
      </w:r>
      <w:r>
        <w:rPr>
          <w:rFonts w:ascii="Times New Roman" w:hAnsi="Times New Roman"/>
          <w:i/>
          <w:color w:val="000000"/>
          <w:sz w:val="20"/>
        </w:rPr>
        <w:t xml:space="preserve">de minimis </w:t>
      </w:r>
      <w:r>
        <w:rPr>
          <w:rFonts w:ascii="Times New Roman" w:hAnsi="Times New Roman"/>
          <w:color w:val="000000"/>
          <w:sz w:val="20"/>
        </w:rPr>
        <w:t>increase (decrease) in the gain on derivative liabilities, net, as of June 30,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10% increase in the forward price as of June 30, 2026 would have resulted in a $0.2 million decrease in the gain on derivative liabilities, net. A 10% decrease in the forward price as of June 30, 2026 would have resulted in a </w:t>
      </w:r>
      <w:r>
        <w:rPr>
          <w:rFonts w:ascii="Times New Roman" w:hAnsi="Times New Roman"/>
          <w:i/>
          <w:color w:val="000000"/>
          <w:sz w:val="20"/>
        </w:rPr>
        <w:t>de minimis</w:t>
      </w:r>
      <w:r>
        <w:rPr>
          <w:rFonts w:ascii="Times New Roman" w:hAnsi="Times New Roman"/>
          <w:color w:val="000000"/>
          <w:sz w:val="20"/>
        </w:rPr>
        <w:t xml:space="preserve"> increase in the gain on derivative liabilities,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Fair Value of SAFE and Token Warrants</w:t>
      </w:r>
    </w:p>
    <w:p>
      <w:pPr>
        <w:pStyle w:val="TextBody"/>
        <w:bidi w:val="0"/>
        <w:spacing w:before="120" w:after="160"/>
        <w:jc w:val="left"/>
        <w:rPr/>
      </w:pPr>
      <w:r>
        <w:rPr>
          <w:rFonts w:ascii="Times New Roman" w:hAnsi="Times New Roman"/>
          <w:color w:val="000000"/>
          <w:sz w:val="20"/>
        </w:rPr>
        <w:t xml:space="preserve">As more fully described in </w:t>
      </w:r>
      <w:hyperlink w:anchor="fn_derivatives">
        <w:r>
          <w:rPr>
            <w:rStyle w:val="InternetLink"/>
            <w:rFonts w:ascii="Times New Roman" w:hAnsi="Times New Roman"/>
            <w:i/>
            <w:color w:val="0000FF"/>
            <w:sz w:val="20"/>
            <w:u w:val="single"/>
          </w:rPr>
          <w:t>Note 8. Derivatives</w:t>
        </w:r>
      </w:hyperlink>
      <w:r>
        <w:rPr>
          <w:rFonts w:ascii="Times New Roman" w:hAnsi="Times New Roman"/>
          <w:color w:val="000000"/>
          <w:sz w:val="20"/>
        </w:rPr>
        <w:t xml:space="preserve">, we invested in a SAFE and Token Warrants during the fiscal quarter ended June 30, 2026. The fair value of the SAFE and Token Warrants is determined in accordance with ASC 820 </w:t>
      </w:r>
      <w:r>
        <w:rPr>
          <w:rFonts w:ascii="Times New Roman" w:hAnsi="Times New Roman"/>
          <w:i/>
          <w:color w:val="000000"/>
          <w:sz w:val="20"/>
        </w:rPr>
        <w:t xml:space="preserve">Fair Value Measurement </w:t>
      </w:r>
      <w:r>
        <w:rPr>
          <w:rFonts w:ascii="Times New Roman" w:hAnsi="Times New Roman"/>
          <w:color w:val="000000"/>
          <w:sz w:val="20"/>
        </w:rPr>
        <w:t>(ASC 820) and includes significant unobservable inputs. The significant assumptions used in the valuation include the estimated value of the underlying network tokens, the probability of a dissolution event, the relative probabilities assigned to potential non-dissolution outcomes, and the implied volatility utilized in valuing the Token Warrant.</w:t>
      </w:r>
    </w:p>
    <w:p>
      <w:pPr>
        <w:pStyle w:val="TextBody"/>
        <w:bidi w:val="0"/>
        <w:jc w:val="left"/>
        <w:rPr>
          <w:rFonts w:ascii="Times New Roman" w:hAnsi="Times New Roman"/>
          <w:color w:val="000000"/>
          <w:sz w:val="20"/>
        </w:rPr>
      </w:pPr>
      <w:r>
        <w:rPr>
          <w:rFonts w:ascii="Times New Roman" w:hAnsi="Times New Roman"/>
          <w:color w:val="000000"/>
          <w:sz w:val="20"/>
        </w:rPr>
        <w:t>Changes in these assumptions could result in an increase or decrease in the estimated fair value of the SAFE and Token Warrants. The most impactful of the unobservable inputs are the network token valuation and the probability of dissolution. In future reporting periods, we expect to evaluate the sensitivity of the fair value measurement to changes in these significant assumptions, including the impact of 10% increases or decreases in such assumptions on the estimated fair value. During the fiscal year ended June 30, 2026, changes in these assumptions would have only resulted in a different allocation between the SAFE and Token Warrants as the investment amount was determined to be the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Fiscal Years Ended June 30, 2026 and 2025</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certain components of our results of operations (in thousands):</w:t>
      </w:r>
    </w:p>
    <w:tbl>
      <w:tblPr>
        <w:tblW w:w="9167" w:type="dxa"/>
        <w:jc w:val="left"/>
        <w:tblInd w:w="0" w:type="dxa"/>
        <w:tblLayout w:type="fixed"/>
        <w:tblCellMar>
          <w:top w:w="28" w:type="dxa"/>
          <w:left w:w="28" w:type="dxa"/>
          <w:bottom w:w="28" w:type="dxa"/>
          <w:right w:w="28" w:type="dxa"/>
        </w:tblCellMar>
      </w:tblPr>
      <w:tblGrid>
        <w:gridCol w:w="3076"/>
        <w:gridCol w:w="146"/>
        <w:gridCol w:w="311"/>
        <w:gridCol w:w="996"/>
        <w:gridCol w:w="244"/>
        <w:gridCol w:w="215"/>
        <w:gridCol w:w="311"/>
        <w:gridCol w:w="996"/>
        <w:gridCol w:w="146"/>
        <w:gridCol w:w="146"/>
        <w:gridCol w:w="160"/>
        <w:gridCol w:w="741"/>
        <w:gridCol w:w="166"/>
        <w:gridCol w:w="146"/>
        <w:gridCol w:w="186"/>
        <w:gridCol w:w="805"/>
        <w:gridCol w:w="37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12,047</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illustrates the components of our research and development expenses for the fiscal years presented (in thousands):</w:t>
      </w:r>
    </w:p>
    <w:p>
      <w:pPr>
        <w:pStyle w:val="Normal"/>
        <w:bidi w:val="0"/>
        <w:spacing w:before="0" w:after="0"/>
        <w:jc w:val="left"/>
        <w:rPr>
          <w:sz w:val="4"/>
          <w:szCs w:val="4"/>
        </w:rPr>
      </w:pPr>
      <w:r>
        <w:rPr>
          <w:sz w:val="4"/>
          <w:szCs w:val="4"/>
        </w:rPr>
      </w:r>
      <w:bookmarkStart w:id="27" w:name="fis_unidentified_table_9"/>
      <w:bookmarkStart w:id="28" w:name="fis_unidentified_table_9"/>
      <w:bookmarkEnd w:id="28"/>
    </w:p>
    <w:tbl>
      <w:tblPr>
        <w:tblW w:w="7307" w:type="dxa"/>
        <w:jc w:val="left"/>
        <w:tblInd w:w="0" w:type="dxa"/>
        <w:tblLayout w:type="fixed"/>
        <w:tblCellMar>
          <w:top w:w="28" w:type="dxa"/>
          <w:left w:w="28" w:type="dxa"/>
          <w:bottom w:w="28" w:type="dxa"/>
          <w:right w:w="28" w:type="dxa"/>
        </w:tblCellMar>
      </w:tblPr>
      <w:tblGrid>
        <w:gridCol w:w="3696"/>
        <w:gridCol w:w="146"/>
        <w:gridCol w:w="380"/>
        <w:gridCol w:w="759"/>
        <w:gridCol w:w="263"/>
        <w:gridCol w:w="263"/>
        <w:gridCol w:w="380"/>
        <w:gridCol w:w="1029"/>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zandelisib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voruciclib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rFonts w:ascii="Times New Roman" w:hAnsi="Times New Roman"/>
          <w:color w:val="000000"/>
          <w:sz w:val="20"/>
        </w:rPr>
        <w:t xml:space="preserve">Research and development costs decreased by $3.8 million to $0.1 million for the fiscal year ended June 30, 2026, compared to $3.9 million for the fiscal year ended June 30, 2025. This decrease was a result of our announcement in July 2024 to explore strategic alternatives, at which time all clinical studies were ceased and we initiated reductions in our workforce, along with the ME-344 Sale (as defined in </w:t>
      </w:r>
      <w:hyperlink w:anchor="fn_dis_nonfin_asset">
        <w:r>
          <w:rPr>
            <w:rStyle w:val="InternetLink"/>
            <w:rFonts w:ascii="Times New Roman" w:hAnsi="Times New Roman"/>
            <w:i/>
            <w:color w:val="0000FF"/>
            <w:sz w:val="20"/>
            <w:u w:val="single"/>
          </w:rPr>
          <w:t>Note 15. Disposition of a Nonfinancial Asset</w:t>
        </w:r>
      </w:hyperlink>
      <w:r>
        <w:rPr>
          <w:rFonts w:ascii="Times New Roman" w:hAnsi="Times New Roman"/>
          <w:color w:val="000000"/>
          <w:sz w:val="20"/>
        </w:rPr>
        <w:t>). Pre-clinical investigational activities in nononcologic disease indications for voruciclib commenced in the second quarter of fiscal year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$1.5 million to $12.0 million for the fiscal year ended June 30, 2026, compared to $13.5 million for the fiscal year ended June 30, 2025. This decrease was primarily due to $4.6 million of lower personnel costs, including $3.8 million in termination benefits. Additionally, legal and professional fees decreased by $0.6 million primarily attributable to strategic alternatives related expenses incurred in the prior fiscal year, partially offset by services incurred in connection with our Litecoin Treasury Strategy employed in the first quarter of fiscal year 2026. These decreases were partially offset by increases of $2.5 million in noncash asset management and advisory fees, with no similar amount in the prior fiscal year and $1.3 million in noncash share-based compensation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digital assets represents unrealized losses from the remeasurement of our LTC investments to their fair value, realized losses recognized upon derecognition of LTC digital assets when placing them as collateral with GSR Markets upon writing of Covered Call Options and realized losses on the sale of LTC digital assets. We had no such investments in the comparable prior fiscal year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(Expenses)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decreased by $6.1 million to net other expense of $4.6 million for the fiscal year ended June 30, 2026, as compared to net other income of $1.5 million for the fiscal year ended June 30, 2025. The decrease was primarily due to recognition of approximately $5.7 million for the change in fair value of our digital assets receivable, net, with no similar amount in the prior fiscal year. Additionally, interest and dividend income decreased $0.8 million due to lower average investment balances, as well as the recognition of a $0.5 million gain recognized on the sale of our ME-344 assets in the prior fiscal year with no similar transaction in the current fiscal year. These decreases were partially offset by a $0.8 million net gain recognized on our Covered Call Options in the current fiscal year with no similar activity in the prior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pPr>
      <w:r>
        <w:rPr>
          <w:rFonts w:ascii="Times New Roman" w:hAnsi="Times New Roman"/>
          <w:color w:val="000000"/>
          <w:sz w:val="20"/>
        </w:rPr>
        <w:t xml:space="preserve">See </w:t>
      </w:r>
      <w:hyperlink w:anchor="fn2_sumsigpolicies">
        <w:r>
          <w:rPr>
            <w:rStyle w:val="InternetLink"/>
            <w:rFonts w:ascii="Times New Roman" w:hAnsi="Times New Roman"/>
            <w:i/>
            <w:color w:val="0000FF"/>
            <w:sz w:val="20"/>
            <w:u w:val="single"/>
          </w:rPr>
          <w:t>Note 2. Summary of Significant Accounting Policies</w:t>
        </w:r>
      </w:hyperlink>
      <w:r>
        <w:rPr>
          <w:rFonts w:ascii="Times New Roman" w:hAnsi="Times New Roman"/>
          <w:color w:val="000000"/>
          <w:sz w:val="20"/>
        </w:rPr>
        <w:t xml:space="preserve">, to the Consolidated Financial Statements included in </w:t>
      </w:r>
      <w:hyperlink w:anchor="d58841d10k_htm_toc58841_13">
        <w:r>
          <w:rPr>
            <w:rStyle w:val="InternetLink"/>
            <w:rFonts w:ascii="Times New Roman" w:hAnsi="Times New Roman"/>
            <w:i/>
            <w:color w:val="0000FF"/>
            <w:sz w:val="20"/>
            <w:u w:val="single"/>
          </w:rPr>
          <w:t>Item 8. Consolidated Financial Statements and Supplementary Data</w:t>
        </w:r>
      </w:hyperlink>
      <w:r>
        <w:rPr>
          <w:rFonts w:ascii="Times New Roman" w:hAnsi="Times New Roman"/>
          <w:color w:val="000000"/>
          <w:sz w:val="20"/>
        </w:rPr>
        <w:t xml:space="preserve"> of this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obtained cash and funded our operations primarily through equity financings and license agreements. We have accumulated losses of $475.3 million since inception and expect to incur operating losses and generate negative cash flows from operations for the foreseeable future. As of June 30, 2026, we had $5.7 million in cash and cash equivalents and $27.3 million in unrestricted digital assets. Although we intend to retain and hold our digital assets, we could liquidate these assets, or a portion thereof, if needed to fund our operating activities. In connection with our July 2024 announcement regarding the evaluation of our strategic alternatives, we discontinued the clinical development of voruciclib in oncology, while certain related nonclinical research and development activities continued through the end of fiscal year 2025. As part of our continued assessment of future pre-clinical development with our drug candidate pipeline, in the second quarter of fiscal year 2026 we commenced additional investigational research and development activities in nononcologic disease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cash balance, including our digital assets, will be sufficient to meet our obligations and fund operations as currently conducted for at least the next 12 months from the issuance of these consolidated financial statements. Although, we may require one or more capital transactions, whether through the sale of equity securities, debt financing, license agreements or entry into strategic partnerships at some point in the future to continue the development of our pre-clinical drug candidates and expand our Litecoin Treasury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commenced utilization of our Share Repurchase Program utilizing proceeds from our Covered Call Options to repurchase Shares of our Common Stock. During the fiscal year ended June 30, 2026, we received proceeds of $0.9 million from our Covered Call Options which were recognized as gains in our statements of operations. These proceeds along with proceeds from the sale of our digital assets were used to repurchase 4,378,525 shares of our Common Stock.</w:t>
      </w:r>
    </w:p>
    <w:p>
      <w:pPr>
        <w:pStyle w:val="TextBody"/>
        <w:bidi w:val="0"/>
        <w:spacing w:before="120" w:after="283"/>
        <w:jc w:val="left"/>
        <w:rPr>
          <w:rFonts w:ascii="Times New Roman" w:hAnsi="Times New Roman"/>
          <w:sz w:val="20"/>
        </w:rPr>
      </w:pPr>
      <w:r>
        <w:rPr>
          <w:rFonts w:ascii="Times New Roman" w:hAnsi="Times New Roman"/>
          <w:i/>
          <w:color w:val="000000"/>
          <w:sz w:val="20"/>
        </w:rPr>
        <w:t>Sources and Uses of Our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of $9.1 million for the fiscal year ended June 30, 2026, consisted of our net loss of $71.2 million and $1.0 million associated with changes in our operating assets and liabilities used in our operations, offset by $63.1 million in noncash charges associated with changes in fair value of our digital assets, noncash asset management fees associated with our digital assets and share-based compensation. Net cash used in operating activities during the fiscal year ended June 30, 2025, of $20.8 million consisted of our net loss of $15.9 million and $4.9 million associated with changes in our assets and liabilities used in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of $95.1 million for the fiscal year ended June 30, 2026, consisted primarily of our acquisition of digital assets upon deployment of our Litecoin Treasury Strategy in August 2025 and our investment in a SAFE and Token Warrants in June 2026. These uses of cash were partially offset by proceeds from sales of our digital assets and written Covered Call Options on our LTC. Net cash provided by investing activities for the fiscal year ended June 30, 2025, of $35.2 million consisted of maturities of our short-term investments and proceeds recognized on the disposition of a nonfinancial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$91.9 million for the fiscal year ended June 30, 2026, was associated with the issuance and sale of 23,216,898 shares of Common Stock and Pre-Funded Warrants for the purchase of up to 6,022,869 shares of Common Stock in our PIPE and the issuance and sale of 882,924 shares of Common Stock under our ATM Program. These proceeds were partially offset by cash used to repurchase 4,378,525 shares of our Common Stock at an average cost per share of $1.12. During fiscal year ended June 30, 2025, we had no financing activities. </w:t>
      </w:r>
    </w:p>
    <w:p>
      <w:pPr>
        <w:pStyle w:val="TextBody"/>
        <w:bidi w:val="0"/>
        <w:spacing w:before="240" w:after="283"/>
        <w:jc w:val="left"/>
        <w:rPr>
          <w:rFonts w:ascii="Times New Roman" w:hAnsi="Times New Roman"/>
          <w:sz w:val="20"/>
        </w:rPr>
      </w:pPr>
      <w:r>
        <w:rPr>
          <w:rFonts w:ascii="Times New Roman" w:hAnsi="Times New Roman"/>
          <w:i/>
          <w:color w:val="000000"/>
          <w:sz w:val="20"/>
        </w:rPr>
        <w:t>Capital Resource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have the following potential purchase obligations for which the timing and/or likelihood of occurrence is unknown; however, if such claims arise in the future, they could have a material effect on our financial position, results of operations and cash flows: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hyperlink w:anchor="fn_license_agree">
        <w:r>
          <w:rPr>
            <w:rStyle w:val="InternetLink"/>
            <w:rFonts w:ascii="Times New Roman" w:hAnsi="Times New Roman"/>
            <w:i/>
            <w:color w:val="0000FF"/>
            <w:sz w:val="20"/>
            <w:u w:val="single"/>
          </w:rPr>
          <w:t>Note 10. License Agreements</w:t>
        </w:r>
      </w:hyperlink>
      <w:hyperlink w:anchor="fn_license_agree">
        <w:r>
          <w:rPr>
            <w:rStyle w:val="InternetLink"/>
            <w:rFonts w:ascii="Times New Roman" w:hAnsi="Times New Roman"/>
            <w:color w:val="0000FF"/>
            <w:sz w:val="20"/>
          </w:rPr>
          <w:t xml:space="preserve"> </w:t>
        </w:r>
      </w:hyperlink>
      <w:r>
        <w:rPr>
          <w:rFonts w:ascii="Times New Roman" w:hAnsi="Times New Roman"/>
          <w:color w:val="000000"/>
          <w:sz w:val="20"/>
        </w:rPr>
        <w:t xml:space="preserve">and </w:t>
      </w:r>
      <w:hyperlink w:anchor="fn6_commitcon">
        <w:r>
          <w:rPr>
            <w:rStyle w:val="InternetLink"/>
            <w:rFonts w:ascii="Times New Roman" w:hAnsi="Times New Roman"/>
            <w:i/>
            <w:color w:val="0000FF"/>
            <w:sz w:val="20"/>
            <w:u w:val="single"/>
          </w:rPr>
          <w:t>Note 9. Commitments and Contingencies</w:t>
        </w:r>
      </w:hyperlink>
      <w:r>
        <w:rPr>
          <w:rFonts w:ascii="Times New Roman" w:hAnsi="Times New Roman"/>
          <w:color w:val="000000"/>
          <w:sz w:val="20"/>
        </w:rPr>
        <w:t xml:space="preserve"> to our consolidated financial statements and related notes included elsewhere in this Annual Report;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obligations under contracts which are cancelable without significant penalty;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purchase orders issued in the ordinary course of business as they represent authorizations to purchase the items rather than binding agreements;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and nature of our Litecoin Treasury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progress, results and costs of drug discovery, pre-clinical development, laboratory testing and clinical trials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of establishing or contracting for sales, marketing and distribution capabilities if we obtain regulatory approvals to market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of securing and producing drug substance and drug product material for use in pre-clinical studies, clinical trials and for use as commercial supply;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costs of securing manufacturing arrangements for development activities and commercial production;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prioritization and number of our research and development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extent to which we are obligated to reimburse, or entitled to reimbursement of, clinical trial costs under future collaboration agreements, if any;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left"/>
        <w:rPr>
          <w:rFonts w:ascii="Times New Roman" w:hAnsi="Times New Roman"/>
          <w:b/>
          <w:color w:val="000000"/>
          <w:sz w:val="20"/>
        </w:rPr>
      </w:pPr>
      <w:bookmarkStart w:id="29" w:name="d58841d10k_htm_toc58841_12"/>
      <w:bookmarkEnd w:id="29"/>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1D2228"/>
          <w:sz w:val="20"/>
        </w:rPr>
      </w:pPr>
      <w:r>
        <w:rPr>
          <w:rFonts w:ascii="Times New Roman" w:hAnsi="Times New Roman"/>
          <w:color w:val="1D2228"/>
          <w:sz w:val="20"/>
        </w:rPr>
        <w:t>As a smaller reporting company, we are not required to provide the information otherwise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0" w:name="d58841d10k_htm_toc58841_13"/>
      <w:bookmarkEnd w:id="30"/>
      <w:r>
        <w:rPr>
          <w:rFonts w:ascii="Times New Roman" w:hAnsi="Times New Roman"/>
          <w:b/>
          <w:color w:val="000000"/>
          <w:sz w:val="20"/>
        </w:rPr>
        <w:t>Item 8. Consolidated Financial Statements and Supplementary Data</w:t>
      </w:r>
      <w:bookmarkStart w:id="31" w:name="fis_unidentified_table_10"/>
      <w:bookmarkEnd w:id="31"/>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Lite Strategy, Inc.</w:t>
      </w:r>
    </w:p>
    <w:p>
      <w:pPr>
        <w:pStyle w:val="TextBody"/>
        <w:bidi w:val="0"/>
        <w:jc w:val="left"/>
        <w:rPr>
          <w:rFonts w:ascii="Times New Roman" w:hAnsi="Times New Roman"/>
          <w:b/>
          <w:color w:val="000000"/>
          <w:sz w:val="20"/>
        </w:rPr>
      </w:pPr>
      <w:bookmarkStart w:id="32" w:name="d58841d10k_htm_index"/>
      <w:bookmarkEnd w:id="32"/>
      <w:r>
        <w:rPr>
          <w:rFonts w:ascii="Times New Roman" w:hAnsi="Times New Roman"/>
          <w:b/>
          <w:color w:val="000000"/>
          <w:sz w:val="20"/>
        </w:rPr>
        <w:t>Index to Consolidated Financial Statements</w:t>
      </w:r>
    </w:p>
    <w:tbl>
      <w:tblPr>
        <w:tblW w:w="9875" w:type="dxa"/>
        <w:jc w:val="left"/>
        <w:tblInd w:w="0" w:type="dxa"/>
        <w:tblLayout w:type="fixed"/>
        <w:tblCellMar>
          <w:top w:w="28" w:type="dxa"/>
          <w:left w:w="28" w:type="dxa"/>
          <w:bottom w:w="28" w:type="dxa"/>
          <w:right w:w="28" w:type="dxa"/>
        </w:tblCellMar>
      </w:tblPr>
      <w:tblGrid>
        <w:gridCol w:w="9106"/>
        <w:gridCol w:w="146"/>
        <w:gridCol w:w="146"/>
        <w:gridCol w:w="286"/>
        <w:gridCol w:w="191"/>
      </w:tblGrid>
      <w:tr>
        <w:trPr/>
        <w:tc>
          <w:tcPr>
            <w:tcW w:w="9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audit_opinion_current">
              <w:r>
                <w:rPr>
                  <w:rStyle w:val="InternetLink"/>
                  <w:rFonts w:ascii="Times New Roman" w:hAnsi="Times New Roman"/>
                  <w:color w:val="0000FF"/>
                  <w:sz w:val="18"/>
                  <w:u w:val="single"/>
                </w:rPr>
                <w:t>Report of Independent Registered Public Accounting Firm (CBIZ CPAs PC (PCAOB ID Number #199)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opinion_dt">
              <w:r>
                <w:rPr>
                  <w:rStyle w:val="InternetLink"/>
                  <w:rFonts w:ascii="Times New Roman" w:hAnsi="Times New Roman"/>
                  <w:color w:val="0000FF"/>
                  <w:sz w:val="18"/>
                  <w:u w:val="single"/>
                </w:rPr>
                <w:t>Report of Independent Registered Public Accounting Firm (Deloitte and Touche LLP; San Diego, California; PCAOB ID# 34)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38</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d58841d10k_htm_tx58841_102">
              <w:r>
                <w:rPr>
                  <w:rStyle w:val="InternetLink"/>
                  <w:rFonts w:ascii="Times New Roman" w:hAnsi="Times New Roman"/>
                  <w:color w:val="0000FF"/>
                  <w:sz w:val="18"/>
                  <w:u w:val="single"/>
                </w:rPr>
                <w:t>Consolidated Balance Sheets</w:t>
              </w:r>
            </w:hyperlink>
            <w:hyperlink w:anchor="d58841d10k_htm_tx58841_102">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d58841d10k_htm_tx58841_103">
              <w:r>
                <w:rPr>
                  <w:rStyle w:val="InternetLink"/>
                  <w:rFonts w:ascii="Times New Roman" w:hAnsi="Times New Roman"/>
                  <w:color w:val="0000FF"/>
                  <w:sz w:val="18"/>
                  <w:u w:val="single"/>
                </w:rPr>
                <w:t>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d58841d10k_htm_tx58841_104">
              <w:r>
                <w:rPr>
                  <w:rStyle w:val="InternetLink"/>
                  <w:rFonts w:ascii="Times New Roman" w:hAnsi="Times New Roman"/>
                  <w:color w:val="0000FF"/>
                  <w:sz w:val="18"/>
                  <w:u w:val="single"/>
                </w:rPr>
                <w:t>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d58841d10k_htm_tx58841_105">
              <w:r>
                <w:rPr>
                  <w:rStyle w:val="InternetLink"/>
                  <w:rFonts w:ascii="Times New Roman" w:hAnsi="Times New Roman"/>
                  <w:color w:val="0000FF"/>
                  <w:sz w:val="18"/>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6" w:type="dxa"/>
            <w:tcBorders/>
            <w:tcMar>
              <w:top w:w="0" w:type="dxa"/>
              <w:left w:w="0" w:type="dxa"/>
              <w:bottom w:w="0" w:type="dxa"/>
              <w:right w:w="0" w:type="dxa"/>
            </w:tcMar>
            <w:vAlign w:val="center"/>
          </w:tcPr>
          <w:p>
            <w:pPr>
              <w:pStyle w:val="TableContents"/>
              <w:bidi w:val="0"/>
              <w:spacing w:before="0" w:after="283"/>
              <w:jc w:val="left"/>
              <w:rPr/>
            </w:pPr>
            <w:hyperlink w:anchor="d58841d10k_htm_tx58841_106">
              <w:r>
                <w:rPr>
                  <w:rStyle w:val="InternetLink"/>
                  <w:rFonts w:ascii="Times New Roman" w:hAnsi="Times New Roman"/>
                  <w:color w:val="0000FF"/>
                  <w:sz w:val="18"/>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b/>
          <w:color w:val="000000"/>
          <w:sz w:val="22"/>
        </w:rPr>
      </w:pPr>
      <w:bookmarkStart w:id="33" w:name="audit_opinion_current"/>
      <w:bookmarkEnd w:id="33"/>
      <w:r>
        <w:rPr>
          <w:rFonts w:ascii="Times New Roman" w:hAnsi="Times New Roman"/>
          <w:b/>
          <w:color w:val="000000"/>
          <w:sz w:val="22"/>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Stockholders and Board of Directors of Lite Strategy, Inc.</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 of Lite Strategy, Inc. (the “Company”) as of June 30, 2026, the related consolidated statements of operations, stockholders’ equity, and cash flows for the year ended June 30, 2026, and the related notes (collectively referred to as the “financial statements”). In our opinion, the consolidated financial statements referred to above present fairly, in all material respects, the financial position of the Company as of June 30, 2026, and the results of its operations and its cash flows for the year ended June 30, 2026, in conformity with accounting principles generally accepted in the United States of America.</w:t>
      </w:r>
    </w:p>
    <w:p>
      <w:pPr>
        <w:pStyle w:val="TextBody"/>
        <w:bidi w:val="0"/>
        <w:jc w:val="both"/>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Emphasis of Matter – Investment in Litecoin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forming our opinion, we have considered the adequacy of disclosure within Market, Custody and Operational Risks of Digital Assets in Note 2 to the financial statements, which describes the significant risks and uncertainties that could materially affect the Company’s financial condition and results of operations. As discussed in Note 2, the Company holds a substantial concentration in Litecoin, a digital asset that is subject to high market volatility and speculative trading, regulatory uncertainties, cybersecurity threats, and risks related to its custody and legal status. These factors may result in material adverse effects, including potential losses, increased variability in earnings, and exposure to additional regulatory requirements and operational disruptions.</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CBIZ CPAs P.C.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Costa Mesa, CA</w:t>
        <w:br/>
        <w:t>September 28,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2"/>
        </w:rPr>
      </w:pPr>
      <w:bookmarkStart w:id="34" w:name="opinion_dt"/>
      <w:bookmarkEnd w:id="34"/>
      <w:r>
        <w:rPr>
          <w:rFonts w:ascii="Times New Roman" w:hAnsi="Times New Roman"/>
          <w:b/>
          <w:color w:val="000000"/>
          <w:sz w:val="22"/>
        </w:rPr>
        <w:t>REPORT OF INDEPENDENT REGISTERED PUBLIC ACCOUNTING FIRM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the shareholders and the Board of Directors of Lite Strategy, Inc.</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Opinion on the Financial Statements</w:t>
      </w:r>
    </w:p>
    <w:p>
      <w:pPr>
        <w:pStyle w:val="TextBody"/>
        <w:bidi w:val="0"/>
        <w:jc w:val="left"/>
        <w:rPr>
          <w:rFonts w:ascii="Times New Roman" w:hAnsi="Times New Roman"/>
          <w:color w:val="000000"/>
          <w:sz w:val="22"/>
        </w:rPr>
      </w:pPr>
      <w:r>
        <w:rPr>
          <w:rFonts w:ascii="Times New Roman" w:hAnsi="Times New Roman"/>
          <w:color w:val="000000"/>
          <w:sz w:val="22"/>
        </w:rPr>
        <w:t>We have audited the accompanying consolidated balance sheets of Lite Strategy, Inc. and subsidiary (the "Company") as of June 30, 2025, the related consolidated statements of operations, stockholders' equity, and cash flows, for the year ended June 30, 2025, and the related notes (collectively referred to as the "financial statements"). In our opinion, the financial statements present fairly, in all material respects, the financial position of the Company as of June 30, 2025, and the results of its operations and its cash flows for the ended June 30, 2025, in conformity with accounting principles generally accepted in the United States of America.</w:t>
      </w:r>
    </w:p>
    <w:p>
      <w:pPr>
        <w:pStyle w:val="TextBody"/>
        <w:bidi w:val="0"/>
        <w:jc w:val="left"/>
        <w:rPr/>
      </w:pPr>
      <w:r>
        <w:rPr/>
        <w:t> </w:t>
      </w:r>
    </w:p>
    <w:p>
      <w:pPr>
        <w:pStyle w:val="TextBody"/>
        <w:bidi w:val="0"/>
        <w:spacing w:before="40" w:after="240"/>
        <w:jc w:val="left"/>
        <w:rPr>
          <w:rFonts w:ascii="Times New Roman" w:hAnsi="Times New Roman"/>
          <w:b/>
          <w:color w:val="000000"/>
          <w:sz w:val="22"/>
        </w:rPr>
      </w:pPr>
      <w:r>
        <w:rPr>
          <w:rFonts w:ascii="Times New Roman" w:hAnsi="Times New Roman"/>
          <w:b/>
          <w:color w:val="000000"/>
          <w:sz w:val="22"/>
        </w:rPr>
        <w:t>Basis for Opinion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Deloitte &amp; Touche LLP</w:t>
      </w:r>
    </w:p>
    <w:p>
      <w:pPr>
        <w:pStyle w:val="TextBody"/>
        <w:bidi w:val="0"/>
        <w:jc w:val="left"/>
        <w:rPr>
          <w:rFonts w:ascii="Times New Roman" w:hAnsi="Times New Roman"/>
          <w:color w:val="000000"/>
          <w:sz w:val="22"/>
        </w:rPr>
      </w:pPr>
      <w:r>
        <w:rPr>
          <w:rFonts w:ascii="Times New Roman" w:hAnsi="Times New Roman"/>
          <w:color w:val="000000"/>
          <w:sz w:val="22"/>
        </w:rPr>
        <w:t>San Diego, CA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September 26, 2025</w:t>
      </w:r>
    </w:p>
    <w:p>
      <w:pPr>
        <w:pStyle w:val="TextBody"/>
        <w:bidi w:val="0"/>
        <w:jc w:val="left"/>
        <w:rPr>
          <w:rFonts w:ascii="Times New Roman" w:hAnsi="Times New Roman"/>
          <w:color w:val="000000"/>
          <w:sz w:val="22"/>
        </w:rPr>
      </w:pPr>
      <w:r>
        <w:rPr>
          <w:rFonts w:ascii="Times New Roman" w:hAnsi="Times New Roman"/>
          <w:color w:val="000000"/>
          <w:sz w:val="22"/>
        </w:rPr>
        <w:t>We served as the Company's auditor from 2024 to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5" w:name="d58841d10k_htm_tx58841_102"/>
      <w:bookmarkStart w:id="36" w:name="fis_balance_sheet"/>
      <w:bookmarkEnd w:id="35"/>
      <w:bookmarkEnd w:id="36"/>
      <w:r>
        <w:rPr>
          <w:rFonts w:ascii="Times New Roman" w:hAnsi="Times New Roman"/>
          <w:b/>
          <w:color w:val="000000"/>
          <w:sz w:val="20"/>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par value amounts)</w:t>
      </w:r>
    </w:p>
    <w:tbl>
      <w:tblPr>
        <w:tblW w:w="9659" w:type="dxa"/>
        <w:jc w:val="left"/>
        <w:tblInd w:w="0" w:type="dxa"/>
        <w:tblLayout w:type="fixed"/>
        <w:tblCellMar>
          <w:top w:w="28" w:type="dxa"/>
          <w:left w:w="28" w:type="dxa"/>
          <w:bottom w:w="28" w:type="dxa"/>
          <w:right w:w="28" w:type="dxa"/>
        </w:tblCellMar>
      </w:tblPr>
      <w:tblGrid>
        <w:gridCol w:w="6486"/>
        <w:gridCol w:w="146"/>
        <w:gridCol w:w="211"/>
        <w:gridCol w:w="841"/>
        <w:gridCol w:w="166"/>
        <w:gridCol w:w="146"/>
        <w:gridCol w:w="211"/>
        <w:gridCol w:w="841"/>
        <w:gridCol w:w="611"/>
      </w:tblGrid>
      <w:tr>
        <w:trPr/>
        <w:tc>
          <w:tcPr>
            <w:tcW w:w="6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SAFE and Token Warrants,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 shares authorized; none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$0.00000002 par value; 226,000 shares authorized; 36,785 </w:t>
              <w:br/>
              <w:t>    and 6,663 shares issued at June 30, 2026 and June 30, 2025, respectively,</w:t>
              <w:br/>
              <w:t>     and 32,407 and 6,663 shares outstanding at June 30, 2026 and 2025,</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Treasury stock, at cost, 4,379 and no shares at June 30, 2026 and </w:t>
              <w:br/>
              <w:t>   June 30,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7" w:name="d58841d10k_htm_tx58841_103"/>
      <w:bookmarkStart w:id="38" w:name="fis_income_statement"/>
      <w:bookmarkEnd w:id="37"/>
      <w:bookmarkEnd w:id="38"/>
      <w:r>
        <w:rPr>
          <w:rFonts w:ascii="Times New Roman" w:hAnsi="Times New Roman"/>
          <w:b/>
          <w:color w:val="000000"/>
          <w:sz w:val="20"/>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tbl>
      <w:tblPr>
        <w:tblW w:w="8197" w:type="dxa"/>
        <w:jc w:val="left"/>
        <w:tblInd w:w="0" w:type="dxa"/>
        <w:tblLayout w:type="fixed"/>
        <w:tblCellMar>
          <w:top w:w="28" w:type="dxa"/>
          <w:left w:w="28" w:type="dxa"/>
          <w:bottom w:w="28" w:type="dxa"/>
          <w:right w:w="28" w:type="dxa"/>
        </w:tblCellMar>
      </w:tblPr>
      <w:tblGrid>
        <w:gridCol w:w="4366"/>
        <w:gridCol w:w="146"/>
        <w:gridCol w:w="294"/>
        <w:gridCol w:w="1026"/>
        <w:gridCol w:w="231"/>
        <w:gridCol w:w="203"/>
        <w:gridCol w:w="294"/>
        <w:gridCol w:w="1026"/>
        <w:gridCol w:w="6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(66,577</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 in fair value of digital assets </w:t>
              <w:br/>
              <w:t>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derivative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a nonfinancial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(71,150</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w:t>
              <w:br/>
              <w:t>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9" w:name="d58841d10k_htm_tx58841_104"/>
      <w:bookmarkStart w:id="40" w:name="fis_stockholders_equity"/>
      <w:bookmarkEnd w:id="39"/>
      <w:bookmarkEnd w:id="40"/>
      <w:r>
        <w:rPr>
          <w:rFonts w:ascii="Times New Roman" w:hAnsi="Times New Roman"/>
          <w:b/>
          <w:color w:val="000000"/>
          <w:sz w:val="20"/>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9"/>
        <w:gridCol w:w="146"/>
        <w:gridCol w:w="161"/>
        <w:gridCol w:w="665"/>
        <w:gridCol w:w="146"/>
        <w:gridCol w:w="146"/>
        <w:gridCol w:w="205"/>
        <w:gridCol w:w="726"/>
        <w:gridCol w:w="166"/>
        <w:gridCol w:w="146"/>
        <w:gridCol w:w="233"/>
        <w:gridCol w:w="893"/>
        <w:gridCol w:w="166"/>
        <w:gridCol w:w="146"/>
        <w:gridCol w:w="196"/>
        <w:gridCol w:w="571"/>
        <w:gridCol w:w="166"/>
        <w:gridCol w:w="146"/>
        <w:gridCol w:w="196"/>
        <w:gridCol w:w="571"/>
        <w:gridCol w:w="166"/>
        <w:gridCol w:w="146"/>
        <w:gridCol w:w="262"/>
        <w:gridCol w:w="888"/>
        <w:gridCol w:w="313"/>
      </w:tblGrid>
      <w:tr>
        <w:trPr/>
        <w:tc>
          <w:tcPr>
            <w:tcW w:w="2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33,020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16,931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(71,150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Proceeds from the sale of Common Stock </w:t>
              <w:br/>
              <w:t xml:space="preserve">    at $3.42 per share in July 2025, net of </w:t>
              <w:br/>
              <w: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60,326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Proceeds from the issuance of Pre-Funded </w:t>
              <w:br/>
              <w:t xml:space="preserve">    Warrants at $3.4199 per share in </w:t>
              <w:br/>
              <w:t>     July 2025,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Issuance of Advisory Warrants for </w:t>
              <w:br/>
              <w:t>    services rendered in the July</w:t>
              <w:br/>
              <w:t>    2025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Issuance of Common Stock upon exercise </w:t>
              <w:br/>
              <w:t>    of Pre-Funded Warrants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Issuance of Common Stock upon cashless </w:t>
              <w:br/>
              <w:t>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through our</w:t>
              <w:br/>
              <w:t>    ATM,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Issuance of Pre-Funded Warrants to asset </w:t>
              <w:br/>
              <w:t>    manager in lieu of cash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Issuance of Advisory Warrants in lieu of </w:t>
              <w:br/>
              <w:t>    cash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41" w:name="fis_cash_flow"/>
      <w:bookmarkStart w:id="42" w:name="d58841d10k_htm_tx58841_105"/>
      <w:bookmarkEnd w:id="41"/>
      <w:bookmarkEnd w:id="42"/>
      <w:r>
        <w:rPr>
          <w:rFonts w:ascii="Times New Roman" w:hAnsi="Times New Roman"/>
          <w:b/>
          <w:color w:val="000000"/>
          <w:sz w:val="20"/>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tbl>
      <w:tblPr>
        <w:tblW w:w="10090" w:type="dxa"/>
        <w:jc w:val="left"/>
        <w:tblInd w:w="0" w:type="dxa"/>
        <w:tblLayout w:type="fixed"/>
        <w:tblCellMar>
          <w:top w:w="28" w:type="dxa"/>
          <w:left w:w="28" w:type="dxa"/>
          <w:bottom w:w="28" w:type="dxa"/>
          <w:right w:w="28" w:type="dxa"/>
        </w:tblCellMar>
      </w:tblPr>
      <w:tblGrid>
        <w:gridCol w:w="6261"/>
        <w:gridCol w:w="146"/>
        <w:gridCol w:w="280"/>
        <w:gridCol w:w="1119"/>
        <w:gridCol w:w="220"/>
        <w:gridCol w:w="194"/>
        <w:gridCol w:w="280"/>
        <w:gridCol w:w="979"/>
        <w:gridCol w:w="61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derivative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asset management and advisory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a nonfinancial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written Covered Call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SAFE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maturity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disposition of a nonfinancial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(95,107</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and Pre-Funded Warrants</w:t>
              <w:br/>
              <w:t>     in July 2025,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through our ATM Program, net</w:t>
              <w:br/>
              <w: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Advisory Warrants for services rendered in the July 2025 PIPE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Pre-Funded Warrants to asset manager in lieu of cash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Advisory Warrants in lieu of cash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 transferred to digital assets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 returned by GSR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43" w:name="fis_notes_to_financial_statement"/>
      <w:bookmarkStart w:id="44" w:name="d58841d10k_htm_tx58841_106"/>
      <w:bookmarkEnd w:id="43"/>
      <w:bookmarkEnd w:id="44"/>
      <w:r>
        <w:rPr>
          <w:rFonts w:ascii="Times New Roman" w:hAnsi="Times New Roman"/>
          <w:b/>
          <w:color w:val="000000"/>
          <w:sz w:val="20"/>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sz w:val="20"/>
        </w:rPr>
      </w:pPr>
      <w:bookmarkStart w:id="45" w:name="fn1_title"/>
      <w:bookmarkEnd w:id="45"/>
      <w:r>
        <w:rPr>
          <w:rFonts w:ascii="Times New Roman" w:hAnsi="Times New Roman"/>
          <w:b/>
          <w:color w:val="000000"/>
          <w:sz w:val="20"/>
        </w:rPr>
        <w:t>Note 1. Description of Business and</w:t>
      </w:r>
      <w:r>
        <w:rPr>
          <w:rFonts w:ascii="Times New Roman" w:hAnsi="Times New Roman"/>
          <w:color w:val="000000"/>
          <w:sz w:val="20"/>
        </w:rPr>
        <w:t xml:space="preserve"> </w:t>
      </w:r>
      <w:r>
        <w:rPr>
          <w:rFonts w:ascii="Times New Roman" w:hAnsi="Times New Roman"/>
          <w:b/>
          <w:color w:val="000000"/>
          <w:sz w:val="20"/>
        </w:rPr>
        <w:t>Basis of Presentation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pPr>
      <w:r>
        <w:rPr>
          <w:rFonts w:ascii="Times New Roman" w:hAnsi="Times New Roman"/>
          <w:color w:val="000000"/>
          <w:sz w:val="20"/>
        </w:rPr>
        <w:t>Lite Strategy, Inc. (Nasdaq: LITS) is a pharmaceutical company that has historically developed novel and differentiated cancer therapies. During fiscal year 2026, we commenced pre-clinical development programs in nononcologic disease indications. We also hold Litecoin (LTC) tokens as a primary reserve asset as part of our broader institutional treasury strategy. We initially built our pipeline by acquiring promising cancer agents and creating value in programs through development, strategic partnerships, and out-licensing or commercialization, as appropriate. Our approach to pre-clinical drug 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PI3Kδ inhibitor a</w:t>
      </w:r>
      <w:r>
        <w:rPr>
          <w:rFonts w:ascii="Times New Roman" w:hAnsi="Times New Roman"/>
          <w:color w:val="231F20"/>
          <w:sz w:val="20"/>
        </w:rPr>
        <w:t xml:space="preserve">nd, prior to its sale in October 2024 to Aardvark Therapeutics, Inc., ME-344, </w:t>
      </w:r>
      <w:r>
        <w:rPr>
          <w:rFonts w:ascii="Times New Roman" w:hAnsi="Times New Roman"/>
          <w:color w:val="000000"/>
          <w:sz w:val="20"/>
        </w:rPr>
        <w:t xml:space="preserve">as more fully discussed in </w:t>
      </w:r>
      <w:hyperlink w:anchor="fn_dis_nonfin_asset">
        <w:r>
          <w:rPr>
            <w:rStyle w:val="InternetLink"/>
            <w:rFonts w:ascii="Times New Roman" w:hAnsi="Times New Roman"/>
            <w:i/>
            <w:color w:val="0000FF"/>
            <w:sz w:val="20"/>
            <w:u w:val="single"/>
          </w:rPr>
          <w:t>Note 15. Disposition of a Nonfinancial Asset</w:t>
        </w:r>
      </w:hyperlink>
      <w:r>
        <w:rPr>
          <w:rFonts w:ascii="Times New Roman" w:hAnsi="Times New Roman"/>
          <w:color w:val="000000"/>
          <w:sz w:val="20"/>
        </w:rPr>
        <w:t xml:space="preserve">, </w:t>
      </w:r>
      <w:r>
        <w:rPr>
          <w:rFonts w:ascii="Times New Roman" w:hAnsi="Times New Roman"/>
          <w:color w:val="231F20"/>
          <w:sz w:val="20"/>
        </w:rPr>
        <w:t>an intravenous small molecule mitochondrial inhibitor targeting the oxidative phosphorylation pathway in the mitochondria</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shifting our Litecoin Treasury Strategy (as defined below) from initial LTC accumulation to active capital market operations, on October 29, 2025, we announced that our board of directors (Board) authorized a program to repurchase shares of our common stock, par value $0.00000002 (Common Stock), up to an aggregate amount of $25.0 million (the Share Repurchase Program), excluding fees, commissions, and excise tax due under the Inflation Reduction Act of 2022. The Share Repurchase Program was effective immediately and provides for shares to be repurchased in the open market, privately negotiated transactions or otherwise. The timing of purchases and the exact number of shares to be purchased under the Share Repurchase Program will depend on market conditions, does not include specific price targets or timetables and may be suspended or terminated by us at any time. We intend to finance the purchases using proceeds from our Covered Call Options (as defined below) or from the liquidation of a portion of our LTC tokens.</w:t>
      </w:r>
    </w:p>
    <w:p>
      <w:pPr>
        <w:pStyle w:val="TextBody"/>
        <w:bidi w:val="0"/>
        <w:spacing w:before="120" w:after="283"/>
        <w:jc w:val="left"/>
        <w:rPr/>
      </w:pPr>
      <w:r>
        <w:rPr>
          <w:rFonts w:ascii="Times New Roman" w:hAnsi="Times New Roman"/>
          <w:color w:val="000000"/>
          <w:sz w:val="20"/>
        </w:rPr>
        <w:t xml:space="preserve">As more fully described in </w:t>
      </w:r>
      <w:hyperlink w:anchor="fn_stockholders_equity">
        <w:r>
          <w:rPr>
            <w:rStyle w:val="InternetLink"/>
            <w:rFonts w:ascii="Times New Roman" w:hAnsi="Times New Roman"/>
            <w:i/>
            <w:color w:val="0000FF"/>
            <w:sz w:val="20"/>
            <w:u w:val="single"/>
          </w:rPr>
          <w:t xml:space="preserve">Note 11. </w:t>
        </w:r>
      </w:hyperlink>
      <w:hyperlink w:anchor="fn_stockholders_equity">
        <w:r>
          <w:rPr>
            <w:rStyle w:val="InternetLink"/>
            <w:rFonts w:ascii="Times New Roman" w:hAnsi="Times New Roman"/>
            <w:color w:val="0000FF"/>
            <w:sz w:val="20"/>
            <w:u w:val="single"/>
          </w:rPr>
          <w:t>S</w:t>
        </w:r>
      </w:hyperlink>
      <w:hyperlink w:anchor="fn_stockholders_equity">
        <w:r>
          <w:rPr>
            <w:rStyle w:val="InternetLink"/>
            <w:rFonts w:ascii="Times New Roman" w:hAnsi="Times New Roman"/>
            <w:i/>
            <w:color w:val="0000FF"/>
            <w:sz w:val="20"/>
            <w:u w:val="single"/>
          </w:rPr>
          <w:t>tockholders' Equity</w:t>
        </w:r>
      </w:hyperlink>
      <w:r>
        <w:rPr>
          <w:rFonts w:ascii="Times New Roman" w:hAnsi="Times New Roman"/>
          <w:i/>
          <w:color w:val="000000"/>
          <w:sz w:val="20"/>
        </w:rPr>
        <w:t xml:space="preserve">, </w:t>
      </w:r>
      <w:r>
        <w:rPr>
          <w:rFonts w:ascii="Times New Roman" w:hAnsi="Times New Roman"/>
          <w:color w:val="000000"/>
          <w:sz w:val="20"/>
        </w:rPr>
        <w:t>in December 2025, we commenced utilization of our Share Repurchase Program.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Litecoin Treasury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implement treasury management strategies and align with emerging financial technologies with an emphasis on privacy and payment processing.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Private Investment in Public Equity (PIPE) and Related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2025 (the Closing Date), we closed on a $100.0 million PIPE and issued an aggregate of (i) 23,216,898 shares of Common Stock, at an offering price of $3.42 per share and (ii) pre-funded warrants (the Pre-Funded Warrants), to purchase up to an aggregate of 6,022,869 shares of Common Stock, at an offering price of $3.4199 per Pre-Funded Warrant (the Offering).</w:t>
      </w:r>
    </w:p>
    <w:p>
      <w:pPr>
        <w:pStyle w:val="TextBody"/>
        <w:bidi w:val="0"/>
        <w:spacing w:before="120" w:after="283"/>
        <w:jc w:val="left"/>
        <w:rPr/>
      </w:pPr>
      <w:r>
        <w:rPr>
          <w:rFonts w:ascii="Times New Roman" w:hAnsi="Times New Roman"/>
          <w:color w:val="000000"/>
          <w:sz w:val="20"/>
        </w:rPr>
        <w:t xml:space="preserve">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 (iv) a strategic advisor agreement and (v) a new at-the-market sales agreement (the Sales Agreement). As consideration of services provided associated with the PIPE, we issued warrants for the purchase of up to 3,070,177 shares of Common Stock with a weighted-average exercise price of approximately $4.10 per share. See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for a summary of the fair value assumptions used to value the Advisory Warrants upon the closing of the PIPE.</w:t>
      </w:r>
    </w:p>
    <w:p>
      <w:pPr>
        <w:pStyle w:val="TextBody"/>
        <w:bidi w:val="0"/>
        <w:spacing w:before="120" w:after="283"/>
        <w:jc w:val="left"/>
        <w:rPr>
          <w:rFonts w:ascii="Times New Roman" w:hAnsi="Times New Roman"/>
          <w:i/>
          <w:color w:val="000000"/>
          <w:sz w:val="20"/>
        </w:rPr>
      </w:pPr>
      <w:bookmarkStart w:id="46" w:name="strat_alt"/>
      <w:bookmarkEnd w:id="46"/>
      <w:r>
        <w:rPr>
          <w:rFonts w:ascii="Times New Roman" w:hAnsi="Times New Roman"/>
          <w:i/>
          <w:color w:val="000000"/>
          <w:sz w:val="20"/>
        </w:rPr>
        <w:t>Strategic Alternatives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the clinical development of voruciclib in oncology, while we continued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of strategic alternatives concluded with the August 2025 implementation of the Litecoin Treasury Strategy and a commitment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nononcologic disease indications for potential out-licensing or sale related opportunities.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prepared the consolidated financial statements in accordance with accounting principles generally accepted in the United States (GAAP) and the rules and regulations of the Securities and Exchange Commission (SEC) related to annual reports on Form 10</w:t>
        <w:noBreakHyphen/>
        <w:t xml:space="preserve">K. The accompanying consolidated financial statements include the accounts of Lite Strategy, Inc. and our wholly owned subsidiary, Meadow Merger Sub, Inc. We have eliminated all intercompany accounts and transactions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evaluated subsequent events through the date the consolidated financial statements were issued.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obtained cash and funded our operations primarily through equity financings and license agreements. We have accumulated losses of $475.3 million since inception and expect to incur operating losses and generate negative cash flows from operations for the foreseeable future. As of June 30, 2026, we had $5.7 million in cash and cash equivalents. In connection with our July 2024 announcement regarding the evaluation of our strategic alternatives, we discontinued the clinical development of voruciclib in patients with acute myeloid leukemia. During fiscal year 2026, we commenced pre-clinical development programs for voruciclib in nononcologic disease indications. As a result, we will continue to incur R&amp;D expenses in connection with our nonclinical projects. We believe that our cash and digital assets balance will be sufficient to meet our obligations and fund operations for at least the next 12 months from the issuance of these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obtained cash and funded our operations primarily through equity financings and license agreements. We may require one or more capital transactions, whether through the sale of equity securities, debt financing, license agreements or entry into strategic partnerships at some point in the future to continue the development of our pre-clinical drug candidates and expand our Litecoin Treasury Strategy. There can be no assurance that we will be able to continue to raise additional capital in the future.</w:t>
      </w:r>
    </w:p>
    <w:p>
      <w:pPr>
        <w:pStyle w:val="TextBody"/>
        <w:bidi w:val="0"/>
        <w:spacing w:before="360" w:after="283"/>
        <w:jc w:val="left"/>
        <w:rPr>
          <w:rFonts w:ascii="Times New Roman" w:hAnsi="Times New Roman"/>
          <w:b/>
          <w:color w:val="000000"/>
          <w:sz w:val="20"/>
        </w:rPr>
      </w:pPr>
      <w:bookmarkStart w:id="47" w:name="fn2_sumsigpolicies"/>
      <w:bookmarkEnd w:id="47"/>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amounts reported in the consolidated financial statements and disclosures made in the accompanying notes to the consolidated financial statements. We use estimates that affect the reported amounts (including assets, liabilities, revenues and expenses) and related disclosures. Actual results could materially differ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derivatives liabilities associated with our Covered Call Options (as defined below), valuation of share-based awards including warrants issued for services, clinical trial accruals, potential loss contingencies, deferred income taxes and related valuation allowances, and the assessment of our ability to fund our operations for at least the next 12 months from the date of issuance of these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Market, Custody and Operational Risks of Digital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risks including market risk, liquidity risk, and other risks related to our concentration in a single asset, LTC. Investing in LTC is highly speculative and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fair value of our digital assets is calculated by reference to the principal market price in accordance with U.S. GAAP, fluctuations in the price of LTC could materially and adversely affect an investment in us. LTC prices have been volatile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subject to influence by many factors, including LTC's levels of liquidity, which have historically been limited. If digital asset markets continue to experience significant price fluctuations, we may experience losses. During LTC's limited history, it has been subject to various factors affecting the price of LTC, including, but not limited to, global LTC supply and demand, compliance and internal control failures leading to the theft of LTC from global trading platforms or vaults, limited liquidity and trading volumes compared to sovereign currencies market and competition from other forms of digital currency or payment services, and global or regional political, economic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risk that some or all our LTC could be lost or stolen. There can be no assurance that the custodian will maintain adequate insurance or that such coverage will cover losses with respect to our LTC. Further, transactions in LTC are irrevocable. Stolen or incorrectly transferred LTC may be irretrievable. Further, any LTC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As a result, any incorrectly executed LTC transactions could adversely affect an investment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service providers to perform certain functions essential to our operations. Any disruptions to our service providers’ business operations resulting from business failures, financial instability, security failures, government mandated regulation or operational problems could have an adverse impact on our ability to access critical services and be disruptive to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LTC is subject to a developing regulatory landscape. On March 17, 2026, the SEC issued an interpretation addressing how the federal securities laws apply to certain types of crypto assets and transactions involving crypto assets (the Digital Asset Interpretation). While not a binding regulation, the Digital Asset Interpretation represents a shift in the SEC’s regulatory posture toward the crypto asset industry, moving from reliance primarily on enforcement actions to affirmative guidance establishing a classification framework and clarifying when crypto-related activities do or do not implicate the federal securities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the Digital Asset Interpretation, the SEC classified crypto assets into five categories based on their characteristics, uses, and functions. “Digital commodities,” “digital collectibles” including “meme coins,” and “digital tools” are not themselves securities according to the SEC. A “digital commodity” is a crypto asset intrinsically linked to, and deriving its value from, the programmatic operation of a “functional” crypto system and supply and demand dynamics, rather than from the expectation of profits based on the essential managerial efforts of others. A digital commodity is not a security. The Digital Asset Interpretation identifies a number of specific crypto assets as digital commodities, including LTC.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Commodity Futures Trading Commission (the CFTC) joined the </w:t>
      </w:r>
      <w:r>
        <w:rPr>
          <w:rFonts w:ascii="Times New Roman" w:hAnsi="Times New Roman"/>
          <w:color w:val="231F20"/>
          <w:sz w:val="20"/>
        </w:rPr>
        <w:t>Digital Asset Interpretation</w:t>
      </w:r>
      <w:r>
        <w:rPr>
          <w:rFonts w:ascii="Times New Roman" w:hAnsi="Times New Roman"/>
          <w:color w:val="000000"/>
          <w:sz w:val="20"/>
        </w:rPr>
        <w:t xml:space="preserve"> to provide guidance that the CFTC and its staff will administer the Commodities Exchange Act of 1936, as amended (the </w:t>
      </w:r>
      <w:r>
        <w:rPr>
          <w:rFonts w:ascii="Times New Roman" w:hAnsi="Times New Roman"/>
          <w:color w:val="000000"/>
          <w:sz w:val="20"/>
          <w:u w:val="single"/>
        </w:rPr>
        <w:t>CEA</w:t>
      </w:r>
      <w:r>
        <w:rPr>
          <w:rFonts w:ascii="Times New Roman" w:hAnsi="Times New Roman"/>
          <w:color w:val="000000"/>
          <w:sz w:val="20"/>
        </w:rPr>
        <w:t>) consistent with the SEC’s interpretation. Accordingly, by following the Digital Asset Interpretation, the CFTC will continue to regulate LTC as a digital commodity. Under the CEA, the CFTC has broad enforcement authority to police market manipulation and fraud in spot digital asset markets in which we may transact. Beyond instances of fraud or manipulation, the CFTC generally does not oversee cash or spot market exchanges or transactions involving digital asset commodities that do not utilize margin, leverage or financing. In addition, CFTC regulations and CFTC oversight and enforcement authority apply with respect to futures, swaps, other derivative products and certain retail leveraged commodity transactions involving digital asset commodities, including the markets on which these products trade and the Digital Asset Interpretation does not include in its taxonomy digital derivatives or digital swaps or address regulation regarding these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the </w:t>
      </w:r>
      <w:r>
        <w:rPr>
          <w:rFonts w:ascii="Times New Roman" w:hAnsi="Times New Roman"/>
          <w:color w:val="231F20"/>
          <w:sz w:val="20"/>
        </w:rPr>
        <w:t>Digital Asset Interpretation</w:t>
      </w:r>
      <w:r>
        <w:rPr>
          <w:rFonts w:ascii="Times New Roman" w:hAnsi="Times New Roman"/>
          <w:color w:val="000000"/>
          <w:sz w:val="20"/>
        </w:rPr>
        <w:t xml:space="preserve">, even if a crypto asset is deemed to be a non-security crypto asset (such as a digital commodity), the interpretation takes the view that the non-security crypto asset may still be subject to an investment contract, even in the secondary market, and thus secondary market transactions, even in such non-security crypto assets, might be subject to the federal securities laws. While the Digital Asset Interpretation conveys the SEC’s views on how the definition of “security” applies to crypto assets, it does not have the binding force of a regulation adopted through notice-and-comment rulemaking. Accordingly, courts are not bound by it and may reach different conclusions, and the SEC could revise or withdraw it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that we will be able to register under the Investment Company Act of 1940 at such time, or take such other actions as may be necessary to ensure our activities comply with applicable law, which could force us to liquidate our LTC holdings.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pPr>
      <w:r>
        <w:rPr>
          <w:rFonts w:ascii="Times New Roman" w:hAnsi="Times New Roman"/>
          <w:color w:val="000000"/>
          <w:sz w:val="20"/>
        </w:rPr>
        <w:t xml:space="preserve">We consider all highly liquid investments with a maturity date of three months or less, when purchased, to be cash equivalents. We maintain cash and cash equivalent balances at financial institutions insured by the Federal Deposit Insurance Corporation (FDIC). At times, deposits held may exceed the amount of insurance provided by the FDIC. We have not experienced any losses in our cash and cash equivalents and management believes we are not exposed to significant credit risk with respect to such accounts. Our cash equivalents are classified as Level 1 inputs within the fair value hierarchy. See </w:t>
      </w:r>
      <w:hyperlink w:anchor="fn4_fvm">
        <w:r>
          <w:rPr>
            <w:rStyle w:val="InternetLink"/>
            <w:rFonts w:ascii="Times New Roman" w:hAnsi="Times New Roman"/>
            <w:i/>
            <w:color w:val="0000FF"/>
            <w:sz w:val="20"/>
            <w:u w:val="single"/>
          </w:rPr>
          <w:t>Note 5. Fair Value Measurements</w:t>
        </w:r>
      </w:hyperlink>
      <w:hyperlink w:anchor="fn4_fvm">
        <w:r>
          <w:rPr>
            <w:rStyle w:val="InternetLink"/>
            <w:rFonts w:ascii="Times New Roman" w:hAnsi="Times New Roman"/>
            <w:color w:val="0000FF"/>
            <w:sz w:val="20"/>
          </w:rPr>
          <w:t xml:space="preserve"> </w:t>
        </w:r>
      </w:hyperlink>
      <w:r>
        <w:rPr>
          <w:rFonts w:ascii="Times New Roman" w:hAnsi="Times New Roman"/>
          <w:color w:val="000000"/>
          <w:sz w:val="20"/>
        </w:rPr>
        <w:t>for further information on the fair value hierarchy</w:t>
      </w:r>
      <w:r>
        <w:rPr>
          <w:rFonts w:ascii="Times New Roman" w:hAnsi="Times New Roman"/>
          <w:i/>
          <w:color w:val="000000"/>
          <w:sz w:val="20"/>
        </w:rPr>
        <w:t>.</w:t>
      </w:r>
    </w:p>
    <w:p>
      <w:pPr>
        <w:pStyle w:val="TextBody"/>
        <w:bidi w:val="0"/>
        <w:spacing w:before="240" w:after="283"/>
        <w:jc w:val="left"/>
        <w:rPr>
          <w:rFonts w:ascii="Times New Roman" w:hAnsi="Times New Roman"/>
          <w:b/>
          <w:i/>
          <w:color w:val="000000"/>
          <w:sz w:val="20"/>
        </w:rPr>
      </w:pPr>
      <w:bookmarkStart w:id="48" w:name="digital_assets_policy"/>
      <w:bookmarkEnd w:id="48"/>
      <w:r>
        <w:rPr>
          <w:rFonts w:ascii="Times New Roman" w:hAnsi="Times New Roman"/>
          <w:b/>
          <w:i/>
          <w:color w:val="000000"/>
          <w:sz w:val="20"/>
        </w:rPr>
        <w:t>Digital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our Litecoin Treasury Strategy, we intend to hold our LTC for long-term investment purposes. We seek to generate returns on our LTC holdings, as LTC appreciates and actively pursue risk-adjusted return opportunities to generate cash flows that support our operating expenses. As a result, our LTC digital assets are included in long-term assets in the consolidated balances sheets, due to our intent to retain and hold our LTC. Pursuant to Accounting Standards Codification (ASC) Topic 350-60 </w:t>
      </w:r>
      <w:r>
        <w:rPr>
          <w:rFonts w:ascii="Times New Roman" w:hAnsi="Times New Roman"/>
          <w:i/>
          <w:color w:val="000000"/>
          <w:sz w:val="20"/>
        </w:rPr>
        <w:t>Intangibles</w:t>
      </w:r>
      <w:r>
        <w:rPr>
          <w:rFonts w:ascii="Times New Roman" w:hAnsi="Times New Roman"/>
          <w:color w:val="000000"/>
          <w:sz w:val="20"/>
        </w:rPr>
        <w:t xml:space="preserve"> - </w:t>
      </w:r>
      <w:r>
        <w:rPr>
          <w:rFonts w:ascii="Times New Roman" w:hAnsi="Times New Roman"/>
          <w:i/>
          <w:color w:val="000000"/>
          <w:sz w:val="20"/>
        </w:rPr>
        <w:t>Goodwill and Other - Crypto Assets</w:t>
      </w:r>
      <w:r>
        <w:rPr>
          <w:rFonts w:ascii="Times New Roman" w:hAnsi="Times New Roman"/>
          <w:color w:val="000000"/>
          <w:sz w:val="20"/>
        </w:rPr>
        <w:t xml:space="preserve"> (ASC 350-60) in-scope crypto assets are required to be measured at fair value in the statement of financial position, with gains and losses from changes in the fair value of such crypto assets recognized in net loss each reporting period. Proceeds from the sale of digital assets are included within investing activities in the consolidated statements of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350-60 does not address the initial measurement, recognition, and derecognition of crypto assets. As such, our digital assets were initially recorded at cost plus fees in accordance with ASC 350-30 </w:t>
      </w:r>
      <w:r>
        <w:rPr>
          <w:rFonts w:ascii="Times New Roman" w:hAnsi="Times New Roman"/>
          <w:i/>
          <w:color w:val="000000"/>
          <w:sz w:val="20"/>
        </w:rPr>
        <w:t>Intangibles - Goodwill and Other - General Intangibles Other Than Goodwill</w:t>
      </w:r>
      <w:r>
        <w:rPr>
          <w:rFonts w:ascii="Times New Roman" w:hAnsi="Times New Roman"/>
          <w:color w:val="000000"/>
          <w:sz w:val="20"/>
        </w:rPr>
        <w:t>. Our digital assets are recorded at fair value at each reporting period with changes in fair value of digital assets included as a component of operating activities in the consolidated statements of operations, as our LTC tokens could, if needed, be sold for use in our operations. Digital assets intended for use in operations and/or for the repurchase of our Common Stock are classified as current assets in the consolidated balance sheets.</w:t>
      </w:r>
    </w:p>
    <w:p>
      <w:pPr>
        <w:pStyle w:val="TextBody"/>
        <w:bidi w:val="0"/>
        <w:spacing w:before="120" w:after="283"/>
        <w:jc w:val="left"/>
        <w:rPr/>
      </w:pPr>
      <w:r>
        <w:rPr>
          <w:rFonts w:ascii="Times New Roman" w:hAnsi="Times New Roman"/>
          <w:color w:val="000000"/>
          <w:sz w:val="20"/>
        </w:rPr>
        <w:t xml:space="preserve">Our first purchase of LTC was on July 30, 2025. In accordance with ASC 350-60, our required adoption date was July 1, 2025 (beginning of the fiscal year that includes the interim period of adoption). LTC tokens are measured using Level 1 inputs under ASC 820 </w:t>
      </w:r>
      <w:r>
        <w:rPr>
          <w:rFonts w:ascii="Times New Roman" w:hAnsi="Times New Roman"/>
          <w:i/>
          <w:color w:val="000000"/>
          <w:sz w:val="20"/>
        </w:rPr>
        <w:t>Fair Value Measurement</w:t>
      </w:r>
      <w:r>
        <w:rPr>
          <w:rFonts w:ascii="Times New Roman" w:hAnsi="Times New Roman"/>
          <w:color w:val="000000"/>
          <w:sz w:val="20"/>
        </w:rPr>
        <w:t xml:space="preserve"> (ASC 820), based on quoted prices from a principal market, Coinbase, as Coinbase has the highest trading volume of LTC tokens (LTC Tokens), the native cryptocurrency of LTC, and is the market in which we transact in LTC Tokens. We track the cost basis of our digital assets based upon a first-in-first-out methodology. See </w:t>
      </w:r>
      <w:hyperlink w:anchor="fn_digital_assets">
        <w:r>
          <w:rPr>
            <w:rStyle w:val="InternetLink"/>
            <w:rFonts w:ascii="Times New Roman" w:hAnsi="Times New Roman"/>
            <w:i/>
            <w:color w:val="0000FF"/>
            <w:sz w:val="20"/>
            <w:u w:val="single"/>
          </w:rPr>
          <w:t>Note 4. Digital Assets</w:t>
        </w:r>
      </w:hyperlink>
      <w:r>
        <w:rPr>
          <w:rFonts w:ascii="Times New Roman" w:hAnsi="Times New Roman"/>
          <w:color w:val="000000"/>
          <w:sz w:val="20"/>
        </w:rPr>
        <w:t xml:space="preserve"> for further information. Except for digital assets pledged as collateral for our Covered Call Options (as defined below), our digital asset holdings are not subject to any contractual sale restrictions. Digital assets pledged as collateral are reported as digital assets receivable, net, and classified as long-term assets on the consolidated balance sheets, consistent with our intent to primarily retain LTC under our Litecoin Treasury Strategy.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Digital Assets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with GSR Markets Ltd (GSR Markets), an affiliate of GSR Strategies LLC (GSR or Asset Manager), in which we write covered call options on certain of our LTC holdings (Covered Call Options). In connection with these arrangements, we transfer LTC as collateral to GSR Markets, on a title-transfer basis. Upon transfer, we no longer have control of the specific LTC transferred; however, we retain a contractual right to receive the same quantity of LTC if the Covered Call Options expire unexercised.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title transfer, the amount of LTC collateralized is reclassified from digital assets to digital assets receivable, net, in the consolidated balance sheets. In addition, we recognize the difference between the fair value at the date of transfer and the initial purchase price of the LTC as a realized gain or loss within change in fair value of digital assets, a component of operating expenses in the consolidated statements of operations. The digital assets receivable, net, is remeasured at fair value at each reporting date in accordance with ASC 350-60.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Covered Call Options expire unexercised, GSR Markets may either return the LTC to us or retain the LTC to support future Covered Call Option contracts. If the LTC is retained by GSR Markets after expiration, the balance continues to be reported as digital assets receivable, net, and remeasured at fair value. If the LTC is returned to us, the receivable is derecognized by reclassifying the fair value of the LTC to digital assets in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Covered Call Options are exercised, the associated digital assets receivable, net, is derecognized as the underlying LTC is retained by GSR Markets and removed from our collateral balance held by GSR Markets. Gains or losses related to the exercise of Covered Call Options are recorded within gain on derivative liabilities, net, within other expense (income), net, 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 our digital assets receivable for expected credit losses in accordance with ASC 326, Financial Instruments - Credit Losses. Our assessment considers, among other factors, the short-term nature of the Covered Call Options contractual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creditworthiness and risk management practices of GSR, the amount of LTC collateralized, and historical loss experience. As of June 30, 2026, we concluded expected credit losses were immaterial and, therefore, recorded no allowance for credit losses related to our digital assets receivable, net.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 Simple Agreement for Future Equity (SAFE) and Token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investment in the SAFE provides us with the right to participate in future equity financings of a private company and token warrants provide us with the right to purchase two percent of the total network tokens developed (Token Warrants) (the SAFE and Token Warrants are herein referred to as the SAFE Investment). We accounted for the SAFE Investment under </w:t>
      </w:r>
      <w:r>
        <w:rPr>
          <w:rFonts w:ascii="Times New Roman" w:hAnsi="Times New Roman"/>
          <w:i/>
          <w:color w:val="000000"/>
          <w:sz w:val="20"/>
        </w:rPr>
        <w:t xml:space="preserve">ASC 321, Investments - Equity Securities </w:t>
      </w:r>
      <w:r>
        <w:rPr>
          <w:rFonts w:ascii="Times New Roman" w:hAnsi="Times New Roman"/>
          <w:color w:val="000000"/>
          <w:sz w:val="20"/>
        </w:rPr>
        <w:t>(ASC 321)</w:t>
      </w:r>
      <w:r>
        <w:rPr>
          <w:rFonts w:ascii="Times New Roman" w:hAnsi="Times New Roman"/>
          <w:i/>
          <w:color w:val="000000"/>
          <w:sz w:val="20"/>
        </w:rPr>
        <w:t>.</w:t>
      </w:r>
      <w:r>
        <w:rPr>
          <w:rFonts w:ascii="Times New Roman" w:hAnsi="Times New Roman"/>
          <w:color w:val="000000"/>
          <w:sz w:val="20"/>
        </w:rPr>
        <w:t xml:space="preserve"> The SAFE Investment contains multiple settlement provisions which could require bifurcation under ASC 815, </w:t>
      </w:r>
      <w:r>
        <w:rPr>
          <w:rFonts w:ascii="Times New Roman" w:hAnsi="Times New Roman"/>
          <w:i/>
          <w:color w:val="000000"/>
          <w:sz w:val="20"/>
        </w:rPr>
        <w:t>Derivatives and Hedging</w:t>
      </w:r>
      <w:r>
        <w:rPr>
          <w:rFonts w:ascii="Times New Roman" w:hAnsi="Times New Roman"/>
          <w:color w:val="000000"/>
          <w:sz w:val="20"/>
        </w:rPr>
        <w:t xml:space="preserve"> (ASC 815). Rather than separately value each settlement provision, we elected the fair value option for the SAFE Investment under </w:t>
      </w:r>
      <w:r>
        <w:rPr>
          <w:rFonts w:ascii="Times New Roman" w:hAnsi="Times New Roman"/>
          <w:i/>
          <w:color w:val="000000"/>
          <w:sz w:val="20"/>
        </w:rPr>
        <w:t>ASC 825, Financial Instruments</w:t>
      </w:r>
      <w:r>
        <w:rPr>
          <w:rFonts w:ascii="Times New Roman" w:hAnsi="Times New Roman"/>
          <w:color w:val="000000"/>
          <w:sz w:val="20"/>
        </w:rPr>
        <w:t xml:space="preserve">, which requires financial instruments to be remeasured to fair value each reporting period, with changes in fair value recorded in the consolidated statements of operations. The fair value estimate includes significant inputs not observable in the market, which represents a Level 3 measurement within the fair value hierarchy.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pPr>
      <w:r>
        <w:rPr>
          <w:rFonts w:ascii="Times New Roman" w:hAnsi="Times New Roman"/>
          <w:color w:val="000000"/>
          <w:sz w:val="20"/>
        </w:rPr>
        <w:t xml:space="preserve">Our financial instruments consist primarily of cash and cash equivalents, prepaid expenses and other current assets, digital assets, including Covered Call Options, digital assets receivable, net, accounts payable, accrued liabilities and Advisory Warrants (as defined below). The carrying amounts of cash and cash equivalents, prepaid expenses and other current assets, accounts payable and accrued liabilities are considered to be representative of their respective fair values because of the relatively short-term nature of those instruments. For information regarding the fair value of our digital assets and our Covered Call Options, see </w:t>
      </w:r>
      <w:hyperlink w:anchor="fn4_fvm">
        <w:r>
          <w:rPr>
            <w:rStyle w:val="InternetLink"/>
            <w:rFonts w:ascii="Times New Roman" w:hAnsi="Times New Roman"/>
            <w:i/>
            <w:color w:val="0000FF"/>
            <w:sz w:val="20"/>
            <w:u w:val="single"/>
          </w:rPr>
          <w:t>Note 5. Fair Value Measurements</w:t>
        </w:r>
      </w:hyperlink>
      <w:r>
        <w:rPr>
          <w:rFonts w:ascii="Times New Roman" w:hAnsi="Times New Roman"/>
          <w:color w:val="000000"/>
          <w:sz w:val="20"/>
        </w:rPr>
        <w:t xml:space="preserve"> and </w:t>
      </w:r>
      <w:hyperlink w:anchor="fn_derivatives">
        <w:r>
          <w:rPr>
            <w:rStyle w:val="InternetLink"/>
            <w:rFonts w:ascii="Times New Roman" w:hAnsi="Times New Roman"/>
            <w:i/>
            <w:color w:val="0000FF"/>
            <w:sz w:val="20"/>
            <w:u w:val="single"/>
          </w:rPr>
          <w:t>Note 8. Derivatives</w:t>
        </w:r>
      </w:hyperlink>
      <w:r>
        <w:rPr>
          <w:rFonts w:ascii="Times New Roman" w:hAnsi="Times New Roman"/>
          <w:color w:val="000000"/>
          <w:sz w:val="20"/>
        </w:rPr>
        <w:t>,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Derivatives – Covered Call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to generate cash flows on a portion of our LTC, we sell Covered Call Options. These options do not qualify as accounting hedges under ASC 815; however, we consider them to be economic hedges. We classify our Covered Call Options as derivative liabilities, which are recorded within the accrued liabilities line item in the consolidated balance sheets, and accordingly recorded at fair value at inception and subsequently remeasured at fair value at each reporting date. Changes in fair value of our Covered Call Options and/or realized gains or losses on Covered Call Options which expire unexercised are recognized upon settlement (expiration) of the related Covered Call Option contract within gain on derivative liabilities, net, a component of other (expense) income, net, in the consolidated statements of operations.</w:t>
      </w:r>
    </w:p>
    <w:p>
      <w:pPr>
        <w:pStyle w:val="TextBody"/>
        <w:bidi w:val="0"/>
        <w:spacing w:before="120" w:after="283"/>
        <w:jc w:val="left"/>
        <w:rPr/>
      </w:pPr>
      <w:r>
        <w:rPr>
          <w:rFonts w:ascii="Times New Roman" w:hAnsi="Times New Roman"/>
          <w:color w:val="000000"/>
          <w:sz w:val="20"/>
        </w:rPr>
        <w:t xml:space="preserve">The notional amount of Covered Call Options represents the quantity of digital assets underlying the option contracts multiplied by the spot entry price when the contract is written. Notional amounts are not recorded on the balance sheet and do not represent our maximum exposure to loss, which is limited to the opportunity cost of foregone appreciation in the underlying digital assets above the strike price. Premiums received from the sale of Covered Call Options are recorded as cash inflows within investing activities in the consolidated statements of cash flows. See </w:t>
      </w:r>
      <w:hyperlink w:anchor="fn_derivatives">
        <w:r>
          <w:rPr>
            <w:rStyle w:val="InternetLink"/>
            <w:rFonts w:ascii="Times New Roman" w:hAnsi="Times New Roman"/>
            <w:i/>
            <w:color w:val="0000FF"/>
            <w:sz w:val="20"/>
            <w:u w:val="single"/>
          </w:rPr>
          <w:t>Note 8. Derivatives</w:t>
        </w:r>
      </w:hyperlink>
      <w:r>
        <w:rPr>
          <w:rFonts w:ascii="Times New Roman" w:hAnsi="Times New Roman"/>
          <w:color w:val="000000"/>
          <w:sz w:val="20"/>
        </w:rPr>
        <w:t xml:space="preserve"> for additional information related to our Covered Call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Master Loan Agreement</w:t>
      </w:r>
    </w:p>
    <w:p>
      <w:pPr>
        <w:pStyle w:val="TextBody"/>
        <w:bidi w:val="0"/>
        <w:spacing w:before="120" w:after="283"/>
        <w:jc w:val="left"/>
        <w:rPr/>
      </w:pPr>
      <w:r>
        <w:rPr>
          <w:rFonts w:ascii="Times New Roman" w:hAnsi="Times New Roman"/>
          <w:color w:val="000000"/>
          <w:sz w:val="20"/>
        </w:rPr>
        <w:t xml:space="preserve">As discussed in </w:t>
      </w:r>
      <w:hyperlink w:anchor="fn_master_loan">
        <w:r>
          <w:rPr>
            <w:rStyle w:val="InternetLink"/>
            <w:rFonts w:ascii="Times New Roman" w:hAnsi="Times New Roman"/>
            <w:i/>
            <w:color w:val="0000FF"/>
            <w:sz w:val="20"/>
            <w:u w:val="single"/>
          </w:rPr>
          <w:t>Note 7. Master Loan Agreement</w:t>
        </w:r>
      </w:hyperlink>
      <w:hyperlink w:anchor="fn_master_loan">
        <w:r>
          <w:rPr>
            <w:rStyle w:val="InternetLink"/>
            <w:rFonts w:ascii="Times New Roman" w:hAnsi="Times New Roman"/>
            <w:color w:val="0000FF"/>
            <w:sz w:val="20"/>
            <w:u w:val="single"/>
          </w:rPr>
          <w:t>,</w:t>
        </w:r>
      </w:hyperlink>
      <w:r>
        <w:rPr>
          <w:rFonts w:ascii="Times New Roman" w:hAnsi="Times New Roman"/>
          <w:color w:val="000000"/>
          <w:sz w:val="20"/>
        </w:rPr>
        <w:t xml:space="preserve"> we entered into a master loan agreement (the MLA) with BitGo Prime (the Lender). The MLA provides a framework under which we may borrow digital assets or cash from the Lender, from time-to-time. Each loan is documented in a separate loan request agreed to by the parties setting forth the specific terms, including principal amount, fees, collateral requirements and the date on which the loan is to commence and mature (each a Loan). Each Loan may have a fixed term, or may include a call option or prepayment option, as specified in each loan request. In general, either party may terminate a Loan by providing notice within the time frame set forth in the respective Loan. Upon termination, the borrowed digital assets or cash must be returned, and the related collateral released.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 for the Pre-Funded Warrants issued in the PIPE as equity-classified instruments based on an assessment of the Pre-Funded Warrant’s specific terms and applicable authoritative guidance in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815. The assessment considers whether the Pre-Funded Warrants are freestanding financial instruments pursuant to ASC 480, meet the definition of a liability pursuant to ASC 480, and meet all the requirements for equity classification under ASC 815, including but not limited to, whether the Pre-Funded Warrants are indexed to our own Common Stock and whether the Pre-Funded Warrant holders could potentially require “net cash settlement” in a circumstance outside our control. This assessment, which requires the use of professional judgment, is conducted at the time of the Pre-Funded Warrant's issuance and as of each subsequent quarterly period end date while the Pre-Funded Warrants are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other warrants that meet all criteria for equity classification, such warrants are required to be recorded as additional paid-in capital in the consolidated balance sheets at the time of issuance. </w:t>
      </w:r>
    </w:p>
    <w:p>
      <w:pPr>
        <w:pStyle w:val="TextBody"/>
        <w:bidi w:val="0"/>
        <w:spacing w:before="0" w:after="120"/>
        <w:jc w:val="left"/>
        <w:rPr/>
      </w:pPr>
      <w:r>
        <w:rPr>
          <w:rFonts w:ascii="Times New Roman" w:hAnsi="Times New Roman"/>
          <w:color w:val="000000"/>
          <w:sz w:val="20"/>
        </w:rPr>
        <w:t xml:space="preserve">We issued the following warrants for services rendered in connection with the PIPE: (i) the Asset Manager GSR 1 Warrant (AMA GSR 1 Warrant), (ii) Asset Manager GSR 2 Warrant (AMA GSR 2 Warrant), (iii) Asset Manager GSR 3 Warrant (AMA GSR 3 Warrant), (iv) Asset Manager GSR 4 Warrant (AMA GSR 4 Warrant), (v) Placement Agent (PA) Warrant and (vi) Strategic Advisor (SA) Warrant (collectively, the Advisory Warrants), and we issued the Asset Manager's Pre-Funded Warrant (AMA Pre-Funded Warrants) after the Closing Date. The Advisory Warrants are accounted for in accordance with ASC 718, </w:t>
      </w:r>
      <w:r>
        <w:rPr>
          <w:rFonts w:ascii="Times New Roman" w:hAnsi="Times New Roman"/>
          <w:i/>
          <w:color w:val="000000"/>
          <w:sz w:val="20"/>
        </w:rPr>
        <w:t xml:space="preserve">Stock Compensation </w:t>
      </w:r>
      <w:r>
        <w:rPr>
          <w:rFonts w:ascii="Times New Roman" w:hAnsi="Times New Roman"/>
          <w:color w:val="000000"/>
          <w:sz w:val="20"/>
        </w:rPr>
        <w:t xml:space="preserve">(ASC 718), which requires us to recognize the fair value of the Advisory Warrants at either (i) the fair value of the equity instruments issued or (ii) the liabilities settled. The fair value of the Advisory Warrants was determined based upon the Common Stock underlying the Advisory Warrants using the Black-Scholes-Merton (BSM) option pricing model (BSM Model) based on the applicable assumptions, which include the exercise price of the warrants, our stock price and historical volatility, the expected warrant term, the risk-free interest rate, the expected dividends, and if applicable, the vesting behavior. See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for a summary of the fair value assumptions used to value the Advisory Warrants upon the closing of the PIPE and a summary of the Warrants outstanding as of June 30, 2026. </w:t>
      </w:r>
    </w:p>
    <w:p>
      <w:pPr>
        <w:pStyle w:val="TextBody"/>
        <w:bidi w:val="0"/>
        <w:jc w:val="left"/>
        <w:rPr/>
      </w:pPr>
      <w:r>
        <w:rPr>
          <w:rFonts w:ascii="Times New Roman" w:hAnsi="Times New Roman"/>
          <w:color w:val="000000"/>
          <w:sz w:val="20"/>
        </w:rPr>
        <w:t xml:space="preserve">The fair value of the AMA Pre-Funded Warrant issued in September 2025 as payment of the annual asset-based fee (Asset-based Fee) under the GSR Asset Management Agreement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i/>
          <w:color w:val="000000"/>
          <w:sz w:val="20"/>
        </w:rPr>
        <w:t xml:space="preserve">) </w:t>
      </w:r>
      <w:r>
        <w:rPr>
          <w:rFonts w:ascii="Times New Roman" w:hAnsi="Times New Roman"/>
          <w:color w:val="000000"/>
          <w:sz w:val="20"/>
        </w:rPr>
        <w:t xml:space="preserve">and the GD Advisory Warrants issued in October 2025 in settlement of the Annual Advisory Fee with Green Dragon Investment LLC (Green Dragon) were determined by the settlement amount of the Asset-based Fee and the Annual Advisory Fee, respectively. The AMA Pre-Funded Warrants, the GD Advisory Warrants and the agreements under which they were issued are further discussed in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and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pPr>
      <w:r>
        <w:rPr>
          <w:rFonts w:ascii="Times New Roman" w:hAnsi="Times New Roman"/>
          <w:color w:val="000000"/>
          <w:sz w:val="20"/>
        </w:rPr>
        <w:t xml:space="preserve">For fully vested, nonforfeitable equity instruments granted at the date we and a nonemployee enter into an agreement for goods or services, we recognize the equity instruments when they are granted. The corresponding cost is recognized as an immediate expense or a prepaid asset depending on the specific facts and circumstances of the agreement with the nonemployee. For the fiscal year ended June 30, 2026, 546,348 Pre-Funded Warrants were issued as fully vested, nonforfeitable equity instruments to a nonemployee. The agreement with the nonemployee does not include any provisions to claw back the share-based payments in the event of nonperformance by the nonemployee. Before July 21, 2026, GSR is expected to provide asset management services related to our LTC holdings under the GSR Asset Management Agreement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entered into by us and GSR. As of June 30, 2026, we recorded $0.1 million in current unamortized deferred prepaid assets associated with the AMA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options granted at or in close proximity to our release of material public information to determine if such options would be considered spring-loaded options in accordance with Staff Accounting Bulletin 120 (SAB 120) and ASC 718. When we determine we were in possession of material non-public information (MNPI) at the time of grant, and the options granted therefore would meet the definition of spring-loaded options, we make appropriate adjustments to the closing price used in valuing such options for accounting purposes. Such adjustments may include use of the closing price on the release date rather than the grant date.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2026 and 2025,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Financial Accounting Standards Board (FASB) Topic ASC 740 - </w:t>
      </w:r>
      <w:r>
        <w:rPr>
          <w:rFonts w:ascii="Times New Roman" w:hAnsi="Times New Roman"/>
          <w:i/>
          <w:color w:val="000000"/>
          <w:sz w:val="20"/>
        </w:rPr>
        <w:t xml:space="preserve">Income Taxes </w:t>
      </w:r>
      <w:r>
        <w:rPr>
          <w:rFonts w:ascii="Times New Roman" w:hAnsi="Times New Roman"/>
          <w:color w:val="000000"/>
          <w:sz w:val="20"/>
        </w:rPr>
        <w:t>(ASC 740) prescribes a recognition threshold and measurement attribute criteria for the financial statement recognition and measurement of tax positions taken or expected to be taken in a tax return. For those benefits to be recognized, a tax position must be more-likely-than-not to be sustained upon examination by taxing authorities. An uncertain income tax position will not be recognized if it has less than a 50% likelihood of being sustained. There were no unrecognized tax benefits as of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Disposition of Nonfinancial Assets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infrequent dispositions of assets in its product pipeline in accordance with ASC 610-20, Other Income - Gains and Losses from the Derecognition of Nonfinancial Assets, which requires dispositions of long-lived assets that are not a discontinued operation be accounted for on a net basis and included in income from continuing operations before income taxes in accordance with ASC 350, </w:t>
      </w:r>
      <w:r>
        <w:rPr>
          <w:rFonts w:ascii="Times New Roman" w:hAnsi="Times New Roman"/>
          <w:i/>
          <w:color w:val="000000"/>
          <w:sz w:val="20"/>
        </w:rPr>
        <w:t>Intangible Assets - Goodwill and Other</w:t>
      </w:r>
      <w:r>
        <w:rPr>
          <w:rFonts w:ascii="Times New Roman" w:hAnsi="Times New Roman"/>
          <w:color w:val="000000"/>
          <w:sz w:val="20"/>
        </w:rPr>
        <w:t>. Proceeds from sales designated as dispositions of nonfinancial assets are classified as cash flows from investing activities in the consolidated statements of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pPr>
      <w:r>
        <w:rPr>
          <w:rFonts w:ascii="Times New Roman" w:hAnsi="Times New Roman"/>
          <w:color w:val="000000"/>
          <w:sz w:val="20"/>
        </w:rPr>
        <w:t xml:space="preserve">Basic net loss per share is computed using the weighted-average number of shares of common stock outstanding during the period, without consideration for common stock equivalents. Issued and outstanding warrants to purchase shares of our Common Stock are included in the calculation of basic net loss per common share if the exercise price of the warrants represents </w:t>
      </w:r>
      <w:r>
        <w:rPr>
          <w:rFonts w:ascii="Times New Roman" w:hAnsi="Times New Roman"/>
          <w:i/>
          <w:color w:val="000000"/>
          <w:sz w:val="20"/>
        </w:rPr>
        <w:t xml:space="preserve">de minimis </w:t>
      </w:r>
      <w:r>
        <w:rPr>
          <w:rFonts w:ascii="Times New Roman" w:hAnsi="Times New Roman"/>
          <w:color w:val="000000"/>
          <w:sz w:val="20"/>
        </w:rPr>
        <w:t xml:space="preserve">consideration and is nonsubstantive in relation to the price paid for the warrant and if the warrants are immediately exercisable with no further vesting conditions or contingencies associated with them. The 546,348 shares of our Common Stock underlying Pre-Funded Warrants, as described in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and 175,611 shares of our Common Stock underlying the vested portion of our GD Advisory Warrants are included in the calculation of our weighted-average shares used in computing net loss per share, basic and diluted due to their nominal exercise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our Pre-Funded Warrants, including the AMA Pre-Funded Warrants and our Advisory Warrants, including the GD Advisory Warrant (collectively, the Warrants) to be participating securities, because the holders of such instruments participate when a dividend is paid on common stock. The holders of the Warrants do not have a contractual obligation to share in our losses. Because such losses are attributable entirely to common stockholders, for periods in which we have reported a net loss, diluted loss per common share is the same as basic loss per common share. Diluted net loss per share is calculated by dividing the net loss by the weighted-average number of common stock and common stock equivalents outstanding for the period determined using the treasury-stock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each of the periods presented, basic and diluted net loss per share were the same.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potentially dilutive shares that have been excluded from the calculation of net loss per share because of their anti-dilutive effect (in thousands): </w:t>
      </w:r>
    </w:p>
    <w:tbl>
      <w:tblPr>
        <w:tblW w:w="5969" w:type="dxa"/>
        <w:jc w:val="left"/>
        <w:tblInd w:w="0" w:type="dxa"/>
        <w:tblLayout w:type="fixed"/>
        <w:tblCellMar>
          <w:top w:w="28" w:type="dxa"/>
          <w:left w:w="28" w:type="dxa"/>
          <w:bottom w:w="28" w:type="dxa"/>
          <w:right w:w="28" w:type="dxa"/>
        </w:tblCellMar>
      </w:tblPr>
      <w:tblGrid>
        <w:gridCol w:w="2361"/>
        <w:gridCol w:w="146"/>
        <w:gridCol w:w="284"/>
        <w:gridCol w:w="1114"/>
        <w:gridCol w:w="284"/>
        <w:gridCol w:w="284"/>
        <w:gridCol w:w="284"/>
        <w:gridCol w:w="821"/>
        <w:gridCol w:w="39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Advisory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GD Advisory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anti-dilutive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Adopted</w:t>
      </w:r>
    </w:p>
    <w:p>
      <w:pPr>
        <w:pStyle w:val="TextBody"/>
        <w:bidi w:val="0"/>
        <w:spacing w:before="120" w:after="283"/>
        <w:jc w:val="left"/>
        <w:rPr/>
      </w:pPr>
      <w:r>
        <w:rPr>
          <w:rFonts w:ascii="Times New Roman" w:hAnsi="Times New Roman"/>
          <w:color w:val="000000"/>
          <w:sz w:val="20"/>
        </w:rPr>
        <w:t xml:space="preserve">In December 2023, the Financial Accounting Standards Board (FASB) issued Accounting Standards Update (ASU) No. 2023-08, </w:t>
      </w:r>
      <w:r>
        <w:rPr>
          <w:rFonts w:ascii="Times New Roman" w:hAnsi="Times New Roman"/>
          <w:i/>
          <w:color w:val="000000"/>
          <w:sz w:val="20"/>
        </w:rPr>
        <w:t xml:space="preserve">Intangibles—Goodwill and Other—Crypto Assets (Subtopic 350-60): Accounting for and Disclosure of Crypto Assets </w:t>
      </w:r>
      <w:r>
        <w:rPr>
          <w:rFonts w:ascii="Times New Roman" w:hAnsi="Times New Roman"/>
          <w:color w:val="000000"/>
          <w:sz w:val="20"/>
        </w:rPr>
        <w:t xml:space="preserve">(ASC 350-60). The amendments in ASC 350-60 are intended to improve the accounting for certain crypto assets by requiring an entity to measure those crypto assets at fair value each reporting period with changes in fair value recognized in net income. The amendments also improve the information provided to investors about an entity’s crypto asset holdings by requiring disclosure about significant holdings, contractual sale restrictions, and changes during the reporting period. The amendments were effective for us beginning July 1, 2025. ASC 350-60 requires a cumulative-effect adjustment to the opening balance of retained earnings (or other appropriate components of equity or net assets) as of the beginning of the annual reporting period in which an entity adopts the amendments. As we did not hold cryptocurrency prior to July 30, 2025, the adoption of ASC 350-60 did not impact our financial position, results of operations or cash flows. See </w:t>
      </w:r>
      <w:hyperlink w:anchor="digital_assets_policy">
        <w:r>
          <w:rPr>
            <w:rStyle w:val="InternetLink"/>
            <w:rFonts w:ascii="Times New Roman" w:hAnsi="Times New Roman"/>
            <w:i/>
            <w:color w:val="0000FF"/>
            <w:sz w:val="20"/>
            <w:u w:val="single"/>
          </w:rPr>
          <w:t>Digital Assets</w:t>
        </w:r>
      </w:hyperlink>
      <w:r>
        <w:rPr>
          <w:rFonts w:ascii="Times New Roman" w:hAnsi="Times New Roman"/>
          <w:color w:val="000000"/>
          <w:sz w:val="20"/>
        </w:rPr>
        <w:t xml:space="preserve"> discussion within </w:t>
      </w:r>
      <w:hyperlink w:anchor="fn2_sumsigpolicies">
        <w:r>
          <w:rPr>
            <w:rStyle w:val="InternetLink"/>
            <w:rFonts w:ascii="Times New Roman" w:hAnsi="Times New Roman"/>
            <w:i/>
            <w:color w:val="0000FF"/>
            <w:sz w:val="20"/>
            <w:u w:val="single"/>
          </w:rPr>
          <w:t>Note 2. Summary of Significant Accounting Policies</w:t>
        </w:r>
      </w:hyperlink>
      <w:r>
        <w:rPr>
          <w:rFonts w:ascii="Times New Roman" w:hAnsi="Times New Roman"/>
          <w:i/>
          <w:color w:val="000000"/>
          <w:sz w:val="20"/>
        </w:rPr>
        <w:t>,</w:t>
      </w:r>
      <w:r>
        <w:rPr>
          <w:rFonts w:ascii="Times New Roman" w:hAnsi="Times New Roman"/>
          <w:color w:val="000000"/>
          <w:sz w:val="20"/>
        </w:rPr>
        <w:t xml:space="preserve"> </w:t>
      </w:r>
      <w:hyperlink w:anchor="fn_digital_assets">
        <w:r>
          <w:rPr>
            <w:rStyle w:val="InternetLink"/>
            <w:rFonts w:ascii="Times New Roman" w:hAnsi="Times New Roman"/>
            <w:i/>
            <w:color w:val="0000FF"/>
            <w:sz w:val="20"/>
            <w:u w:val="single"/>
          </w:rPr>
          <w:t>Note 4.</w:t>
        </w:r>
      </w:hyperlink>
      <w:hyperlink w:anchor="fn_digital_assets">
        <w:r>
          <w:rPr>
            <w:rStyle w:val="InternetLink"/>
            <w:rFonts w:ascii="Times New Roman" w:hAnsi="Times New Roman"/>
            <w:color w:val="0000FF"/>
            <w:sz w:val="20"/>
            <w:u w:val="single"/>
          </w:rPr>
          <w:t xml:space="preserve"> </w:t>
        </w:r>
      </w:hyperlink>
      <w:hyperlink w:anchor="fn_digital_assets">
        <w:r>
          <w:rPr>
            <w:rStyle w:val="InternetLink"/>
            <w:rFonts w:ascii="Times New Roman" w:hAnsi="Times New Roman"/>
            <w:i/>
            <w:color w:val="0000FF"/>
            <w:sz w:val="20"/>
            <w:u w:val="single"/>
          </w:rPr>
          <w:t>Digital Assets</w:t>
        </w:r>
      </w:hyperlink>
      <w:r>
        <w:rPr>
          <w:rFonts w:ascii="Times New Roman" w:hAnsi="Times New Roman"/>
          <w:color w:val="000000"/>
          <w:sz w:val="20"/>
        </w:rPr>
        <w:t xml:space="preserve"> and </w:t>
      </w:r>
      <w:hyperlink w:anchor="fn4_fvm">
        <w:r>
          <w:rPr>
            <w:rStyle w:val="InternetLink"/>
            <w:rFonts w:ascii="Times New Roman" w:hAnsi="Times New Roman"/>
            <w:i/>
            <w:color w:val="0000FF"/>
            <w:sz w:val="20"/>
            <w:u w:val="single"/>
          </w:rPr>
          <w:t>Note 5. Fair Value Measurements</w:t>
        </w:r>
      </w:hyperlink>
      <w:r>
        <w:rPr>
          <w:rFonts w:ascii="Times New Roman" w:hAnsi="Times New Roman"/>
          <w:color w:val="000000"/>
          <w:sz w:val="20"/>
        </w:rPr>
        <w:t xml:space="preserve"> for related disclosures related to our LTC holdings.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which focuses on the rate reconciliation and income taxes paid. ASU No. 2023-09 requires a public business entity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We adopted ASU 2023-09 prospectively for its annual period ended June 30, 2026. The adoption of this ASU did not have a material impact on our consolidated results of operations, cash flows, financial condition and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One Big Beautiful Bill Act (OBBBA) was enacted in the U.S. The OBBBA makes permanent key elements of the Tax Cuts and Jobs Act of 2017, including 100% bonus depreciation, domestic research cost expensing and the business interest expense limitation, among other tax changes. The legislation did not have a material impact on our statement of operations for the year ended June 30,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standards setting bodies that are adopted as of the specified effective date. We believe the impact of recently issued standards and any issued but not yet effective standards will not have a material impact on our consolidated financial statements upon adoption. </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FASB issued ASU No. 2024-03</w:t>
      </w:r>
      <w:r>
        <w:rPr>
          <w:rFonts w:ascii="Times New Roman" w:hAnsi="Times New Roman"/>
          <w:i/>
          <w:color w:val="000000"/>
          <w:sz w:val="20"/>
        </w:rPr>
        <w:t>, Income Statement-Reporting Comprehensive Income-Expense Disaggregation Disclosures (Subtopic 220-40)</w:t>
      </w:r>
      <w:r>
        <w:rPr>
          <w:rFonts w:ascii="Times New Roman" w:hAnsi="Times New Roman"/>
          <w:color w:val="000000"/>
          <w:sz w:val="20"/>
        </w:rPr>
        <w:t>. The amendments in this update require disclosure, in the notes to the financial statements, of specific expense categories present within expense captions presented on the face of the statements of operations (income statement)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January 2025, the FASB issued ASU No.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The amendment in this update clarifies the effective date of ASU 2024-03, which is that public business entities are required to adopt the guidance in annual reporting periods beginning after December 15, 2026, and in interim periods within annual reporting periods beginning after December 15, 2027. The impact of adoption of this ASU on our disclosures is currently being evaluated.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No. 2025-12, Codification Improvements (ASU 2025-12). The amendments in this update represent changes to the Codification that (1) clarify, (2) correct errors, or (3) make minor improvements. The amendments make the Codification easier to understand and apply. An entity should apply the amendments in this update (except for the amendments to Topic 206, Earnings Per Share, related to Issue 4) either prospectively to all transactions recognized on or after the date that the entity first applies the amendments or retrospectively to the beginning of the earliest comparative period presented. Entities may elect the transition method on an issue-by-issue basis. The amendments in this update clarify the effective date of ASU 2024-03, which is that public business entities are required to adopt the guidance in annual reporting periods beginning after December 15, 2026 and in interim periods within those annual reporting periods. Early adoption is permitted in both interim and annual reporting periods. The impact of adoption of this ASU on our disclosures is currently being evaluated.</w:t>
      </w:r>
    </w:p>
    <w:p>
      <w:pPr>
        <w:pStyle w:val="TextBody"/>
        <w:bidi w:val="0"/>
        <w:spacing w:before="360" w:after="283"/>
        <w:jc w:val="left"/>
        <w:rPr>
          <w:rFonts w:ascii="Times New Roman" w:hAnsi="Times New Roman"/>
          <w:b/>
          <w:color w:val="000000"/>
          <w:sz w:val="20"/>
        </w:rPr>
      </w:pPr>
      <w:bookmarkStart w:id="49" w:name="fn3_bs_details"/>
      <w:bookmarkEnd w:id="49"/>
      <w:r>
        <w:rPr>
          <w:rFonts w:ascii="Times New Roman" w:hAnsi="Times New Roman"/>
          <w:b/>
          <w:color w:val="000000"/>
          <w:sz w:val="20"/>
        </w:rPr>
        <w:t>Note 3. Balance Sheet Details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Prepaid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and other current assets consisted of the following in thousands:</w:t>
      </w:r>
    </w:p>
    <w:tbl>
      <w:tblPr>
        <w:tblW w:w="7130" w:type="dxa"/>
        <w:jc w:val="left"/>
        <w:tblInd w:w="0" w:type="dxa"/>
        <w:tblLayout w:type="fixed"/>
        <w:tblCellMar>
          <w:top w:w="28" w:type="dxa"/>
          <w:left w:w="28" w:type="dxa"/>
          <w:bottom w:w="28" w:type="dxa"/>
          <w:right w:w="28" w:type="dxa"/>
        </w:tblCellMar>
      </w:tblPr>
      <w:tblGrid>
        <w:gridCol w:w="3551"/>
        <w:gridCol w:w="146"/>
        <w:gridCol w:w="426"/>
        <w:gridCol w:w="849"/>
        <w:gridCol w:w="146"/>
        <w:gridCol w:w="146"/>
        <w:gridCol w:w="426"/>
        <w:gridCol w:w="849"/>
        <w:gridCol w:w="5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Accrued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liabilities consisted of the following, in thousands:</w:t>
      </w:r>
    </w:p>
    <w:tbl>
      <w:tblPr>
        <w:tblW w:w="7510" w:type="dxa"/>
        <w:jc w:val="left"/>
        <w:tblInd w:w="0" w:type="dxa"/>
        <w:tblLayout w:type="fixed"/>
        <w:tblCellMar>
          <w:top w:w="28" w:type="dxa"/>
          <w:left w:w="28" w:type="dxa"/>
          <w:bottom w:w="28" w:type="dxa"/>
          <w:right w:w="28" w:type="dxa"/>
        </w:tblCellMar>
      </w:tblPr>
      <w:tblGrid>
        <w:gridCol w:w="3931"/>
        <w:gridCol w:w="146"/>
        <w:gridCol w:w="426"/>
        <w:gridCol w:w="849"/>
        <w:gridCol w:w="146"/>
        <w:gridCol w:w="146"/>
        <w:gridCol w:w="344"/>
        <w:gridCol w:w="931"/>
        <w:gridCol w:w="5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Accrued compensation and benefits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pre-clinical and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 - Covered Call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w:t>
      </w:r>
    </w:p>
    <w:p>
      <w:pPr>
        <w:pStyle w:val="TextBody"/>
        <w:bidi w:val="0"/>
        <w:jc w:val="left"/>
        <w:rPr/>
      </w:pPr>
      <w:r>
        <w:rPr>
          <w:rFonts w:ascii="Times New Roman" w:hAnsi="Times New Roman"/>
          <w:color w:val="000000"/>
          <w:sz w:val="18"/>
        </w:rPr>
        <w:t xml:space="preserve">(1) Includes employee termination benefits of approximately $0.7 million for the fiscal year ended June 30, 2025, as more fully described in </w:t>
      </w:r>
      <w:hyperlink w:anchor="fn5_onetimetermbene">
        <w:r>
          <w:rPr>
            <w:rStyle w:val="InternetLink"/>
            <w:rFonts w:ascii="Times New Roman" w:hAnsi="Times New Roman"/>
            <w:i/>
            <w:color w:val="0000FF"/>
            <w:sz w:val="18"/>
            <w:u w:val="single"/>
          </w:rPr>
          <w:t>Note 6. Employee Termination Benefits</w:t>
        </w:r>
      </w:hyperlink>
      <w:r>
        <w:rPr>
          <w:rFonts w:ascii="Times New Roman" w:hAnsi="Times New Roman"/>
          <w:color w:val="000000"/>
          <w:sz w:val="18"/>
        </w:rPr>
        <w:t xml:space="preserve">. </w:t>
      </w:r>
    </w:p>
    <w:p>
      <w:pPr>
        <w:pStyle w:val="TextBody"/>
        <w:bidi w:val="0"/>
        <w:spacing w:before="360" w:after="283"/>
        <w:jc w:val="left"/>
        <w:rPr>
          <w:rFonts w:ascii="Times New Roman" w:hAnsi="Times New Roman"/>
          <w:b/>
          <w:color w:val="000000"/>
          <w:sz w:val="20"/>
        </w:rPr>
      </w:pPr>
      <w:bookmarkStart w:id="50" w:name="fn_digital_assets"/>
      <w:bookmarkEnd w:id="50"/>
      <w:r>
        <w:rPr>
          <w:rFonts w:ascii="Times New Roman" w:hAnsi="Times New Roman"/>
          <w:b/>
          <w:color w:val="000000"/>
          <w:sz w:val="20"/>
        </w:rPr>
        <w:t>Note 4. Digital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2025, we did not hold digital assets. The following table summarizes our digital asset holdings as of June 30, 2026 (in thousands, except quantity):</w:t>
      </w:r>
    </w:p>
    <w:tbl>
      <w:tblPr>
        <w:tblW w:w="6784" w:type="dxa"/>
        <w:jc w:val="left"/>
        <w:tblInd w:w="0" w:type="dxa"/>
        <w:tblLayout w:type="fixed"/>
        <w:tblCellMar>
          <w:top w:w="28" w:type="dxa"/>
          <w:left w:w="28" w:type="dxa"/>
          <w:bottom w:w="28" w:type="dxa"/>
          <w:right w:w="28" w:type="dxa"/>
        </w:tblCellMar>
      </w:tblPr>
      <w:tblGrid>
        <w:gridCol w:w="2741"/>
        <w:gridCol w:w="146"/>
        <w:gridCol w:w="146"/>
        <w:gridCol w:w="781"/>
        <w:gridCol w:w="146"/>
        <w:gridCol w:w="146"/>
        <w:gridCol w:w="232"/>
        <w:gridCol w:w="743"/>
        <w:gridCol w:w="146"/>
        <w:gridCol w:w="146"/>
        <w:gridCol w:w="242"/>
        <w:gridCol w:w="778"/>
        <w:gridCol w:w="391"/>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Digital assets receivable, net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w:t>
      </w:r>
    </w:p>
    <w:p>
      <w:pPr>
        <w:pStyle w:val="TextBody"/>
        <w:bidi w:val="0"/>
        <w:jc w:val="left"/>
        <w:rPr>
          <w:rFonts w:ascii="Times New Roman" w:hAnsi="Times New Roman"/>
          <w:color w:val="000000"/>
          <w:sz w:val="20"/>
        </w:rPr>
      </w:pPr>
      <w:r>
        <w:rPr>
          <w:rFonts w:ascii="Times New Roman" w:hAnsi="Times New Roman"/>
          <w:color w:val="000000"/>
          <w:sz w:val="20"/>
        </w:rPr>
        <w:t>(1) Digital assets receivable, net, include LTC pledged as collateral, residing with GSR.</w:t>
      </w:r>
    </w:p>
    <w:p>
      <w:pPr>
        <w:pStyle w:val="TextBody"/>
        <w:bidi w:val="0"/>
        <w:jc w:val="left"/>
        <w:rPr/>
      </w:pPr>
      <w:r>
        <w:rPr/>
        <w:t> </w:t>
      </w:r>
    </w:p>
    <w:p>
      <w:pPr>
        <w:pStyle w:val="TextBody"/>
        <w:bidi w:val="0"/>
        <w:spacing w:before="360" w:after="283"/>
        <w:jc w:val="left"/>
        <w:rPr>
          <w:rFonts w:ascii="Times New Roman" w:hAnsi="Times New Roman"/>
          <w:sz w:val="20"/>
        </w:rPr>
      </w:pPr>
      <w:bookmarkStart w:id="51" w:name="fn4_fvm"/>
      <w:bookmarkEnd w:id="51"/>
      <w:r>
        <w:rPr>
          <w:rFonts w:ascii="Times New Roman" w:hAnsi="Times New Roman"/>
          <w:b/>
          <w:color w:val="000000"/>
          <w:sz w:val="20"/>
        </w:rPr>
        <w:t>Note 5.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such as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are classified based on the lowest level of input that is significant to the fair value measurements. We review the fair value hierarchy classification at each reporting period. As of June 30, 2026 and 2025, we had no financial assets or liabilities measured at fair value on a nonrecurring basis. As of June 30, 2025, we had no financial liabilities measured at fair value on a recurring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June 30, 2025, our financial assets measured at fair value, on a recurring basis, consisted of our cash equivalents of $17.8 million. The following table presents our financial assets and liabilities measured at fair value on a recurring basis as of June 30, 2026, (in thousands): </w:t>
      </w:r>
    </w:p>
    <w:tbl>
      <w:tblPr>
        <w:tblW w:w="8447"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571"/>
        <w:gridCol w:w="146"/>
        <w:gridCol w:w="146"/>
        <w:gridCol w:w="211"/>
        <w:gridCol w:w="571"/>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Digital assets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in SAFE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 in token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liabilities - Covered Call</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measured on a recurring</w:t>
              <w:br/>
              <w:t>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presents the changes in the carrying amount of our digital assets (in thousands):</w:t>
      </w:r>
    </w:p>
    <w:tbl>
      <w:tblPr>
        <w:tblW w:w="6185" w:type="dxa"/>
        <w:jc w:val="left"/>
        <w:tblInd w:w="0" w:type="dxa"/>
        <w:tblLayout w:type="fixed"/>
        <w:tblCellMar>
          <w:top w:w="28" w:type="dxa"/>
          <w:left w:w="28" w:type="dxa"/>
          <w:bottom w:w="28" w:type="dxa"/>
          <w:right w:w="28" w:type="dxa"/>
        </w:tblCellMar>
      </w:tblPr>
      <w:tblGrid>
        <w:gridCol w:w="4736"/>
        <w:gridCol w:w="146"/>
        <w:gridCol w:w="211"/>
        <w:gridCol w:w="781"/>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Realized loss on sale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Realized loss upon transfer of digital assets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 transferred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 returned by GSR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Disposition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Fair Value of SAFE and Token Warrants</w:t>
      </w:r>
    </w:p>
    <w:p>
      <w:pPr>
        <w:pStyle w:val="TextBody"/>
        <w:bidi w:val="0"/>
        <w:jc w:val="left"/>
        <w:rPr/>
      </w:pPr>
      <w:r>
        <w:rPr>
          <w:rFonts w:ascii="Times New Roman" w:hAnsi="Times New Roman"/>
          <w:color w:val="000000"/>
          <w:sz w:val="20"/>
        </w:rPr>
        <w:t xml:space="preserve">As more fully described in </w:t>
      </w:r>
      <w:hyperlink w:anchor="fn_derivatives">
        <w:r>
          <w:rPr>
            <w:rStyle w:val="InternetLink"/>
            <w:rFonts w:ascii="Times New Roman" w:hAnsi="Times New Roman"/>
            <w:i/>
            <w:color w:val="0000FF"/>
            <w:sz w:val="20"/>
            <w:u w:val="single"/>
          </w:rPr>
          <w:t>Note 8. Derivatives</w:t>
        </w:r>
      </w:hyperlink>
      <w:r>
        <w:rPr>
          <w:rFonts w:ascii="Times New Roman" w:hAnsi="Times New Roman"/>
          <w:color w:val="000000"/>
          <w:sz w:val="20"/>
        </w:rPr>
        <w:t>, we invested in a SAFE and Token Warrants during the fiscal year ended June 30, 2026. The fair value of the SAFE and Token Warrants is determined in accordance with ASC 820 and included both Level 2 and Level 3 inputs. The Level 3 inputs include (i) the stock price, (ii) the timing of various liquidity events, (iii) probabilities of occurrence of the respective liquidity events and (iv) a dissolution scenario recovery rate.</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tables provide a reconciliation of all financial assets measured at fair value, during the fiscal year ended June 30, 2026, using Level 3 significant unobservable inputs (in thousands):</w:t>
      </w:r>
    </w:p>
    <w:tbl>
      <w:tblPr>
        <w:tblW w:w="5552" w:type="dxa"/>
        <w:jc w:val="left"/>
        <w:tblInd w:w="0" w:type="dxa"/>
        <w:tblLayout w:type="fixed"/>
        <w:tblCellMar>
          <w:top w:w="28" w:type="dxa"/>
          <w:left w:w="28" w:type="dxa"/>
          <w:bottom w:w="28" w:type="dxa"/>
          <w:right w:w="28" w:type="dxa"/>
        </w:tblCellMar>
      </w:tblPr>
      <w:tblGrid>
        <w:gridCol w:w="2776"/>
        <w:gridCol w:w="146"/>
        <w:gridCol w:w="211"/>
        <w:gridCol w:w="421"/>
        <w:gridCol w:w="146"/>
        <w:gridCol w:w="146"/>
        <w:gridCol w:w="504"/>
        <w:gridCol w:w="101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Token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52" w:name="fn5_onetimetermbene"/>
      <w:bookmarkEnd w:id="52"/>
      <w:r>
        <w:rPr>
          <w:rFonts w:ascii="Times New Roman" w:hAnsi="Times New Roman"/>
          <w:b/>
          <w:color w:val="000000"/>
          <w:sz w:val="20"/>
        </w:rPr>
        <w:t>Note 6. Employee Termination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(prior to its sale in October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0"/>
        </w:rPr>
        <w:t xml:space="preserve">In August 2024, we commenced the </w:t>
      </w:r>
      <w:hyperlink w:anchor="strat_alt">
        <w:r>
          <w:rPr>
            <w:rStyle w:val="InternetLink"/>
            <w:rFonts w:ascii="Times New Roman" w:hAnsi="Times New Roman"/>
            <w:i/>
            <w:color w:val="0000FF"/>
            <w:sz w:val="20"/>
            <w:u w:val="single"/>
          </w:rPr>
          <w:t>Strategic Alternatives RIF</w:t>
        </w:r>
      </w:hyperlink>
      <w:r>
        <w:rPr>
          <w:rFonts w:ascii="Times New Roman" w:hAnsi="Times New Roman"/>
          <w:color w:val="000000"/>
          <w:sz w:val="20"/>
        </w:rPr>
        <w:t xml:space="preserve"> as discussed in our strategic alternatives announcement described in </w:t>
      </w:r>
      <w:hyperlink w:anchor="fn1_title">
        <w:r>
          <w:rPr>
            <w:rStyle w:val="InternetLink"/>
            <w:rFonts w:ascii="Times New Roman" w:hAnsi="Times New Roman"/>
            <w:i/>
            <w:color w:val="0000FF"/>
            <w:sz w:val="20"/>
            <w:u w:val="single"/>
          </w:rPr>
          <w:t>Note 1. Description of Business and Basis of Presentation</w:t>
        </w:r>
      </w:hyperlink>
      <w:r>
        <w:rPr>
          <w:rFonts w:ascii="Times New Roman" w:hAnsi="Times New Roman"/>
          <w:color w:val="000000"/>
          <w:sz w:val="20"/>
        </w:rPr>
        <w:t>. Including contractual pro-rata bonuses, we incurred charges of $5.9 million in retentions, severance and COBRA costs related to the termination of our employees due to our related wind down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each of the periods presented, employee termination benefits primarily represent severance related costs and payments. During the fiscal years ended June 30, 2026 and 2025, we recorded employee termination benefits of zero and $1.8 million within research and development expense, respectively. During the fiscal years ended June 30, 2026 and 2025, we recorded employee termination benefits of $0.1 million and $3.9 million within general and administrative expense,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activity related to employee termination benefits, included in accrued liabilities, in thousands: </w:t>
      </w:r>
    </w:p>
    <w:tbl>
      <w:tblPr>
        <w:tblW w:w="6288" w:type="dxa"/>
        <w:jc w:val="left"/>
        <w:tblInd w:w="0" w:type="dxa"/>
        <w:tblLayout w:type="fixed"/>
        <w:tblCellMar>
          <w:top w:w="28" w:type="dxa"/>
          <w:left w:w="28" w:type="dxa"/>
          <w:bottom w:w="28" w:type="dxa"/>
          <w:right w:w="28" w:type="dxa"/>
        </w:tblCellMar>
      </w:tblPr>
      <w:tblGrid>
        <w:gridCol w:w="2946"/>
        <w:gridCol w:w="146"/>
        <w:gridCol w:w="702"/>
        <w:gridCol w:w="2103"/>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Employee Termination Benefits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accrued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3" w:name="fn_master_loan"/>
      <w:bookmarkEnd w:id="53"/>
      <w:r>
        <w:rPr>
          <w:rFonts w:ascii="Times New Roman" w:hAnsi="Times New Roman"/>
          <w:b/>
          <w:color w:val="000000"/>
          <w:sz w:val="20"/>
        </w:rPr>
        <w:t>Note 7. Master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 2025 (the MLA Date), we entered into the MLA with the Lender. The MLA provides a framework under which we may borrow any digital assets or cash from the Lender, from time-to-time. We must request a loan from the Lender with the Loan Request. Once approved by the Lender, a loan will be documented in a loan agreement (each, a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Loan may have a fixed term, or may include a call option or prepayment option, as specified in each Loan Request. In general, either party may terminate a Loan Agreement by providing notice within the time frame set forth in the Loan Agreement. Upon termination, the borrowed digital assets or cash must be returned and the related collateral released.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a Loan Agreement are secured by collateral in favor of the Lender. Collateral may include cash or other forms agreed upon by the Parties (as defined in the applicable Loan Agreement). The collateral's required value is typically higher than the borrowed amount, subject to margin calls as set forth in the applicable Loan Agreement. If the value of the posted collateral falls below the margin call threshold, we must promptly post additional collateral. Failure to maintain sufficient collateral can result in an event of default and remedies available to the Lender, including the right to liquidate pledged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MLA contains representations and warranties and affirmative and negative covenants customary for financings of this type, as well as customary events of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evaluated the MLA and determined as of the MLA Date, the MLA does not represent a loan commitment in accordance with U.S. GAAP. As of June 30, 2026, we had not requested any loans nor did we have any Loan Agreements outstanding under the MLA. </w:t>
      </w:r>
    </w:p>
    <w:p>
      <w:pPr>
        <w:pStyle w:val="TextBody"/>
        <w:bidi w:val="0"/>
        <w:spacing w:before="360" w:after="283"/>
        <w:jc w:val="left"/>
        <w:rPr>
          <w:rFonts w:ascii="Times New Roman" w:hAnsi="Times New Roman"/>
          <w:b/>
          <w:color w:val="000000"/>
          <w:sz w:val="20"/>
        </w:rPr>
      </w:pPr>
      <w:bookmarkStart w:id="54" w:name="fn_derivatives"/>
      <w:bookmarkEnd w:id="54"/>
      <w:r>
        <w:rPr>
          <w:rFonts w:ascii="Times New Roman" w:hAnsi="Times New Roman"/>
          <w:b/>
          <w:color w:val="000000"/>
          <w:sz w:val="20"/>
        </w:rPr>
        <w:t>Note 8. Derivatives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2025, we did not hold any derivatives carried at fair value. The following table presents our consolidated balance sheets classification of derivatives carried at fair value (in thousands):</w:t>
      </w:r>
    </w:p>
    <w:tbl>
      <w:tblPr>
        <w:tblW w:w="10205" w:type="dxa"/>
        <w:jc w:val="left"/>
        <w:tblInd w:w="0" w:type="dxa"/>
        <w:tblLayout w:type="fixed"/>
        <w:tblCellMar>
          <w:top w:w="28" w:type="dxa"/>
          <w:left w:w="28" w:type="dxa"/>
          <w:bottom w:w="28" w:type="dxa"/>
          <w:right w:w="28" w:type="dxa"/>
        </w:tblCellMar>
      </w:tblPr>
      <w:tblGrid>
        <w:gridCol w:w="4194"/>
        <w:gridCol w:w="3443"/>
        <w:gridCol w:w="146"/>
        <w:gridCol w:w="211"/>
        <w:gridCol w:w="571"/>
        <w:gridCol w:w="146"/>
        <w:gridCol w:w="146"/>
        <w:gridCol w:w="324"/>
        <w:gridCol w:w="532"/>
        <w:gridCol w:w="492"/>
      </w:tblGrid>
      <w:tr>
        <w:trPr/>
        <w:tc>
          <w:tcPr>
            <w:tcW w:w="4194" w:type="dxa"/>
            <w:tcBorders/>
            <w:vAlign w:val="center"/>
          </w:tcPr>
          <w:p>
            <w:pPr>
              <w:pStyle w:val="TableContents"/>
              <w:bidi w:val="0"/>
              <w:spacing w:before="0" w:after="283"/>
              <w:jc w:val="left"/>
              <w:rPr>
                <w:sz w:val="4"/>
                <w:szCs w:val="4"/>
              </w:rPr>
            </w:pPr>
            <w:r>
              <w:rPr>
                <w:sz w:val="4"/>
                <w:szCs w:val="4"/>
              </w:rPr>
            </w:r>
          </w:p>
        </w:tc>
        <w:tc>
          <w:tcPr>
            <w:tcW w:w="3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w:t>
            </w:r>
          </w:p>
        </w:tc>
        <w:tc>
          <w:tcPr>
            <w:tcW w:w="3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Line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w:t>
            </w:r>
          </w:p>
        </w:tc>
        <w:tc>
          <w:tcPr>
            <w:tcW w:w="4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Derivatives not designated as hedging instruments:</w:t>
            </w:r>
          </w:p>
        </w:tc>
        <w:tc>
          <w:tcPr>
            <w:tcW w:w="3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SAFE and Token Warrants</w:t>
            </w:r>
          </w:p>
        </w:tc>
        <w:tc>
          <w:tcPr>
            <w:tcW w:w="3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in SAFE and Token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Covered Call Options</w:t>
            </w:r>
          </w:p>
        </w:tc>
        <w:tc>
          <w:tcPr>
            <w:tcW w:w="3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derivatives</w:t>
            </w:r>
          </w:p>
        </w:tc>
        <w:tc>
          <w:tcPr>
            <w:tcW w:w="34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fiscal year ended June 30, 2025, we did not hold any Covered Call Options. The following table presents our statements of operations classification of derivatives carried at fair value for the period presented (in thousands):</w:t>
      </w:r>
    </w:p>
    <w:tbl>
      <w:tblPr>
        <w:tblW w:w="10205" w:type="dxa"/>
        <w:jc w:val="left"/>
        <w:tblInd w:w="0" w:type="dxa"/>
        <w:tblLayout w:type="fixed"/>
        <w:tblCellMar>
          <w:top w:w="28" w:type="dxa"/>
          <w:left w:w="28" w:type="dxa"/>
          <w:bottom w:w="28" w:type="dxa"/>
          <w:right w:w="28" w:type="dxa"/>
        </w:tblCellMar>
      </w:tblPr>
      <w:tblGrid>
        <w:gridCol w:w="3880"/>
        <w:gridCol w:w="2602"/>
        <w:gridCol w:w="146"/>
        <w:gridCol w:w="1026"/>
        <w:gridCol w:w="2058"/>
        <w:gridCol w:w="493"/>
      </w:tblGrid>
      <w:tr>
        <w:trPr/>
        <w:tc>
          <w:tcPr>
            <w:tcW w:w="3880"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w:t>
            </w:r>
          </w:p>
        </w:tc>
        <w:tc>
          <w:tcPr>
            <w:tcW w:w="2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Statements of Operations Line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 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Derivatives not designated as hedging instruments:</w:t>
            </w:r>
          </w:p>
        </w:tc>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Covered Call Options</w:t>
            </w:r>
          </w:p>
        </w:tc>
        <w:tc>
          <w:tcPr>
            <w:tcW w:w="26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derivative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derivatives</w:t>
            </w:r>
          </w:p>
        </w:tc>
        <w:tc>
          <w:tcPr>
            <w:tcW w:w="2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Investment in SAFE and Token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15, 2026 (the Effective Date), we entered into a SAFE agreement for an initial investment amount of $1.0 million in exchange for a right to participate in a future equity financing of preferred stock to be issued by ZK Innovations, Inc. (ZK Innovations). Alternatively, upon a liquidity event such as a change in control, a direct listing or an initial public offering, we are entitled to receive the greater of (i) the SAFE investment amount (the Purchase Amount) or (ii) the amount payable on the number of shares of ZK Innovations common stock equal to the SAFE investment amount divided by the liquidity price. In a dissolution event, such as a bankruptcy, we are entitled to receive the Purchase Amount. In the event of a qualifying financing, this instrument will automatically convert into the greater of (i) the number of standard preferred shares equal to the Purchase Amount divided by the lowest price per share of the standard preferred shares or (ii) the number of SAFE preferred shares equal to the Purchase Amount divided by the liquidity price.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we received a warrant to purchase tokens (the Token Warrant) which expires the earlier of 10 years following the issuance date or the date we and other related entities irrevocably and affirmatively decide not to develop any token. In connection with the SAFE and Token Warrants, we recorded $1.0 million as an investment in the consolidated balance sheets. We accounted for this investment under ASC 321 and elected the fair value option for the SAFE investment pursuant to ASC 825, </w:t>
      </w:r>
      <w:r>
        <w:rPr>
          <w:rFonts w:ascii="Times New Roman" w:hAnsi="Times New Roman"/>
          <w:i/>
          <w:color w:val="000000"/>
          <w:sz w:val="20"/>
        </w:rPr>
        <w:t>Financial Instruments</w:t>
      </w:r>
      <w:r>
        <w:rPr>
          <w:rFonts w:ascii="Times New Roman" w:hAnsi="Times New Roman"/>
          <w:color w:val="000000"/>
          <w:sz w:val="20"/>
        </w:rPr>
        <w:t>, which requires financial instruments to be remeasured to fair value each reporting period, with changes in fair value recorded in the consolidated statements of operations. The fair value estimate includes significant inputs not observable in the market, which represents a Level 3 measurement within the fair value hierarchy. The decision to elect the fair value option is determined on an instrument-by-instrument basis on the date the instrument is initially recognized, is applied to the entire instrument, and is irrevocable once elected. For instruments measured at fair value, embedded conversion or other features are not required to be separated from the host instrument. Issuance costs related to convertible securities carried at fair value are not deferred and are recognized as incurred on the consolidated statements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Covered Call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carry our Covered Call Options at fair value with any realized gains or losses and/or changes in fair value recognized within gain on derivative liabilities, net, a component of other (expense) income, net, in our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estimating the fair value of our Covered Call Options, we use the Black-76 Model, a derivation of the BSM Model, which includes several inputs and assumptions, including the forward price of the underlying asset (LTC), the underlying asset’s implied volatility, the risk-free interest rate, and the expected term of the Covered Call Options. The expected term of the Covered Call Options is the contractual term given the Covered Call Options can only be exercised on their expiration date (i.e., European-style options). We determined that the Covered Call Options are Level 2 liabilities given all inputs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June 30, 2026, we issued Covered Call Options of $63.8 million notional for proceeds of $0.9 million, to generate cash flows on a portion of our digital assets, which is expected to be utilized in our Share Repurchase Program. We transferred LTC to GSR Markets as collateral in a quantity equal to the underlying notional for the Covered Call Options sold. The Covered Call Options are only exercisable upon the date of expiration, are automatically exercised if the underlying reference price was greater than the strike price of the Covered Call Option, and settled with delivery of the underlying LTC. The reference price for the Covered Call Options is/was GSR's internal pricing index, aggregating prices from multiple exchanges, quoted in USD at 6:00pm UTC time for a given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June 30, 2026, Covered Call Options of $55.9 million notional expired with the underlying reference price below their strike price and we recognized realized gains of $0.8 million. As of June 30, 2026, we had four Covered Call Options outstanding on $7.9 million notional. During the fiscal year ended June 30, 2026, we recognized unrealized gains and unrealized losses of approximately $17,000 and $23,000,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5" w:name="fn6_commitcon"/>
      <w:bookmarkEnd w:id="55"/>
      <w:r>
        <w:rPr>
          <w:rFonts w:ascii="Times New Roman" w:hAnsi="Times New Roman"/>
          <w:b/>
          <w:color w:val="000000"/>
          <w:sz w:val="20"/>
        </w:rPr>
        <w:t>Note 9. Commitments and Contingencies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contracted with various consultants and third parties to assist us in pre-clinical research and development and clinical trials work for our leading drug compounds and </w:t>
      </w:r>
      <w:r>
        <w:rPr>
          <w:rFonts w:ascii="Times New Roman" w:hAnsi="Times New Roman"/>
          <w:color w:val="231F20"/>
          <w:sz w:val="20"/>
        </w:rPr>
        <w:t>third-party service organizations on an as-needed basis for treasury management</w:t>
      </w:r>
      <w:r>
        <w:rPr>
          <w:rFonts w:ascii="Times New Roman" w:hAnsi="Times New Roman"/>
          <w:color w:val="000000"/>
          <w:sz w:val="20"/>
        </w:rPr>
        <w:t>. The contracts are terminable at any time but obligate us to reimburse the providers for any time or costs incurred through the date of termination. We also have an employment agreement with our chief executive officer and chief financial officer that provides for severance payments and accelerated vesting for share-based awards if his employment is terminated under specified circumstances.</w:t>
      </w:r>
    </w:p>
    <w:p>
      <w:pPr>
        <w:pStyle w:val="TextBody"/>
        <w:bidi w:val="0"/>
        <w:spacing w:before="120" w:after="283"/>
        <w:jc w:val="left"/>
        <w:rPr>
          <w:rFonts w:ascii="Times New Roman" w:hAnsi="Times New Roman"/>
          <w:sz w:val="20"/>
        </w:rPr>
      </w:pPr>
      <w:r>
        <w:rPr>
          <w:rFonts w:ascii="Times New Roman" w:hAnsi="Times New Roman"/>
          <w:color w:val="000000"/>
          <w:sz w:val="20"/>
        </w:rPr>
        <w:t>Should we terminate the GSR Asset Management Agreement (as defined below), prior to the contractual term of 10 years, we may be obligated to</w:t>
      </w:r>
      <w:r>
        <w:rPr>
          <w:rFonts w:ascii="Times New Roman" w:hAnsi="Times New Roman"/>
          <w:color w:val="231F20"/>
          <w:sz w:val="20"/>
        </w:rPr>
        <w:t xml:space="preserve"> pay an early termination fee in one lump sum payment due upon such termination. Such fee is calculated as the present value of the amount equal to (1) the remaining years in the Term multiplied by (2) the average of the Asset-based Fee of each of the completed years in the Term at the time of termination (Termination Fee). The Termination Fee shall be paid in shares of our Common Stock (or pre-funded warrants in lieu thereof if the holdings of the Asset Manager (together with its affiliates) would exceed 4.99% of the issued and outstanding Shares). The Termination Fee shall be in addition to any other fees due under this Agreement accruing through the date of termination.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From time to time, we may be involved in various lawsuits, legal proceedings, or claims that arise in the ordinary course of business. Management believes there are no claims or actions pending against us as of June 30, 2026,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Presage License Agreement</w:t>
      </w:r>
    </w:p>
    <w:p>
      <w:pPr>
        <w:pStyle w:val="TextBody"/>
        <w:bidi w:val="0"/>
        <w:jc w:val="left"/>
        <w:rPr/>
      </w:pPr>
      <w:r>
        <w:rPr>
          <w:rFonts w:ascii="Times New Roman" w:hAnsi="Times New Roman"/>
          <w:color w:val="000000"/>
          <w:sz w:val="20"/>
        </w:rPr>
        <w:t>As discussed in</w:t>
      </w:r>
      <w:hyperlink w:anchor="fn_license_agree">
        <w:r>
          <w:rPr>
            <w:rStyle w:val="InternetLink"/>
            <w:rFonts w:ascii="Times New Roman" w:hAnsi="Times New Roman"/>
            <w:color w:val="0000FF"/>
            <w:sz w:val="20"/>
            <w:u w:val="single"/>
          </w:rPr>
          <w:t xml:space="preserve"> </w:t>
        </w:r>
      </w:hyperlink>
      <w:hyperlink w:anchor="fn_license_agree">
        <w:r>
          <w:rPr>
            <w:rStyle w:val="InternetLink"/>
            <w:rFonts w:ascii="Times New Roman" w:hAnsi="Times New Roman"/>
            <w:i/>
            <w:color w:val="0000FF"/>
            <w:sz w:val="20"/>
            <w:u w:val="single"/>
          </w:rPr>
          <w:t>Note 10. License Agreements</w:t>
        </w:r>
      </w:hyperlink>
      <w:r>
        <w:rPr>
          <w:rFonts w:ascii="Times New Roman" w:hAnsi="Times New Roman"/>
          <w:color w:val="000000"/>
          <w:sz w:val="20"/>
        </w:rPr>
        <w:t>, we are party to a license agreement with Presage Biosciences, Inc. (Presage) under which we may be required to make future payments upon the achievement of certain development, regulatory and commercial milestones, as well as potential future royalties based upon net sales. As of June 30, 2026, we had no accruals for potential future payments as achievement of the milestones had not been met.</w:t>
      </w:r>
    </w:p>
    <w:p>
      <w:pPr>
        <w:pStyle w:val="TextBody"/>
        <w:bidi w:val="0"/>
        <w:spacing w:before="360" w:after="283"/>
        <w:jc w:val="left"/>
        <w:rPr>
          <w:rFonts w:ascii="Times New Roman" w:hAnsi="Times New Roman"/>
          <w:sz w:val="20"/>
        </w:rPr>
      </w:pPr>
      <w:bookmarkStart w:id="56" w:name="fn_license_agree"/>
      <w:bookmarkStart w:id="57" w:name="fn7_licagree"/>
      <w:bookmarkEnd w:id="56"/>
      <w:bookmarkEnd w:id="57"/>
      <w:r>
        <w:rPr>
          <w:rFonts w:ascii="Times New Roman" w:hAnsi="Times New Roman"/>
          <w:b/>
          <w:color w:val="000000"/>
          <w:sz w:val="20"/>
        </w:rPr>
        <w:t>Note 10.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Presage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2017, we, as licensee, entered into a license agreement with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fiscal years ended June 30, 2026 and 2025, we made no payments under the Presage license agreement. </w:t>
      </w:r>
    </w:p>
    <w:p>
      <w:pPr>
        <w:pStyle w:val="TextBody"/>
        <w:bidi w:val="0"/>
        <w:spacing w:before="240" w:after="283"/>
        <w:jc w:val="left"/>
        <w:rPr>
          <w:rFonts w:ascii="Times New Roman" w:hAnsi="Times New Roman"/>
          <w:b/>
          <w:color w:val="000000"/>
          <w:sz w:val="20"/>
        </w:rPr>
      </w:pPr>
      <w:bookmarkStart w:id="58" w:name="fn_stockholders_equity"/>
      <w:bookmarkEnd w:id="58"/>
      <w:r>
        <w:rPr>
          <w:rFonts w:ascii="Times New Roman" w:hAnsi="Times New Roman"/>
          <w:b/>
          <w:color w:val="000000"/>
          <w:sz w:val="20"/>
        </w:rPr>
        <w:t>Note 11. Stockholders’ Equity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authorized share capital is 226,100,000 shares consisting of 226,000,000 shares of Common Stock and 100,000 shares of preferred stock, $0.01 par value per share (Preferred Stock).</w:t>
      </w:r>
    </w:p>
    <w:p>
      <w:pPr>
        <w:pStyle w:val="TextBody"/>
        <w:bidi w:val="0"/>
        <w:spacing w:before="120" w:after="283"/>
        <w:jc w:val="left"/>
        <w:rPr>
          <w:rFonts w:ascii="Times New Roman" w:hAnsi="Times New Roman"/>
          <w:sz w:val="20"/>
        </w:rPr>
      </w:pPr>
      <w:r>
        <w:rPr>
          <w:rFonts w:ascii="Times New Roman" w:hAnsi="Times New Roman"/>
          <w:i/>
          <w:color w:val="000000"/>
          <w:sz w:val="20"/>
        </w:rPr>
        <w:t>Common</w:t>
      </w:r>
      <w:r>
        <w:rPr>
          <w:rFonts w:ascii="Times New Roman" w:hAnsi="Times New Roman"/>
          <w:color w:val="000000"/>
          <w:sz w:val="20"/>
        </w:rPr>
        <w:t xml:space="preserve"> </w:t>
      </w:r>
      <w:r>
        <w:rPr>
          <w:rFonts w:ascii="Times New Roman" w:hAnsi="Times New Roman"/>
          <w:i/>
          <w:color w:val="000000"/>
          <w:sz w:val="20"/>
        </w:rPr>
        <w:t>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Common Stock are entitled to one vote per share. In the event of a liquidation, dissolution or winding up of our affairs, holders of the Common Stock will be entitled to share ratably in all our assets that are remaining after payment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pStyle w:val="TextBody"/>
        <w:bidi w:val="0"/>
        <w:spacing w:before="120" w:after="283"/>
        <w:jc w:val="left"/>
        <w:rPr/>
      </w:pPr>
      <w:r>
        <w:rPr>
          <w:rFonts w:ascii="Times New Roman" w:hAnsi="Times New Roman"/>
          <w:color w:val="000000"/>
          <w:sz w:val="20"/>
        </w:rPr>
        <w:t xml:space="preserve">As more fully discussed in </w:t>
      </w:r>
      <w:hyperlink w:anchor="fn1_title">
        <w:r>
          <w:rPr>
            <w:rStyle w:val="InternetLink"/>
            <w:rFonts w:ascii="Times New Roman" w:hAnsi="Times New Roman"/>
            <w:i/>
            <w:color w:val="0000FF"/>
            <w:sz w:val="20"/>
            <w:u w:val="single"/>
          </w:rPr>
          <w:t>Note 1. Description of Business and Basis of Presentation</w:t>
        </w:r>
      </w:hyperlink>
      <w:r>
        <w:rPr>
          <w:rFonts w:ascii="Times New Roman" w:hAnsi="Times New Roman"/>
          <w:i/>
          <w:color w:val="000000"/>
          <w:sz w:val="20"/>
        </w:rPr>
        <w:t xml:space="preserve">, </w:t>
      </w:r>
      <w:r>
        <w:rPr>
          <w:rFonts w:ascii="Times New Roman" w:hAnsi="Times New Roman"/>
          <w:color w:val="000000"/>
          <w:sz w:val="20"/>
        </w:rPr>
        <w:t>in conjunction with the PIPE, we issued 23,216,898 shares of Common Stock at $3.42 per share.</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Private Investment in Public Equity (PIPE) and Related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we closed on a $100.0 million PIPE and issued an aggregate of (i) 23,216,898 shares of Common Stock, at an offering price of $3.42 per share and (ii) pre-funded warrants (the Pre-Funded Warrants), to purchase up to an aggregate of 6,022,869 shares of Common Stock, at an offering price of $3.4199 per Pre-Funded Warrant (the Offering).</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Preferred</w:t>
      </w:r>
      <w:r>
        <w:rPr>
          <w:rFonts w:ascii="Times New Roman" w:hAnsi="Times New Roman"/>
          <w:color w:val="000000"/>
          <w:sz w:val="20"/>
        </w:rPr>
        <w:t xml:space="preserve"> </w:t>
      </w:r>
      <w:r>
        <w:rPr>
          <w:rFonts w:ascii="Times New Roman" w:hAnsi="Times New Roman"/>
          <w:i/>
          <w:color w:val="000000"/>
          <w:sz w:val="20"/>
        </w:rPr>
        <w:t>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has the authority to issue Preferred Stock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June 30,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Transactions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we commenced utilization of our Share Repurchase Program announced in October 2025 by repurchasing shares of our Common Stock from the open market (the Treasury Shares). Treasury Shares repurchased through the Share Repurchase Program are considered held in treasury and returned to the status of authorized but unissued shares of Common Stock. Accordingly, the cost of our Treasury Shares, including excise taxes as applicable, were recorded as a treasury stock transaction with our consolidated balance sheets and statements of stockholder's equity. The Share Repurchase Program does not have an expiration date, does not include specific price targets or timetables and may be suspended or terminated by us at any time.</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activity under our Share Repurchase Program (cost in thousands):</w:t>
      </w:r>
    </w:p>
    <w:tbl>
      <w:tblPr>
        <w:tblW w:w="9316" w:type="dxa"/>
        <w:jc w:val="left"/>
        <w:tblInd w:w="0" w:type="dxa"/>
        <w:tblLayout w:type="fixed"/>
        <w:tblCellMar>
          <w:top w:w="28" w:type="dxa"/>
          <w:left w:w="28" w:type="dxa"/>
          <w:bottom w:w="28" w:type="dxa"/>
          <w:right w:w="28" w:type="dxa"/>
        </w:tblCellMar>
      </w:tblPr>
      <w:tblGrid>
        <w:gridCol w:w="2386"/>
        <w:gridCol w:w="146"/>
        <w:gridCol w:w="165"/>
        <w:gridCol w:w="1056"/>
        <w:gridCol w:w="165"/>
        <w:gridCol w:w="165"/>
        <w:gridCol w:w="1191"/>
        <w:gridCol w:w="2634"/>
        <w:gridCol w:w="165"/>
        <w:gridCol w:w="165"/>
        <w:gridCol w:w="239"/>
        <w:gridCol w:w="648"/>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Per Share</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4,378,525</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20, 2024 we filed a shelf registration statement on Form S-3 which was declared effective by the SEC on February 28, 2024 (February 2024 Shelf Registration Statement) that permits us to sell, from time to time, up to $100.0 million of common stock, preferred stock, warrants, rights and units.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At-The-Market Equity Offering</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20, 2024, we entered into a capital on demand sales agreement (On Demand Sales Agreement) with JonesTrading Institution Services LLC, pursuant to which we could offer and sell shares having an aggregate offering price of up to $25.0 million. We did not offer or sell any shares of Common Stock under the On Demand Sales Agreement. Effective July 21, 2025, we terminated the On Demand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2025, we entered a Sales Agreement with Titan Partners Group LLC, a division of American Capital Partners LLC (in such capacity, the Agent), pursuant to which we may sell, from time to time, at our option, up to $100.0 million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principal amount of an indeterminate amount of shares (the ATM Shares) of Common Stock, through the Agent (ATM Program). We will pay the Agent a commission of 3.5% of the gross sales price of the ATM Shares sold pursuant to the Sales Agreement.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Any ATM Shares to be offered and sold under the Sales Agreement will be issued and sold (i) by methods deemed to be an at-the-market offering as defined in Rule 415(a)(4) promulgated under the Securities Act of 1933, as amended, if authorized by us and (ii) pursuant to the February 2024 Shelf Registration Statement as supplemented by a prospectus supplement, filed with the SEC on July 23, 2025. </w:t>
      </w:r>
    </w:p>
    <w:p>
      <w:pPr>
        <w:pStyle w:val="TextBody"/>
        <w:bidi w:val="0"/>
        <w:jc w:val="left"/>
        <w:rPr>
          <w:rFonts w:ascii="Times New Roman" w:hAnsi="Times New Roman"/>
          <w:color w:val="000000"/>
          <w:sz w:val="20"/>
        </w:rPr>
      </w:pPr>
      <w:r>
        <w:rPr>
          <w:rFonts w:ascii="Times New Roman" w:hAnsi="Times New Roman"/>
          <w:color w:val="000000"/>
          <w:sz w:val="20"/>
        </w:rPr>
        <w:t>As of June 30, 2026, 882,924 shares of our Common Stock have been issued and sold under our ATM Program for aggregate net proceeds of $4.6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Cooperation Agreement and Cash Dividend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cooperation agreement, dated as of October 31, 2023, with Anson Funds Management LP and Cable Car Capital LLC (the Cooperation Agreement) among other nonfinancial items, provided for a capital return to stockholders in the form of a dividend in the amount of $1.75 per share of Common Stock that was declared on November 6, 2023, to stockholders of record at the close of business on November 17, 2023. The total dividend of $11.7 million was paid on December 6, 2023, and was recorded as a reduction of additional paid-in capital in the consolidated statements of stockholders' equity, as we have an accumulated deficit, rather than retained earnings. Effective July 22, 2025, in conjunction with the closing of the Offering, the parties to the Cooperation Agreement mutually agreed to terminate the Cooperation Agreement.</w:t>
      </w:r>
    </w:p>
    <w:p>
      <w:pPr>
        <w:pStyle w:val="TextBody"/>
        <w:bidi w:val="0"/>
        <w:spacing w:before="240" w:after="283"/>
        <w:jc w:val="left"/>
        <w:rPr>
          <w:rFonts w:ascii="Times New Roman" w:hAnsi="Times New Roman"/>
          <w:b/>
          <w:color w:val="000000"/>
          <w:sz w:val="20"/>
        </w:rPr>
      </w:pPr>
      <w:bookmarkStart w:id="59" w:name="fn_warrants"/>
      <w:bookmarkEnd w:id="59"/>
      <w:r>
        <w:rPr>
          <w:rFonts w:ascii="Times New Roman" w:hAnsi="Times New Roman"/>
          <w:b/>
          <w:color w:val="000000"/>
          <w:sz w:val="20"/>
        </w:rPr>
        <w:t>Note 12.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2026, we have the following warrants outstanding:</w:t>
      </w:r>
    </w:p>
    <w:tbl>
      <w:tblPr>
        <w:tblW w:w="10074" w:type="dxa"/>
        <w:jc w:val="left"/>
        <w:tblInd w:w="0" w:type="dxa"/>
        <w:tblLayout w:type="fixed"/>
        <w:tblCellMar>
          <w:top w:w="28" w:type="dxa"/>
          <w:left w:w="28" w:type="dxa"/>
          <w:bottom w:w="28" w:type="dxa"/>
          <w:right w:w="28" w:type="dxa"/>
        </w:tblCellMar>
      </w:tblPr>
      <w:tblGrid>
        <w:gridCol w:w="2836"/>
        <w:gridCol w:w="146"/>
        <w:gridCol w:w="281"/>
        <w:gridCol w:w="1594"/>
        <w:gridCol w:w="146"/>
        <w:gridCol w:w="146"/>
        <w:gridCol w:w="284"/>
        <w:gridCol w:w="871"/>
        <w:gridCol w:w="146"/>
        <w:gridCol w:w="146"/>
        <w:gridCol w:w="1651"/>
        <w:gridCol w:w="146"/>
        <w:gridCol w:w="168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Warrants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Initial Exercise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Expiration Date</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Issued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September 24,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Until exercised in full</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Manager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Tranche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July 22, 2030</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Tranche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July 22, 2030</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Tranche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July 22, 2030</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Tranche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2030</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Advisor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2030</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Placement Agent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July 22, 2030</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GD Advisory Warrants in lieu of cash</w:t>
              <w:br/>
              <w:t>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October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October 8, 2030</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October 25,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October 25, 2027</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Pre-Funded Warrants</w:t>
      </w:r>
    </w:p>
    <w:p>
      <w:pPr>
        <w:pStyle w:val="TextBody"/>
        <w:bidi w:val="0"/>
        <w:spacing w:before="120" w:after="283"/>
        <w:jc w:val="left"/>
        <w:rPr/>
      </w:pPr>
      <w:r>
        <w:rPr>
          <w:rFonts w:ascii="Times New Roman" w:hAnsi="Times New Roman"/>
          <w:color w:val="000000"/>
          <w:sz w:val="20"/>
        </w:rPr>
        <w:t xml:space="preserve">As discussed in </w:t>
      </w:r>
      <w:hyperlink w:anchor="fn1_title">
        <w:r>
          <w:rPr>
            <w:rStyle w:val="InternetLink"/>
            <w:rFonts w:ascii="Times New Roman" w:hAnsi="Times New Roman"/>
            <w:i/>
            <w:color w:val="0000FF"/>
            <w:sz w:val="20"/>
            <w:u w:val="single"/>
          </w:rPr>
          <w:t>Note 1. Description of Business and Basis of Presentation</w:t>
        </w:r>
      </w:hyperlink>
      <w:r>
        <w:rPr>
          <w:rFonts w:ascii="Times New Roman" w:hAnsi="Times New Roman"/>
          <w:color w:val="000000"/>
          <w:sz w:val="20"/>
        </w:rPr>
        <w:t xml:space="preserve">, we issued Pre-Funded Warrants to purchase up to an aggregate of 6,022,869 shares of Common Stock. Each Pre-Funded Warrant was immediately exercisable for one share of Common Stock at an exercise price of $0.0001 per Pre-Funded Warrant Share and could be exercised at any time until all the Pre-Funded Warrants issued in the Offering are exercised in full. Each holder of the Pre-Funded Warrant's ability to exercise its Pre-Funded Warrants in exchange for shares of Common Stock was subject to certain beneficial ownership limitations set forth therein. On July 24, 2025, Pre-Funded Warrants for the purchase of 2,084,509 shares of Common Stock were exercised for a </w:t>
      </w:r>
      <w:r>
        <w:rPr>
          <w:rFonts w:ascii="Times New Roman" w:hAnsi="Times New Roman"/>
          <w:i/>
          <w:color w:val="000000"/>
          <w:sz w:val="20"/>
        </w:rPr>
        <w:t xml:space="preserve">de minimis </w:t>
      </w:r>
      <w:r>
        <w:rPr>
          <w:rFonts w:ascii="Times New Roman" w:hAnsi="Times New Roman"/>
          <w:color w:val="000000"/>
          <w:sz w:val="20"/>
        </w:rPr>
        <w:t>amount of cash proceeds. During fiscal year 2026, we issued 3,938,209 shares of Common Stock upon cashless exercises of 3,938,360 Pre-Funded Warrants. As of June 30, 2026, no Pre-Funded Warrants issued in the PIPE remained outstanding.</w:t>
      </w:r>
    </w:p>
    <w:p>
      <w:pPr>
        <w:pStyle w:val="TextBody"/>
        <w:bidi w:val="0"/>
        <w:spacing w:before="120" w:after="283"/>
        <w:jc w:val="left"/>
        <w:rPr/>
      </w:pPr>
      <w:r>
        <w:rPr>
          <w:rFonts w:ascii="Times New Roman" w:hAnsi="Times New Roman"/>
          <w:color w:val="000000"/>
          <w:sz w:val="20"/>
        </w:rPr>
        <w:t xml:space="preserve">On September 24, 2025, as payment of the annual Asset-based Fee under the GSR Asset Management Agreement, we issued the AMA Pre-Funded Warrants which were fully vested and nonforfeitable as of the issuance date, as more fully discussed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for the purchase of up to 546,348 shares of our Common Stock with an exercise price of $0.0001 per share. During the first year of the GSR Asset Management Agreement, it is noncancelable by us, other than for Cause (as defined therein). The annual Asset-based Fee of $1.9 million will be amortized to expense through the one-year anniversary of the GSR Asset Management Agreement. Amounts in excess of fees recognized through June 30, 2026, are recorded in prepaid expenses and other current assets in the consolidated balance sheets. We concluded the fair value of services received by GSR represented the fair value of the warrants issued in settlement of the Asset-based Fee and recorded such fair value as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0"/>
        </w:rPr>
        <w:t xml:space="preserve">paid-in capital in the consolidated balance sheets. During the fiscal year ended June 30, 2026, we recognized $1.8 million of the Asset-based Fee within general and administrative expenses within our digital asset treasury strategy segment (see </w:t>
      </w:r>
      <w:hyperlink w:anchor="fn_segments">
        <w:r>
          <w:rPr>
            <w:rStyle w:val="InternetLink"/>
            <w:rFonts w:ascii="Times New Roman" w:hAnsi="Times New Roman"/>
            <w:i/>
            <w:color w:val="0000FF"/>
            <w:sz w:val="20"/>
            <w:u w:val="single"/>
          </w:rPr>
          <w:t>Note 14. Segment Information</w:t>
        </w:r>
      </w:hyperlink>
      <w:r>
        <w:rPr>
          <w:rFonts w:ascii="Times New Roman" w:hAnsi="Times New Roman"/>
          <w:color w:val="000000"/>
          <w:sz w:val="20"/>
        </w:rPr>
        <w:t xml:space="preserve"> for information related to our segments). </w:t>
      </w:r>
    </w:p>
    <w:p>
      <w:pPr>
        <w:pStyle w:val="TextBody"/>
        <w:bidi w:val="0"/>
        <w:spacing w:before="120" w:after="283"/>
        <w:jc w:val="left"/>
        <w:rPr/>
      </w:pPr>
      <w:r>
        <w:rPr>
          <w:rFonts w:ascii="Times New Roman" w:hAnsi="Times New Roman"/>
          <w:color w:val="000000"/>
          <w:sz w:val="20"/>
        </w:rPr>
        <w:t>As more fully described in</w:t>
      </w:r>
      <w:hyperlink w:anchor="fn_subevent">
        <w:r>
          <w:rPr>
            <w:rStyle w:val="InternetLink"/>
            <w:rFonts w:ascii="Times New Roman" w:hAnsi="Times New Roman"/>
            <w:color w:val="0000FF"/>
            <w:sz w:val="20"/>
            <w:u w:val="single"/>
          </w:rPr>
          <w:t xml:space="preserve"> </w:t>
        </w:r>
      </w:hyperlink>
      <w:hyperlink w:anchor="fn_subevent">
        <w:r>
          <w:rPr>
            <w:rStyle w:val="InternetLink"/>
            <w:rFonts w:ascii="Times New Roman" w:hAnsi="Times New Roman"/>
            <w:i/>
            <w:color w:val="0000FF"/>
            <w:sz w:val="20"/>
            <w:u w:val="single"/>
          </w:rPr>
          <w:t>Note 18. Subsequent Events</w:t>
        </w:r>
      </w:hyperlink>
      <w:r>
        <w:rPr>
          <w:rFonts w:ascii="Times New Roman" w:hAnsi="Times New Roman"/>
          <w:i/>
          <w:color w:val="000000"/>
          <w:sz w:val="20"/>
        </w:rPr>
        <w:t>,</w:t>
      </w:r>
      <w:r>
        <w:rPr>
          <w:rFonts w:ascii="Times New Roman" w:hAnsi="Times New Roman"/>
          <w:color w:val="000000"/>
          <w:sz w:val="20"/>
        </w:rPr>
        <w:t xml:space="preserve"> we issued the Second Annual Pre-Funded Warrants in settlement of the Second Annual Asset-based Fee under the GSR Asset Management Agreement.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Advisory Warrants</w:t>
      </w:r>
    </w:p>
    <w:p>
      <w:pPr>
        <w:pStyle w:val="TextBody"/>
        <w:bidi w:val="0"/>
        <w:spacing w:before="120" w:after="240"/>
        <w:jc w:val="left"/>
        <w:rPr/>
      </w:pPr>
      <w:r>
        <w:rPr>
          <w:rFonts w:ascii="Times New Roman" w:hAnsi="Times New Roman"/>
          <w:color w:val="000000"/>
          <w:sz w:val="20"/>
        </w:rPr>
        <w:t xml:space="preserve">On July 22, 2025, in conjunction with the closing of the PIPE, we issued the Advisory Warrants (as discussed in </w:t>
      </w:r>
      <w:hyperlink w:anchor="fn2_sumsigpolicies">
        <w:r>
          <w:rPr>
            <w:rStyle w:val="InternetLink"/>
            <w:rFonts w:ascii="Times New Roman" w:hAnsi="Times New Roman"/>
            <w:i/>
            <w:color w:val="0000FF"/>
            <w:sz w:val="20"/>
            <w:u w:val="single"/>
          </w:rPr>
          <w:t>Note 2. Summary of Significant Accounting Policies</w:t>
        </w:r>
      </w:hyperlink>
      <w:r>
        <w:rPr>
          <w:rFonts w:ascii="Times New Roman" w:hAnsi="Times New Roman"/>
          <w:color w:val="000000"/>
          <w:sz w:val="20"/>
        </w:rPr>
        <w:t>) for the purchase of 3,070,177 shares of our Common Stock to our advisors in the transaction (the Advisory Warrants). The Advisory Warrants are immediately exercisable, expire five years from the issuance date and have exercise prices between $3.42 and $5.13 per share. Upon issuance, we recognized the fair value of the Advisory Warrants of $16.2 million within additional paid-in capital that is included in the consolidated statements of stockholders' equity for fiscal year ended June 30, 2026. The weighted-average grant date fair value of the Advisory Warrants was $5.28 per share as determined using the following weighted-average grant date assumptions:</w:t>
      </w:r>
    </w:p>
    <w:tbl>
      <w:tblPr>
        <w:tblW w:w="2980" w:type="dxa"/>
        <w:jc w:val="left"/>
        <w:tblInd w:w="0" w:type="dxa"/>
        <w:tblLayout w:type="fixed"/>
        <w:tblCellMar>
          <w:top w:w="28" w:type="dxa"/>
          <w:left w:w="28" w:type="dxa"/>
          <w:bottom w:w="28" w:type="dxa"/>
          <w:right w:w="28" w:type="dxa"/>
        </w:tblCellMar>
      </w:tblPr>
      <w:tblGrid>
        <w:gridCol w:w="1846"/>
        <w:gridCol w:w="146"/>
        <w:gridCol w:w="146"/>
        <w:gridCol w:w="466"/>
        <w:gridCol w:w="3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bookmarkStart w:id="60" w:name="fn_gdwarr_issued_inlieuofcash"/>
      <w:bookmarkEnd w:id="60"/>
      <w:r>
        <w:rPr>
          <w:rFonts w:ascii="Times New Roman" w:hAnsi="Times New Roman"/>
          <w:i/>
          <w:color w:val="000000"/>
          <w:sz w:val="20"/>
        </w:rPr>
        <w:t>GD Advisory Warrants Issued in Lieu of Cash Fees</w:t>
      </w:r>
    </w:p>
    <w:p>
      <w:pPr>
        <w:pStyle w:val="TextBody"/>
        <w:bidi w:val="0"/>
        <w:spacing w:before="120" w:after="283"/>
        <w:jc w:val="left"/>
        <w:rPr/>
      </w:pPr>
      <w:r>
        <w:rPr>
          <w:rFonts w:ascii="Times New Roman" w:hAnsi="Times New Roman"/>
          <w:color w:val="000000"/>
          <w:sz w:val="20"/>
        </w:rPr>
        <w:t xml:space="preserve">In October 2025, in settlement of the Annual Advisory Fee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for the annual period ending July 21, 2026, we issued a GD Advisory Warrants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for the purchase of up to 234,149 shares of Common Stock with an exercise price of $0.0001 per share. The Annual Advisory Fee of $0.8 million will be recorded to expense through the one-year anniversary of the GD Advisory Agreement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over the requisite service period. We concluded the fair value of services received or to be received by Green Dragon represented the fair value of the warrants issued in settlement of the Annual Advisory Fee. During the fiscal year ended June 30, 2026, we recognized $0.7 million of the Annual Advisory Fee in general and administrative expenses within our digital asset treasury strategy segment (see </w:t>
      </w:r>
      <w:hyperlink w:anchor="fn_segments">
        <w:r>
          <w:rPr>
            <w:rStyle w:val="InternetLink"/>
            <w:rFonts w:ascii="Times New Roman" w:hAnsi="Times New Roman"/>
            <w:i/>
            <w:color w:val="0000FF"/>
            <w:sz w:val="20"/>
            <w:u w:val="single"/>
          </w:rPr>
          <w:t>Note 14. Segment Information</w:t>
        </w:r>
      </w:hyperlink>
      <w:r>
        <w:rPr>
          <w:rFonts w:ascii="Times New Roman" w:hAnsi="Times New Roman"/>
          <w:color w:val="000000"/>
          <w:sz w:val="20"/>
        </w:rPr>
        <w:t xml:space="preserve"> for information related to our segments). </w:t>
      </w:r>
    </w:p>
    <w:p>
      <w:pPr>
        <w:pStyle w:val="TextBody"/>
        <w:bidi w:val="0"/>
        <w:spacing w:before="120" w:after="283"/>
        <w:jc w:val="left"/>
        <w:rPr/>
      </w:pPr>
      <w:r>
        <w:rPr>
          <w:rFonts w:ascii="Times New Roman" w:hAnsi="Times New Roman"/>
          <w:color w:val="000000"/>
          <w:sz w:val="20"/>
        </w:rPr>
        <w:t xml:space="preserve">As more fully described in </w:t>
      </w:r>
      <w:hyperlink w:anchor="fn_subevent">
        <w:r>
          <w:rPr>
            <w:rStyle w:val="InternetLink"/>
            <w:rFonts w:ascii="Times New Roman" w:hAnsi="Times New Roman"/>
            <w:i/>
            <w:color w:val="0000FF"/>
            <w:sz w:val="20"/>
            <w:u w:val="single"/>
          </w:rPr>
          <w:t>Note 18. Subsequent Events</w:t>
        </w:r>
      </w:hyperlink>
      <w:r>
        <w:rPr>
          <w:rFonts w:ascii="Times New Roman" w:hAnsi="Times New Roman"/>
          <w:i/>
          <w:color w:val="000000"/>
          <w:sz w:val="20"/>
        </w:rPr>
        <w:t>,</w:t>
      </w:r>
      <w:r>
        <w:rPr>
          <w:rFonts w:ascii="Times New Roman" w:hAnsi="Times New Roman"/>
          <w:color w:val="000000"/>
          <w:sz w:val="20"/>
        </w:rPr>
        <w:t xml:space="preserve"> we issued the Second Annual GD Advisory Warrants in settlement of the Second Annual Advisory Fee.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have a warrant to purchase 102,513 shares of our common stock issued to Torreya Partners LLC. The warrant is fully vested, exercisable at a price of $6.80 per share and expires in October 2027. The warrant wasn't exercised as of June 30, 2026.</w:t>
      </w:r>
    </w:p>
    <w:p>
      <w:pPr>
        <w:pStyle w:val="TextBody"/>
        <w:bidi w:val="0"/>
        <w:spacing w:before="360" w:after="283"/>
        <w:jc w:val="left"/>
        <w:rPr>
          <w:rFonts w:ascii="Times New Roman" w:hAnsi="Times New Roman"/>
          <w:b/>
          <w:color w:val="000000"/>
          <w:sz w:val="20"/>
        </w:rPr>
      </w:pPr>
      <w:bookmarkStart w:id="61" w:name="fn11_sbc"/>
      <w:bookmarkEnd w:id="61"/>
      <w:r>
        <w:rPr>
          <w:rFonts w:ascii="Times New Roman" w:hAnsi="Times New Roman"/>
          <w:b/>
          <w:color w:val="000000"/>
          <w:sz w:val="20"/>
        </w:rPr>
        <w:t>Note 13. 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equity-based compensation programs to provide long-term performance incentives for our employees. These incentives consist primarily of stock options and RSUs. In December 2008, we adopted the MEI Pharma, Inc. 2008 Stock Omnibus Equity Compensation Plan (the Prior Omnibus Plan), as amended and restated from time to time, under which 1,850,739 shares of Common Stock were authorized for issuance. The Prior Omnibus Plan provides for the grant of options and/or other stock-based or stock-denominated awards to our non-employee directors, officers, employees and advisors. Effective February 12, 2026, our stockholders approved our Lite Strategy, Inc. 2026 Stock Omnibus Equity Compensation Plan (the 2026 Omnibus Plan and together with the Prior Omnibus Plan, the Omnibus Plans), which replaces the Prior Omnibus Plan. Subject to certain adjustments, under the 2026 Omnibus Plan, we are authorized to issue 2,000,000 shares of Common Stock, plus (i) the number of shares available for grant under the Prior Omnibus Plan as of the effective date of the 2026 Omnibus Plan and (ii) the number of shares underlying awards granted under the Prior Omnibus Plan that, following the effective date, expire or are terminated, surrendered, cancelled or forfeited without issuance of shares. Grants may be made to our employees and the employees of our affiliates, our nonemployee directors, and the advisors who perform services for us and our subsidiaries. The 2026 Omnibus Plan provides for the grant of stock options, stock appreciation rights, stock units, stock awards, and other stock-based awards. As of June 30, 2026, there were 2,058,800 shares available for future grant under the 2026 Omnibus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we adopted the 2021 Inducement Plan (Inducement Plan, together with the Omnibus Plans, the Equity Plans), under which 125,000 shares of Common Stock were authorized for issuance. On June 9, 2023, our Board approved an amendment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June 30, 2026, there were 163,698 shares available for future grant under the Inducement Plan.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share-based compensation expense for all stock awards consists of the following, in thousands:</w:t>
      </w:r>
    </w:p>
    <w:tbl>
      <w:tblPr>
        <w:tblW w:w="6961" w:type="dxa"/>
        <w:jc w:val="left"/>
        <w:tblInd w:w="0" w:type="dxa"/>
        <w:tblLayout w:type="fixed"/>
        <w:tblCellMar>
          <w:top w:w="28" w:type="dxa"/>
          <w:left w:w="28" w:type="dxa"/>
          <w:bottom w:w="28" w:type="dxa"/>
          <w:right w:w="28" w:type="dxa"/>
        </w:tblCellMar>
      </w:tblPr>
      <w:tblGrid>
        <w:gridCol w:w="3131"/>
        <w:gridCol w:w="146"/>
        <w:gridCol w:w="367"/>
        <w:gridCol w:w="994"/>
        <w:gridCol w:w="254"/>
        <w:gridCol w:w="254"/>
        <w:gridCol w:w="367"/>
        <w:gridCol w:w="837"/>
        <w:gridCol w:w="611"/>
      </w:tblGrid>
      <w:tr>
        <w:trPr/>
        <w:tc>
          <w:tcPr>
            <w:tcW w:w="3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options granted to employees and advisors in fiscal year 2026, generally vest monthly over three years. Stock options granted to employees prior to July 1, 2025, generally vested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As of June 30, 2026, there were a total of 1,731,085 options outstanding of which 1,677,783 were granted under the Omnibus Plans and 53,302 were granted under the Inducement Plan.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our stock option activity and related data follows:</w:t>
      </w:r>
    </w:p>
    <w:tbl>
      <w:tblPr>
        <w:tblW w:w="10102" w:type="dxa"/>
        <w:jc w:val="left"/>
        <w:tblInd w:w="0" w:type="dxa"/>
        <w:tblLayout w:type="fixed"/>
        <w:tblCellMar>
          <w:top w:w="28" w:type="dxa"/>
          <w:left w:w="28" w:type="dxa"/>
          <w:bottom w:w="28" w:type="dxa"/>
          <w:right w:w="28" w:type="dxa"/>
        </w:tblCellMar>
      </w:tblPr>
      <w:tblGrid>
        <w:gridCol w:w="3241"/>
        <w:gridCol w:w="146"/>
        <w:gridCol w:w="146"/>
        <w:gridCol w:w="826"/>
        <w:gridCol w:w="166"/>
        <w:gridCol w:w="146"/>
        <w:gridCol w:w="407"/>
        <w:gridCol w:w="1064"/>
        <w:gridCol w:w="146"/>
        <w:gridCol w:w="146"/>
        <w:gridCol w:w="555"/>
        <w:gridCol w:w="1260"/>
        <w:gridCol w:w="146"/>
        <w:gridCol w:w="146"/>
        <w:gridCol w:w="422"/>
        <w:gridCol w:w="748"/>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 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Unrecognized compensation expense related to non-vested stock options totaled $0.4 million as of June 30, 2026. Such compensation expense is expected to be recognized over a weighted-average period of 1.3 years. As of June 30, 2026, we expect all outstanding options to vest.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15, 2025, we granted options to purchase 124,250 shares of our common stock at an exercise price $3.07 per share (the Spring-loaded Options), which fully vested at time of grant. On July 18, 2025, we publicly announced our PIPE which closed on July 22, 2025. We reviewed the Spring-loaded Options in accordance with SAB 120 and ASC 718 and concluded since we were in possession of material non-public information on July 15, 2025 regarding our PIPE when the options were granted, such options were considered to be spring-loaded. Therefore, we revalued the options using the closing price on July 18, 2025 (the release date) rather than July 15, 2025 (the grant date) and recorded incremental share-based compensation expense of $0.3 million associated with the Spring-loaded Options.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use a Black-Scholes valuation model to estimate the grant date fair value of stock options. During the fiscal year ended June 30, 2025, we did not grant any stock options. The weighted-average grant date fair value of options granted during the year ended June 30, 2026, was $1.43 per share. During the fiscal year ended June 30, 2026, the following weighted-average assumptions were used to calculate these fair values:</w:t>
      </w:r>
    </w:p>
    <w:tbl>
      <w:tblPr>
        <w:tblW w:w="2980" w:type="dxa"/>
        <w:jc w:val="left"/>
        <w:tblInd w:w="0" w:type="dxa"/>
        <w:tblLayout w:type="fixed"/>
        <w:tblCellMar>
          <w:top w:w="28" w:type="dxa"/>
          <w:left w:w="28" w:type="dxa"/>
          <w:bottom w:w="28" w:type="dxa"/>
          <w:right w:w="28" w:type="dxa"/>
        </w:tblCellMar>
      </w:tblPr>
      <w:tblGrid>
        <w:gridCol w:w="1846"/>
        <w:gridCol w:w="146"/>
        <w:gridCol w:w="146"/>
        <w:gridCol w:w="466"/>
        <w:gridCol w:w="3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bookmarkStart w:id="62" w:name="fn_segments"/>
      <w:bookmarkEnd w:id="62"/>
      <w:r>
        <w:rPr>
          <w:rFonts w:ascii="Times New Roman" w:hAnsi="Times New Roman"/>
          <w:b/>
          <w:color w:val="000000"/>
          <w:sz w:val="20"/>
        </w:rPr>
        <w:t>Note 14.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financial information is regularly evaluated by the chief operating decision maker (CODM), which is our Chief Executive Officer and Chief Financial Officer, in deciding how to allocate resources and assess performance. During fiscal year 2025, when allocating financial and personnel resources, due to pursuing our strategic alternatives initiative, the CODM evaluated our financial information, including year-over-year profit and loss comparisons and cash projections, on an aggregate basis. During fiscal year 2026, our CODM evaluates financial information including budget versus actual comparisons when assessing performance for allocating financial and personnel resources. Prior to the commencement of writing the Covered Call Options in the second quarter of fiscal year 2026, the CODM considered our cash and cash equivalents and other corporate expenses to be primarily available for use in our development of pharmaceutical products segment. However, since the proceeds from the issuance of our Covered Call Options are being utilized to repurchase our Common Stock, the CODM reevaluated its position during the second quarter of fiscal year 2026 and concluded cash and cash equivalents and corporate expenses were no longer segment expenses and therefore would represent corporate expenses and be a reconciling item between total segment costs and our consolidated results. We are not organized by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initiation of our Litecoin Treasury Strategy in August 2025, we operated as a single operating segment, the development of pharmaceutical products. Subsequently, we now operate under two operating segments (development of pharmaceutical products and digital asset treasury strategy), which we identify based upon the underlying business activities supporting these two segments. During the fiscal years ended June 30, 2026 and 2025, we did not generate any revenue. Consistent with the CODM's reevaluation in the second quarter of 2026, he concluded our administrative functions including finance, business development and information systems, no longer were primarily supportive of our development of pharmaceutical products segment, and would be primarily included in corporate expenses. We operate in one geographic area, the United States. The CODM allocates resources (inclusive of both capital and personnel) based upon our net loss, which is utilized to monitor year-over-year variances on a quarterly basis. </w:t>
      </w:r>
    </w:p>
    <w:p>
      <w:pPr>
        <w:pStyle w:val="TextBody"/>
        <w:bidi w:val="0"/>
        <w:spacing w:before="120" w:after="283"/>
        <w:jc w:val="left"/>
        <w:rPr/>
      </w:pPr>
      <w:r>
        <w:rPr>
          <w:rFonts w:ascii="Times New Roman" w:hAnsi="Times New Roman"/>
          <w:color w:val="000000"/>
          <w:sz w:val="20"/>
        </w:rPr>
        <w:t xml:space="preserve">The accounting policies of both our segments are the same as those described in </w:t>
      </w:r>
      <w:hyperlink w:anchor="fn2_sumsigpolicies">
        <w:r>
          <w:rPr>
            <w:rStyle w:val="InternetLink"/>
            <w:rFonts w:ascii="Times New Roman" w:hAnsi="Times New Roman"/>
            <w:i/>
            <w:color w:val="0000FF"/>
            <w:sz w:val="20"/>
            <w:u w:val="single"/>
          </w:rPr>
          <w:t>Note 2. Summary of Significant Accounting Policies</w:t>
        </w:r>
      </w:hyperlink>
      <w:r>
        <w:rPr>
          <w:rFonts w:ascii="Times New Roman" w:hAnsi="Times New Roman"/>
          <w:color w:val="000000"/>
          <w:sz w:val="20"/>
        </w:rPr>
        <w:t>. All our assets are in the United States. We do not have intra-entity sales or transfers.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years ended June 30, 2026 and 2025, we had no transactions denominated in foreign currencies nor any intangible property for which we recognized amortization expense. During the fiscal year ended June 30, 2026, we did not recognize depreciation expense. During the fiscal year ended June 30, 2025, we recognized depreciation expense that we have included in "other segment expenses" within the table below. Depreciation expense is reported in our statements of cash flows. Noncash expenses such as depreciating assets and share-based compensation are not part of the CODM's evaluation or decision-making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our financial data for our segments (in thousands):</w:t>
      </w:r>
    </w:p>
    <w:tbl>
      <w:tblPr>
        <w:tblW w:w="10205" w:type="dxa"/>
        <w:jc w:val="left"/>
        <w:tblInd w:w="0" w:type="dxa"/>
        <w:tblLayout w:type="fixed"/>
        <w:tblCellMar>
          <w:top w:w="28" w:type="dxa"/>
          <w:left w:w="28" w:type="dxa"/>
          <w:bottom w:w="28" w:type="dxa"/>
          <w:right w:w="28" w:type="dxa"/>
        </w:tblCellMar>
      </w:tblPr>
      <w:tblGrid>
        <w:gridCol w:w="2274"/>
        <w:gridCol w:w="146"/>
        <w:gridCol w:w="300"/>
        <w:gridCol w:w="1050"/>
        <w:gridCol w:w="166"/>
        <w:gridCol w:w="146"/>
        <w:gridCol w:w="491"/>
        <w:gridCol w:w="1123"/>
        <w:gridCol w:w="166"/>
        <w:gridCol w:w="146"/>
        <w:gridCol w:w="243"/>
        <w:gridCol w:w="847"/>
        <w:gridCol w:w="166"/>
        <w:gridCol w:w="146"/>
        <w:gridCol w:w="255"/>
        <w:gridCol w:w="764"/>
        <w:gridCol w:w="166"/>
        <w:gridCol w:w="146"/>
        <w:gridCol w:w="211"/>
        <w:gridCol w:w="736"/>
        <w:gridCol w:w="517"/>
      </w:tblGrid>
      <w:tr>
        <w:trPr/>
        <w:tc>
          <w:tcPr>
            <w:tcW w:w="2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Fiscal Year Ended June 30, 2026</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Digital Asset Treasury Strategy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Development of Pharmaceutical Products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Segment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Corporate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and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voruciclib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management fee and advisory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54,408</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 in fair value of digital </w:t>
              <w:br/>
              <w:t>    assets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derivative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74"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Interest and dividend income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 xml:space="preserve">Total operating and other </w:t>
              <w:br/>
              <w:t>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71,150</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segment costs loss and </w:t>
              <w:br/>
              <w: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(71,150</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______</w:t>
      </w:r>
    </w:p>
    <w:p>
      <w:pPr>
        <w:pStyle w:val="TextBody"/>
        <w:bidi w:val="0"/>
        <w:jc w:val="left"/>
        <w:rPr>
          <w:rFonts w:ascii="Times New Roman" w:hAnsi="Times New Roman"/>
          <w:color w:val="000000"/>
          <w:sz w:val="19"/>
        </w:rPr>
      </w:pPr>
      <w:r>
        <w:rPr>
          <w:rFonts w:ascii="Times New Roman" w:hAnsi="Times New Roman"/>
          <w:color w:val="000000"/>
          <w:sz w:val="19"/>
        </w:rPr>
        <w:t>(1) Includes product development costs associated with zandelisib determined to be immaterial, share-based compensation costs, administrative costs, travel and business taxes.</w:t>
      </w:r>
    </w:p>
    <w:p>
      <w:pPr>
        <w:pStyle w:val="TextBody"/>
        <w:bidi w:val="0"/>
        <w:jc w:val="left"/>
        <w:rPr>
          <w:rFonts w:ascii="Times New Roman" w:hAnsi="Times New Roman"/>
          <w:color w:val="000000"/>
          <w:sz w:val="19"/>
        </w:rPr>
      </w:pPr>
      <w:r>
        <w:rPr>
          <w:rFonts w:ascii="Times New Roman" w:hAnsi="Times New Roman"/>
          <w:color w:val="000000"/>
          <w:sz w:val="19"/>
        </w:rPr>
        <w:t>(2) Interest and dividend income are solely attributable to our cash and cash equivalents.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0"/>
        <w:gridCol w:w="146"/>
        <w:gridCol w:w="765"/>
        <w:gridCol w:w="2297"/>
        <w:gridCol w:w="171"/>
        <w:gridCol w:w="151"/>
        <w:gridCol w:w="354"/>
        <w:gridCol w:w="1237"/>
        <w:gridCol w:w="171"/>
        <w:gridCol w:w="151"/>
        <w:gridCol w:w="270"/>
        <w:gridCol w:w="946"/>
        <w:gridCol w:w="516"/>
      </w:tblGrid>
      <w:tr>
        <w:trPr/>
        <w:tc>
          <w:tcPr>
            <w:tcW w:w="3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Fiscal Year Ended June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Development of Pharmaceutical Products </w:t>
              <w:br/>
              <w:t>and Total Segment Costs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Expenses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and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voruciclib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disposition of nonfinancial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Interest and dividend income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and other (income)</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costs loss and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______</w:t>
      </w:r>
    </w:p>
    <w:p>
      <w:pPr>
        <w:pStyle w:val="TextBody"/>
        <w:bidi w:val="0"/>
        <w:jc w:val="left"/>
        <w:rPr>
          <w:rFonts w:ascii="Times New Roman" w:hAnsi="Times New Roman"/>
          <w:color w:val="000000"/>
          <w:sz w:val="19"/>
        </w:rPr>
      </w:pPr>
      <w:r>
        <w:rPr>
          <w:rFonts w:ascii="Times New Roman" w:hAnsi="Times New Roman"/>
          <w:color w:val="000000"/>
          <w:sz w:val="19"/>
        </w:rPr>
        <w:t>(1) Includes product development costs associated with zandelisib determined to be immaterial, occupancy costs (including rent and utilities), share-based compensation costs, depreciation expense, administrative costs, travel and business taxes.</w:t>
      </w:r>
    </w:p>
    <w:p>
      <w:pPr>
        <w:pStyle w:val="TextBody"/>
        <w:bidi w:val="0"/>
        <w:jc w:val="left"/>
        <w:rPr>
          <w:rFonts w:ascii="Times New Roman" w:hAnsi="Times New Roman"/>
          <w:color w:val="000000"/>
          <w:sz w:val="19"/>
        </w:rPr>
      </w:pPr>
      <w:r>
        <w:rPr>
          <w:rFonts w:ascii="Times New Roman" w:hAnsi="Times New Roman"/>
          <w:color w:val="000000"/>
          <w:sz w:val="19"/>
        </w:rPr>
        <w:t>(2) Interest and dividend income are solely attributable to our cash and cash equivalents.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146"/>
        <w:gridCol w:w="353"/>
        <w:gridCol w:w="1084"/>
        <w:gridCol w:w="146"/>
        <w:gridCol w:w="146"/>
        <w:gridCol w:w="720"/>
        <w:gridCol w:w="1274"/>
        <w:gridCol w:w="146"/>
        <w:gridCol w:w="146"/>
        <w:gridCol w:w="278"/>
        <w:gridCol w:w="853"/>
        <w:gridCol w:w="146"/>
        <w:gridCol w:w="146"/>
        <w:gridCol w:w="293"/>
        <w:gridCol w:w="768"/>
        <w:gridCol w:w="146"/>
        <w:gridCol w:w="146"/>
        <w:gridCol w:w="258"/>
        <w:gridCol w:w="793"/>
        <w:gridCol w:w="397"/>
      </w:tblGrid>
      <w:tr>
        <w:trP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4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Digital Asset Treasury Strategy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Development of Pharmaceutical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Segment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Corporate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and cash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27,272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Digital assets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Investment in SAFE and Token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42,692</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0"/>
        <w:gridCol w:w="146"/>
        <w:gridCol w:w="1234"/>
        <w:gridCol w:w="2028"/>
        <w:gridCol w:w="146"/>
        <w:gridCol w:w="146"/>
        <w:gridCol w:w="344"/>
        <w:gridCol w:w="1110"/>
        <w:gridCol w:w="146"/>
        <w:gridCol w:w="146"/>
        <w:gridCol w:w="289"/>
        <w:gridCol w:w="927"/>
        <w:gridCol w:w="393"/>
      </w:tblGrid>
      <w:tr>
        <w:trPr/>
        <w:tc>
          <w:tcPr>
            <w:tcW w:w="3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Development of Pharmaceutical Products</w:t>
              <w:br/>
              <w:t>and Total Segment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3" w:name="fn_dis_nonfin_asset"/>
      <w:bookmarkEnd w:id="63"/>
      <w:r>
        <w:rPr>
          <w:rFonts w:ascii="Times New Roman" w:hAnsi="Times New Roman"/>
          <w:b/>
          <w:color w:val="000000"/>
          <w:sz w:val="20"/>
        </w:rPr>
        <w:t>Note 15. Disposition of a Nonfinancial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22, 2024 (the APA Closing Date), we and Aardvark Therapeutics, Inc. (the Purchaser), entered into an Asset Purchase Agreement (the Asset Purchase Agreement), whereby we sold to the Purchaser our rights, title and interest in and to certain assets related to ME-344, including relevant intellectual property rights, technology and contracts (the ME-344 Sale). Pursuant to the Asset Purchase Agreement, the Purchaser paid us an initial payment of $0.5 million in cash plus a reimbursement amount of $55,000 at the closing of the transaction. The Purchaser may also make future milestone payments up to $62.0 million after the APA Closing Date, payable upon the achievement of certain regulatory and revenue milestones. The Purchaser also assumed certain of our liabilities after the APA Closing Date, including liabilities arising under the contracts transferred under the Asset Purchase Agreement. During the fiscal years ended June 30, 2026 and 2025, no milestones were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ME-344 Sale did not trigger a discontinued operation as the intellectual property sold did not represent a component of our business. Additionally, we concluded the ME-344 Sale met all the criteria to be derecognized on the APA Closing Date. Variable consideration, such as future potential regulatory and revenue milestones have been fully constrained. As such, as of the APA Closing Date and December 31, 2024, we determined the transaction price to be the initial payment of $0.5 million. Accordingly, we recognized a gain, upon satisfaction of our obligations under the Asset Purchase Agreement, of $0.5 million as a separate component of other (expense) income, net, in the consolidated statements of operations. The $55,000 reimbursement by the Purchaser represented work performed at the Purchaser's request prior to the APA Closing Date, which they agreed to reimburse. The reimbursement did not represent a liability assumed or relieved by the Purchaser and was, therefore, not included in the calculation of the gain on the disposition of the ME-344 asset. For the fiscal year ended June 30, 2025, the $55,000 reimbursement was recognized as contra research and development expense in accordance with our reimbursement policy for pass through services.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account for income taxes in accordance with ASC 740, which requires the recognition of deferred tax assets and liabilities for both the expected impact of differences between the financial statements and the tax basis of assets and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and for the expected future tax benefit to be derived from tax losses and tax credit carryforwards. ASC 740 additionally requires the establishment of a valuation allowance to reflect the likelihood of realization of deferred tax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Effective July 1, 2025, we adopted ASU 2023-09 on a prospective basis, which enhances the transparency and decision usefulness of income tax disclosures in our financial statements. This update requires entities to disclose a detailed reconciliation of the federal statutory income tax rate to the effective tax rate and the disaggregation of income (loss) before income taxes, income tax benefit (expense) and income taxes paid, net of refunds by domestic federal, domestic state, and foreign jurisdictions. Furthermore, changes in unrecognized tax benefits must be categorized based on their relation to current or prior annual reporting periods.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not recorded an income tax provision for the fiscal years ended June 30, 2026 and 2025 due to our taxable losses offset with a full valuation allowance. All losses before income taxes were generated 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Pre-tax loss before provision for income taxes consists of the following jurisdictions, in thousands:</w:t>
      </w:r>
    </w:p>
    <w:tbl>
      <w:tblPr>
        <w:tblW w:w="4076" w:type="dxa"/>
        <w:jc w:val="left"/>
        <w:tblInd w:w="0" w:type="dxa"/>
        <w:tblLayout w:type="fixed"/>
        <w:tblCellMar>
          <w:top w:w="28" w:type="dxa"/>
          <w:left w:w="28" w:type="dxa"/>
          <w:bottom w:w="28" w:type="dxa"/>
          <w:right w:w="28" w:type="dxa"/>
        </w:tblCellMar>
      </w:tblPr>
      <w:tblGrid>
        <w:gridCol w:w="1051"/>
        <w:gridCol w:w="146"/>
        <w:gridCol w:w="255"/>
        <w:gridCol w:w="891"/>
        <w:gridCol w:w="200"/>
        <w:gridCol w:w="176"/>
        <w:gridCol w:w="255"/>
        <w:gridCol w:w="891"/>
        <w:gridCol w:w="21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(71,150</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 reconciliation of the provision for income taxes to the amount computed by applying the 21% statutory U.S. federal income tax rate to income before income taxes after the adoption of ASU 2023-09 is as follows, in thousands: </w:t>
      </w:r>
    </w:p>
    <w:tbl>
      <w:tblPr>
        <w:tblW w:w="7427" w:type="dxa"/>
        <w:jc w:val="left"/>
        <w:tblInd w:w="0" w:type="dxa"/>
        <w:tblLayout w:type="fixed"/>
        <w:tblCellMar>
          <w:top w:w="28" w:type="dxa"/>
          <w:left w:w="28" w:type="dxa"/>
          <w:bottom w:w="28" w:type="dxa"/>
          <w:right w:w="28" w:type="dxa"/>
        </w:tblCellMar>
      </w:tblPr>
      <w:tblGrid>
        <w:gridCol w:w="3631"/>
        <w:gridCol w:w="146"/>
        <w:gridCol w:w="364"/>
        <w:gridCol w:w="1271"/>
        <w:gridCol w:w="286"/>
        <w:gridCol w:w="252"/>
        <w:gridCol w:w="252"/>
        <w:gridCol w:w="649"/>
        <w:gridCol w:w="57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Fiscal Year Ended June 30, 2026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expense at U.S.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State and local income taxes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Section 162(m)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________</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(1) The state tax expense is zero due to losses. We are only subject to taxes in California.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reconciliation of the provision for income taxes to the amount computed by applying the 21% statutory U.S. federal income tax rate to income before income taxes for years prior to the adoption of ASU 2023-09 is as follows:</w:t>
      </w:r>
    </w:p>
    <w:tbl>
      <w:tblPr>
        <w:tblW w:w="6942" w:type="dxa"/>
        <w:jc w:val="left"/>
        <w:tblInd w:w="0" w:type="dxa"/>
        <w:tblLayout w:type="fixed"/>
        <w:tblCellMar>
          <w:top w:w="28" w:type="dxa"/>
          <w:left w:w="28" w:type="dxa"/>
          <w:bottom w:w="28" w:type="dxa"/>
          <w:right w:w="28" w:type="dxa"/>
        </w:tblCellMar>
      </w:tblPr>
      <w:tblGrid>
        <w:gridCol w:w="3226"/>
        <w:gridCol w:w="146"/>
        <w:gridCol w:w="400"/>
        <w:gridCol w:w="1167"/>
        <w:gridCol w:w="339"/>
        <w:gridCol w:w="298"/>
        <w:gridCol w:w="298"/>
        <w:gridCol w:w="707"/>
        <w:gridCol w:w="36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Year Ended June 30, 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(benefit) expense at U.S.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(3,349</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Section 162(m)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income taxes paid (net of refunds received) for the fiscal year ended June 30, 2026, in thousands:</w:t>
      </w:r>
    </w:p>
    <w:tbl>
      <w:tblPr>
        <w:tblW w:w="3238" w:type="dxa"/>
        <w:jc w:val="left"/>
        <w:tblInd w:w="0" w:type="dxa"/>
        <w:tblLayout w:type="fixed"/>
        <w:tblCellMar>
          <w:top w:w="28" w:type="dxa"/>
          <w:left w:w="28" w:type="dxa"/>
          <w:bottom w:w="28" w:type="dxa"/>
          <w:right w:w="28" w:type="dxa"/>
        </w:tblCellMar>
      </w:tblPr>
      <w:tblGrid>
        <w:gridCol w:w="1141"/>
        <w:gridCol w:w="146"/>
        <w:gridCol w:w="563"/>
        <w:gridCol w:w="997"/>
        <w:gridCol w:w="3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Taxes Paid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Jurisdictions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Federal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Deferred tax liabilities and assets are comprised of the following, in thousands:</w:t>
      </w:r>
    </w:p>
    <w:tbl>
      <w:tblPr>
        <w:tblW w:w="8419" w:type="dxa"/>
        <w:jc w:val="left"/>
        <w:tblInd w:w="0" w:type="dxa"/>
        <w:tblLayout w:type="fixed"/>
        <w:tblCellMar>
          <w:top w:w="28" w:type="dxa"/>
          <w:left w:w="28" w:type="dxa"/>
          <w:bottom w:w="28" w:type="dxa"/>
          <w:right w:w="28" w:type="dxa"/>
        </w:tblCellMar>
      </w:tblPr>
      <w:tblGrid>
        <w:gridCol w:w="5676"/>
        <w:gridCol w:w="146"/>
        <w:gridCol w:w="211"/>
        <w:gridCol w:w="736"/>
        <w:gridCol w:w="166"/>
        <w:gridCol w:w="146"/>
        <w:gridCol w:w="211"/>
        <w:gridCol w:w="736"/>
        <w:gridCol w:w="391"/>
      </w:tblGrid>
      <w:tr>
        <w:trPr/>
        <w:tc>
          <w:tcPr>
            <w:tcW w:w="5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losses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Capitalization of R&amp;D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digital assets and digital assets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realizability of deferred tax assets, we consider whether it is more likely than not that some portion or all of the deferred tax asset will not be realized. The ultimate realization of deferred tax assets is dependent upon the generation of future taxable income during the periods in which those temporary differences become deductible. We consider the scheduled reversal of deferred tax assets, projected future taxable income, and tax planning strategies in making this assessment. Due to our history of net losses, the deferred tax assets have been fully offset by a full valuation allowance of $91.4 million and $73.7 million as of June 30, 2026 and 2025, respectively. Our changes in the deferred tax asset valuation allowance for the years ended June 30, 2026 and 2025, were $17.7 million and $3.8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federal and state net operating loss carryforwards of approximately $286.7 million and $51.8 million, respectively as of June 30, 2026 and federal and state net operating loss carryforwards of approximately $246.1 million and $23.8 million, respectively as of June 30, 2025. The federal net operating loss will carry forward indefinitely subject to an 80% taxable income limitation. The state net operating loss carryforwards will begin to expire in 2031 unless previously utilized.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utilize our net operating loss carryforwards may be substantially limited due to ownership changes that have occurred or that could occur in the future under Section 382 of the Internal Revenue Code (Section 382) and similar state laws. A Section 382 study was completed through December 31, 2021, to analyze whether one or more ownership changes had occurred and determined that two such ownership changes did occur. We have not completed a Section 382 study through June 30, 2026. If an ownership change occurred our ability to utilize our net operating loss carryforwards and other tax attributes to offset future taxable income or tax liabilities may be limited as a result of ownership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our prior income tax returns have been selected for examination by a major taxing jurisdiction; however, the statutes of limitations for various filings remain open. The oldest filings subject to potential examination for federal and state purposes are 2022 and 2021, respectively. If we utilize a net operating loss related to a closed tax year, the tax year in which the loss was incurred is subject to adjustment up to the amount of the net operating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reduced any tax benefit on our consolidated financial statements due to uncertain tax positions as of June 30, 2026 and we are not aware of any circumstance that would significantly change this result through the end of fiscal year 2027. To the extent we incur income-tax related penalties or interest, we will recognize them as additional income tax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64" w:name="fn_rltd_part"/>
      <w:bookmarkEnd w:id="64"/>
      <w:r>
        <w:rPr>
          <w:rFonts w:ascii="Times New Roman" w:hAnsi="Times New Roman"/>
          <w:b/>
          <w:color w:val="000000"/>
          <w:sz w:val="20"/>
        </w:rPr>
        <w:t>Note 17.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the ordinary course of business, we have related party transactions with affiliates of our Board. During the fiscal year ended June 30, 2025, we had no such transactions.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balances related to transactions with such affiliates of our Board as of June 30, 2026 (in thousands):</w:t>
      </w:r>
    </w:p>
    <w:tbl>
      <w:tblPr>
        <w:tblW w:w="4570" w:type="dxa"/>
        <w:jc w:val="left"/>
        <w:tblInd w:w="0" w:type="dxa"/>
        <w:tblLayout w:type="fixed"/>
        <w:tblCellMar>
          <w:top w:w="28" w:type="dxa"/>
          <w:left w:w="28" w:type="dxa"/>
          <w:bottom w:w="28" w:type="dxa"/>
          <w:right w:w="28" w:type="dxa"/>
        </w:tblCellMar>
      </w:tblPr>
      <w:tblGrid>
        <w:gridCol w:w="3451"/>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 (Derivative liabilities</w:t>
              <w:br/>
              <w:t>     - Covered Call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our activities with such affiliates of our Board during the fiscal year ended June 30, 2026 (in thousands):</w:t>
      </w:r>
    </w:p>
    <w:tbl>
      <w:tblPr>
        <w:tblW w:w="5226" w:type="dxa"/>
        <w:jc w:val="left"/>
        <w:tblInd w:w="0" w:type="dxa"/>
        <w:tblLayout w:type="fixed"/>
        <w:tblCellMar>
          <w:top w:w="28" w:type="dxa"/>
          <w:left w:w="28" w:type="dxa"/>
          <w:bottom w:w="28" w:type="dxa"/>
          <w:right w:w="28" w:type="dxa"/>
        </w:tblCellMar>
      </w:tblPr>
      <w:tblGrid>
        <w:gridCol w:w="3961"/>
        <w:gridCol w:w="146"/>
        <w:gridCol w:w="211"/>
        <w:gridCol w:w="571"/>
        <w:gridCol w:w="14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digital assets</w:t>
              <w:br/>
              <w:t>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derivative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GSR Asset Management Agreement and Side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2025, in connection with the PIPE, we and GSR entered into an asset management agreement (the GSR Asset Management Agreement). GSR provides discretionary investment management services with respect to, among other assets, the proceeds from our PIPE (the Account Assets) in accordance with the terms of the GSR Asset Management Agreement. The custodians under the GSR Asset Management Agreement will consist of Coinbase and other cryptocurrency wallet providers agreed to by us and the Asset Manager.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compensation for services rendered by GSR in connection with the PIPE, we issued warrants (the GSR Warrants) to GSR on the Closing Date to purchase 1,461,989 shares of Common Stock (the GSR Warrant Shares) at various exercise prices per share of Common Stock as follows: (i) 584,795 shares of Common Stock at an exercise price of $3.42 per share; (ii) 292,398 shares of Common Stock at an exercise price of $3.93 per share; (iii) 292,398 shares of Common Stock at an exercise price of $4.62 per share; and (iv) 292,398 shares of Common Stock at an exercise price of $5.13 per share. The GSR Warrants are exercisable, in whole or in part, at any time for a period of five years from the date of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GSR Asset Management Agreement will, unless terminated earlier in accordance with its terms, remain in effect until the tenth anniversary of the date of the GSR Asset Management Agreement. Beginning on the first anniversary of the AMA Effective Date (as defined below), the GSR Asset Management Agreement may be terminated upon at least 90 days prior written notice to the other party (i) by us upon a determination of the Board to end the Lite Treasury Strategy, or (ii) by GSR for any reason. Additionally, the GSR Asset Management Agreement may be terminated for cause (i) by us upon at least 30 days prior written notice to GSR or (ii) by GSR upon at least 60 days prior written notice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pay GSR an Asset-based Fee equal to 1.75% per annum of the Account Assets under management that is paid in shares of Common Stock until GSR owns 4.99% of our issued and outstanding Common Stock. Thereafter, the Asset-based Fee is to be paid in pre-funded warrants to purchase shares of Common Stock. The number of shares of Common Stock or AMA Pre-Funded Warrants issued must equal to the dollar amount of the Asset-based Fee being paid, divided by the average volume-weighted average price (VWAP) of the Common Stock for the 30 trading days ending with the trading day prior to the date that is the applicable 12-month anniversary of the Closing Date (the Fee Reference Date).</w:t>
      </w:r>
    </w:p>
    <w:p>
      <w:pPr>
        <w:pStyle w:val="TextBody"/>
        <w:bidi w:val="0"/>
        <w:spacing w:before="120" w:after="283"/>
        <w:jc w:val="left"/>
        <w:rPr/>
      </w:pPr>
      <w:r>
        <w:rPr>
          <w:rFonts w:ascii="Times New Roman" w:hAnsi="Times New Roman"/>
          <w:color w:val="000000"/>
          <w:sz w:val="20"/>
        </w:rPr>
        <w:t xml:space="preserve">As more fully described within the </w:t>
      </w:r>
      <w:r>
        <w:rPr>
          <w:rFonts w:ascii="Times New Roman" w:hAnsi="Times New Roman"/>
          <w:i/>
          <w:color w:val="0000FF"/>
          <w:sz w:val="20"/>
          <w:u w:val="single"/>
        </w:rPr>
        <w:t>Pre-Funded Warrants</w:t>
      </w:r>
      <w:r>
        <w:rPr>
          <w:rFonts w:ascii="Times New Roman" w:hAnsi="Times New Roman"/>
          <w:color w:val="000000"/>
          <w:sz w:val="20"/>
        </w:rPr>
        <w:t xml:space="preserve"> discussion in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on September 24, 2025, as payment of the annual Asset-based Fee under the GSR Asset Management Agreement, we issued GSR, the AMA Pre-Funded Warrants which are fully vested and nonforfeitable for the purchase of up to 546,348 shares of our Common Stock with an exercise price of $0.0001 per share. Subject to the limitations on exercise set forth in the warrant agreement, the AMA Pre-Funded Warrants may be exercised at any time until they are exercised in full. </w:t>
      </w:r>
    </w:p>
    <w:p>
      <w:pPr>
        <w:pStyle w:val="TextBody"/>
        <w:bidi w:val="0"/>
        <w:spacing w:before="120" w:after="283"/>
        <w:jc w:val="left"/>
        <w:rPr/>
      </w:pPr>
      <w:r>
        <w:rPr>
          <w:rFonts w:ascii="Times New Roman" w:hAnsi="Times New Roman"/>
          <w:color w:val="000000"/>
          <w:sz w:val="20"/>
        </w:rPr>
        <w:t xml:space="preserve">As more fully described in </w:t>
      </w:r>
      <w:hyperlink w:anchor="fn_subevent">
        <w:r>
          <w:rPr>
            <w:rStyle w:val="InternetLink"/>
            <w:rFonts w:ascii="Times New Roman" w:hAnsi="Times New Roman"/>
            <w:i/>
            <w:color w:val="0000FF"/>
            <w:sz w:val="20"/>
            <w:u w:val="single"/>
          </w:rPr>
          <w:t>Note 18. Subsequent Events</w:t>
        </w:r>
      </w:hyperlink>
      <w:r>
        <w:rPr>
          <w:rFonts w:ascii="Times New Roman" w:hAnsi="Times New Roman"/>
          <w:i/>
          <w:color w:val="000000"/>
          <w:sz w:val="20"/>
        </w:rPr>
        <w:t>,</w:t>
      </w:r>
      <w:r>
        <w:rPr>
          <w:rFonts w:ascii="Times New Roman" w:hAnsi="Times New Roman"/>
          <w:color w:val="000000"/>
          <w:sz w:val="20"/>
        </w:rPr>
        <w:t xml:space="preserve"> we issued the Second Annual Pre-Funded Warrants in settlement of the Second Annual Asset-based Fee under the GSR Asset Management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Advisory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22, 2025 (the AMA Effective Date), we also entered into an advisory agreement with Green Dragon (the GD Advisory Agreement). Mr. Charlie Lee, a member of our Board, is a beneficiary of Green Dragon. Pursuant to the GD Advisory Agreement, Green Dragon provides us with asset management services and we pay Green Dragon a fee in warrants to purchase a number of shares of Common Stock calculated based on the amount of assets under management (the Annual Advisory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 Advisory Fee is equal to 0.75% per annum of the Account Assets for such year, as calculated in accordance with the GD Advisory Agreement and is issuable in warrants (the GD Advisory Warrants). The number of GD Advisory Warrants to be issued for any given year shall be equal to the dollar amount of the Annual Advisory Fee for such year, divided by the average VWAP of the Common Stock for the 30 trading days ending with the trading day prior to the Fee Reference Date. The exercise price per share of the GD Advisory Warrants shall be set at a price equal to $0.0001. The GD Advisory Warrants issued each year shall vest in four equal installments on the Fee Reference Date on which they are issued and then the succeeding three-month anniversaries thereof. Any portion of the GD Advisory Warrants unvested on the date, if any, that the GD Advisory Agreement terminates shall be deemed surrendered and shall terminate automatically on such date with no further force or effect. The vested portion of the GD Advisory Warrants shall be exercisable, in whole or in part, at any time for a period of five years from the date of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GD Advisory Agreement will, unless terminated earlier in accordance with its terms, remain in effect until the tenth anniversary of the GD Advisory Agreement. Either party may terminate the GD Advisory Agreement, with or without reason, by written notice to the other.</w:t>
      </w:r>
    </w:p>
    <w:p>
      <w:pPr>
        <w:pStyle w:val="TextBody"/>
        <w:bidi w:val="0"/>
        <w:spacing w:before="120" w:after="283"/>
        <w:jc w:val="left"/>
        <w:rPr/>
      </w:pPr>
      <w:r>
        <w:rPr>
          <w:rFonts w:ascii="Times New Roman" w:hAnsi="Times New Roman"/>
          <w:color w:val="000000"/>
          <w:sz w:val="20"/>
        </w:rPr>
        <w:t xml:space="preserve">As more fully described in the </w:t>
      </w:r>
      <w:r>
        <w:rPr>
          <w:rFonts w:ascii="Times New Roman" w:hAnsi="Times New Roman"/>
          <w:i/>
          <w:color w:val="0000FF"/>
          <w:sz w:val="20"/>
          <w:u w:val="single"/>
        </w:rPr>
        <w:t>GD Advisory Warrants Issued in Lieu of Cash Fees</w:t>
      </w:r>
      <w:r>
        <w:rPr>
          <w:rFonts w:ascii="Times New Roman" w:hAnsi="Times New Roman"/>
          <w:color w:val="000000"/>
          <w:sz w:val="20"/>
        </w:rPr>
        <w:t xml:space="preserve"> discussion in </w:t>
      </w:r>
      <w:hyperlink w:anchor="fn_warrants">
        <w:r>
          <w:rPr>
            <w:rStyle w:val="InternetLink"/>
            <w:rFonts w:ascii="Times New Roman" w:hAnsi="Times New Roman"/>
            <w:i/>
            <w:color w:val="0000FF"/>
            <w:sz w:val="20"/>
            <w:u w:val="single"/>
          </w:rPr>
          <w:t>Note 12. Warrants</w:t>
        </w:r>
      </w:hyperlink>
      <w:r>
        <w:rPr>
          <w:rFonts w:ascii="Times New Roman" w:hAnsi="Times New Roman"/>
          <w:color w:val="000000"/>
          <w:sz w:val="20"/>
        </w:rPr>
        <w:t xml:space="preserve">, in October 2025, we issued the GD Advisory Warrant for the purchase of up to 234,149 shares of Common Stock in settlement of the Annual Advisory Fee for the annual period ending July 21,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GD Advisory Agreement, Mr. Lee has waived any compensation for his Board service.</w:t>
      </w:r>
    </w:p>
    <w:p>
      <w:pPr>
        <w:pStyle w:val="TextBody"/>
        <w:bidi w:val="0"/>
        <w:spacing w:before="120" w:after="283"/>
        <w:jc w:val="left"/>
        <w:rPr/>
      </w:pPr>
      <w:r>
        <w:rPr>
          <w:rFonts w:ascii="Times New Roman" w:hAnsi="Times New Roman"/>
          <w:color w:val="000000"/>
          <w:sz w:val="20"/>
        </w:rPr>
        <w:t xml:space="preserve">As more fully described in </w:t>
      </w:r>
      <w:hyperlink w:anchor="fn_subevent">
        <w:r>
          <w:rPr>
            <w:rStyle w:val="InternetLink"/>
            <w:rFonts w:ascii="Times New Roman" w:hAnsi="Times New Roman"/>
            <w:i/>
            <w:color w:val="0000FF"/>
            <w:sz w:val="20"/>
            <w:u w:val="single"/>
          </w:rPr>
          <w:t>Note 18. Subsequent Events</w:t>
        </w:r>
      </w:hyperlink>
      <w:r>
        <w:rPr>
          <w:rFonts w:ascii="Times New Roman" w:hAnsi="Times New Roman"/>
          <w:i/>
          <w:color w:val="000000"/>
          <w:sz w:val="20"/>
        </w:rPr>
        <w:t>,</w:t>
      </w:r>
      <w:r>
        <w:rPr>
          <w:rFonts w:ascii="Times New Roman" w:hAnsi="Times New Roman"/>
          <w:color w:val="000000"/>
          <w:sz w:val="20"/>
        </w:rPr>
        <w:t xml:space="preserve"> we issued the Second Annual GD Advisory Warrants in settlement of the Second Annual Advisory Fee. </w:t>
      </w:r>
    </w:p>
    <w:p>
      <w:pPr>
        <w:pStyle w:val="TextBody"/>
        <w:bidi w:val="0"/>
        <w:spacing w:before="360" w:after="283"/>
        <w:jc w:val="left"/>
        <w:rPr>
          <w:rFonts w:ascii="Times New Roman" w:hAnsi="Times New Roman"/>
          <w:b/>
          <w:color w:val="000000"/>
          <w:sz w:val="20"/>
        </w:rPr>
      </w:pPr>
      <w:bookmarkStart w:id="65" w:name="fn_subevent"/>
      <w:bookmarkEnd w:id="65"/>
      <w:r>
        <w:rPr>
          <w:rFonts w:ascii="Times New Roman" w:hAnsi="Times New Roman"/>
          <w:b/>
          <w:color w:val="000000"/>
          <w:sz w:val="20"/>
        </w:rPr>
        <w:t>Note 18. Subsequent Events</w:t>
      </w:r>
    </w:p>
    <w:p>
      <w:pPr>
        <w:pStyle w:val="TextBody"/>
        <w:bidi w:val="0"/>
        <w:spacing w:before="240" w:after="283"/>
        <w:jc w:val="left"/>
        <w:rPr>
          <w:rFonts w:ascii="Times New Roman" w:hAnsi="Times New Roman"/>
          <w:sz w:val="20"/>
        </w:rPr>
      </w:pPr>
      <w:r>
        <w:rPr>
          <w:rFonts w:ascii="Times New Roman" w:hAnsi="Times New Roman"/>
          <w:i/>
          <w:color w:val="000000"/>
          <w:sz w:val="20"/>
        </w:rPr>
        <w:t>Issuance of Warrants in Lieu of Cash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Second Annual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2026, as payment of the annual Asset-based Fee under the GSR Asset Management Agreement for the period ended July 21, 2027 (the Second Annual Asset-based Fee), we issued GSR fully vested, nonforfeitable pre-funded warrants (the Second Annual Pre-Funded Warrants) for the purchase of up to 1,322,349 shares of our Common Stock with an exercise price of $0.0001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Second Annual Advisory Warrants</w:t>
      </w:r>
    </w:p>
    <w:p>
      <w:pPr>
        <w:pStyle w:val="TextBody"/>
        <w:bidi w:val="0"/>
        <w:spacing w:before="120" w:after="283"/>
        <w:jc w:val="left"/>
        <w:rPr/>
      </w:pPr>
      <w:r>
        <w:rPr>
          <w:rFonts w:ascii="Times New Roman" w:hAnsi="Times New Roman"/>
          <w:color w:val="000000"/>
          <w:sz w:val="20"/>
        </w:rPr>
        <w:t xml:space="preserve">On July 22, 2026, in settlement of the annual Annual Advisory Fee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xml:space="preserve">) for the period ending July 21, 2027 (the Second Annual Advisory Fee), we issued the Second Annual GD Advisory Warrants (as defined in </w:t>
      </w:r>
      <w:hyperlink w:anchor="fn_rltd_part">
        <w:r>
          <w:rPr>
            <w:rStyle w:val="InternetLink"/>
            <w:rFonts w:ascii="Times New Roman" w:hAnsi="Times New Roman"/>
            <w:i/>
            <w:color w:val="0000FF"/>
            <w:sz w:val="20"/>
            <w:u w:val="single"/>
          </w:rPr>
          <w:t>Note 17. Related Party Transactions</w:t>
        </w:r>
      </w:hyperlink>
      <w:r>
        <w:rPr>
          <w:rFonts w:ascii="Times New Roman" w:hAnsi="Times New Roman"/>
          <w:color w:val="000000"/>
          <w:sz w:val="20"/>
        </w:rPr>
        <w:t>) for the purchase of up to 566,721 shares of Common Stock with an exercise price of $0.0001 per share.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Between July 1, 2026 and September 22, 2026, we repurchased 1,999,604 shares of our Common Stock at a weighted-average purchase price of $1.05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66" w:name="fis_accounting_changes"/>
      <w:bookmarkStart w:id="67" w:name="d58841d10k_htm_toc58841_14"/>
      <w:bookmarkEnd w:id="66"/>
      <w:bookmarkEnd w:id="67"/>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has selected CBIZ CPAs (CBIZ) as our independent registered public accounting firm to audit our financial statements for the fiscal year ending June 30, 2026. The stockholders approved the appointment of CBIZ at our annual meeting of stockholders for fiscal 2026 held on February 12,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 &amp; Touche LLP (Deloitte) performed the annual audit of our financial statements for the fiscal years ended June 30, 2025 and 2024. Deloitte’s report did not contain an adverse opinion or disclaimer of option nor was it qualified or modified as to uncertainty, audit scope, or accounting principles. On December 2, 2025, our Audit Committee approved the change in our independent registered public accounting firm effective December 2, 2025 to CBIZ. We reported this change in a Current Report on Form 8-K filed with the Securities and Exchange Commission on December 5, 2025 (the Form 8-K).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disclosures required by Item 304 of Regulation S-K, with respect to the changes in our independent registered public accounting firms are incorporated herein by reference to the Form 8-K. </w:t>
      </w:r>
    </w:p>
    <w:p>
      <w:pPr>
        <w:pStyle w:val="TextBody"/>
        <w:bidi w:val="0"/>
        <w:spacing w:before="360" w:after="283"/>
        <w:jc w:val="left"/>
        <w:rPr>
          <w:rFonts w:ascii="Times New Roman" w:hAnsi="Times New Roman"/>
          <w:sz w:val="20"/>
        </w:rPr>
      </w:pPr>
      <w:bookmarkStart w:id="68" w:name="d58841d10k_htm_toc58841_15"/>
      <w:bookmarkEnd w:id="68"/>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Annual Report, or June 30, 2026, our management, with the participation of our principal executive officer and principal financial officer, has evaluated the effectiveness of our disclosure controls and procedures as defined in Rules 13a-15(e) and 15d-15(e) under the Exchange Act as of June 30, 2026. Based on such evaluation, our principal executive officer and principal financial officer have concluded that, as of such date, our disclosure controls and procedures were effective.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consolidated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 Control—Integrated Framework (2013). Based on this assessment, our management concluded that, as of June 30, 2026, our internal control over financial reporting was effective based on those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to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Inherent Limitations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become inadequate because of changes in conditions, or the degree of compliance with the policies or procedures may deteriorate. Because of the inherent limitations in a cost-effective control system, misstatements due to error or fraud may occur and not be detected. </w:t>
      </w:r>
    </w:p>
    <w:p>
      <w:pPr>
        <w:pStyle w:val="TextBody"/>
        <w:bidi w:val="0"/>
        <w:spacing w:before="240" w:after="283"/>
        <w:jc w:val="left"/>
        <w:rPr>
          <w:rFonts w:ascii="Times New Roman" w:hAnsi="Times New Roman"/>
          <w:b/>
          <w:color w:val="000000"/>
          <w:sz w:val="20"/>
        </w:rPr>
      </w:pPr>
      <w:bookmarkStart w:id="69" w:name="fis_other_information"/>
      <w:bookmarkStart w:id="70" w:name="d58841d10k_htm_toc58841_16"/>
      <w:bookmarkEnd w:id="69"/>
      <w:bookmarkEnd w:id="70"/>
      <w:r>
        <w:rPr>
          <w:rFonts w:ascii="Times New Roman" w:hAnsi="Times New Roman"/>
          <w:b/>
          <w:color w:val="000000"/>
          <w:sz w:val="20"/>
        </w:rPr>
        <w:t>Item 9B. Other Information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June 30, 2026 none of our officers or directors adopted, modified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240" w:after="283"/>
        <w:jc w:val="left"/>
        <w:rPr>
          <w:rFonts w:ascii="Times New Roman" w:hAnsi="Times New Roman"/>
          <w:b/>
          <w:color w:val="000000"/>
          <w:sz w:val="20"/>
        </w:rPr>
      </w:pPr>
      <w:bookmarkStart w:id="71" w:name="item_9c"/>
      <w:bookmarkEnd w:id="7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480" w:after="283"/>
        <w:jc w:val="center"/>
        <w:rPr>
          <w:rFonts w:ascii="Times New Roman" w:hAnsi="Times New Roman"/>
          <w:b/>
          <w:color w:val="000000"/>
          <w:sz w:val="20"/>
        </w:rPr>
      </w:pPr>
      <w:bookmarkStart w:id="72" w:name="d58841d10k_htm_toc58841_17"/>
      <w:bookmarkEnd w:id="72"/>
      <w:r>
        <w:rPr>
          <w:rFonts w:ascii="Times New Roman" w:hAnsi="Times New Roman"/>
          <w:b/>
          <w:color w:val="000000"/>
          <w:sz w:val="20"/>
        </w:rPr>
        <w:t>PART III</w:t>
      </w:r>
      <w:bookmarkStart w:id="73" w:name="fis_directors_and_officers"/>
      <w:bookmarkEnd w:id="73"/>
    </w:p>
    <w:p>
      <w:pPr>
        <w:pStyle w:val="TextBody"/>
        <w:bidi w:val="0"/>
        <w:spacing w:before="240" w:after="283"/>
        <w:jc w:val="left"/>
        <w:rPr>
          <w:rFonts w:ascii="Times New Roman" w:hAnsi="Times New Roman"/>
          <w:b/>
          <w:color w:val="000000"/>
          <w:sz w:val="20"/>
        </w:rPr>
      </w:pPr>
      <w:bookmarkStart w:id="74" w:name="d58841d10k_htm_toc58841_18"/>
      <w:bookmarkEnd w:id="74"/>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sz w:val="20"/>
        </w:rPr>
      </w:pPr>
      <w:r>
        <w:rPr>
          <w:rFonts w:ascii="Times New Roman" w:hAnsi="Times New Roman"/>
          <w:b/>
          <w:color w:val="000000"/>
          <w:sz w:val="20"/>
        </w:rPr>
        <w:t>Directors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Set forth below are the names, ages and certain biographical information as of the date of filing of this Annual Report on Form 10-K (Annual Report) regarding our directors. </w:t>
      </w:r>
    </w:p>
    <w:tbl>
      <w:tblPr>
        <w:tblW w:w="8497" w:type="dxa"/>
        <w:jc w:val="left"/>
        <w:tblInd w:w="0" w:type="dxa"/>
        <w:tblLayout w:type="fixed"/>
        <w:tblCellMar>
          <w:top w:w="28" w:type="dxa"/>
          <w:left w:w="28" w:type="dxa"/>
          <w:bottom w:w="28" w:type="dxa"/>
          <w:right w:w="28" w:type="dxa"/>
        </w:tblCellMar>
      </w:tblPr>
      <w:tblGrid>
        <w:gridCol w:w="1921"/>
        <w:gridCol w:w="146"/>
        <w:gridCol w:w="391"/>
        <w:gridCol w:w="146"/>
        <w:gridCol w:w="2491"/>
        <w:gridCol w:w="146"/>
        <w:gridCol w:w="325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of Term</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Justin J. File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CEO, CFO, Secretary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2029 Annual Meeting of Stockholders</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Joshua Riezman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2029 Annual Meeting of Stockholders</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Flynn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2027 Annual Meeting of Stockholders</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Charles B. Lee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2027 Annual Meeting of Stockholders</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Nicholas R. Glover,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2028 Annual Meeting of Stockholders</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Frederick W. Driscoll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 2028 Annual Meeting of Stockholders</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Joshua Riezman, age 43,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Joshua Riezman was appointed as a director of Lite Strategy on August 5, 2025 pursuant to a Side Letter with GSR Strategies LLC entered into in connection with the PIPE on July 22, 2025. Mr. Riezman currently serves as Chief Strategy Officer – US and Global Deputy General Counsel at GSR Services US LLC, a global digital asset trading and investment firm. He leads U.S. business strategy and regulatory initiatives, while also overseeing the firm’s US legal and compliance functions. Prior to GSR Services USA LLC, Mr. Riezman was Assistant General Counsel – Head of Product and Regulatory Legal at Circle, a global digital currency fintech firm, where he led the product and regulatory legal function and advised on complex global financial regulatory matters. Before Circle, he served as Director and Counsel – Head of Prime Services and Clearing Legal (Americas) at Société Générale and previously held legal roles at Deutsche Bank and Teigland-Hunt LLP, with expertise in U.S. and international derivatives, clearing and financial regulation. Mr. Riezman received his J.D. from Fordham University School of Law, where he served as Senior Articles Editor for the Environmental Law Review and earned his B.A. in International Affairs from The George Washington University.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James Flynn, age 46,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Flynn has been a director of Lite Strategy since October 2023. Mr. Flynn is currently a Managing Member and Portfolio Manager of Nerium Capital LLC, an investment adviser he founded in 2021. Mr. Flynn also currently serves on the board of directors of Synlogic, Inc. (NASDAQ: SYBX), a biopharmaceutical company with a focus on rare metabolic disorders and RiceBran Technologies, an innovative specialty ingredients company, both since 2024. Previously, Mr. Flynn served on the board of directors of ARCA Biopharma and Axiom Health, Inc. Prior to that, Mr. Flynn worked in various investment management roles at Aptigon Capital (a division of Citadel LLC), Amici Capital, LLC and Putnam Investments LLC. Mr. Flynn earned a S.B. degree in Management Science with a concentration in Finance and a minor in Economic Science from the Massachusetts Institute of Technology. Mr. Flynn is a Chartered Financial Analyst (CFA) charterholder.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Charles B. Lee, age 49,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Charles B. Lee was appointed as a director of Lite Strategy on July 22, 2025. Mr. Lee also currently serves on the board of BTCS, Inc (NASDAQ: BTCS), a digital asset and blockchain technology focused company since 2021. Mr. Lee is the creator of Litecoin and Director of the Litecoin Foundation. Mr. Lee attended MIT where he graduated in 2000 with a bachelor’s and master’s degree in electrical engineering and computer science. Prior to creating Litecoin, Mr. Lee was a Software Engineer at Google. In 2011, Mr. Lee created Litecoin in an effort to improve upon Bitcoin’s high fees, slower transaction times and scalability issues. Mr. Lee went on to work for Coinbase where he became Director of Engineering before leaving the company in 2017 to focus on supporting the development of Litecoin full time.</w:t>
      </w:r>
    </w:p>
    <w:p>
      <w:pPr>
        <w:pStyle w:val="TextBody"/>
        <w:bidi w:val="0"/>
        <w:spacing w:before="240" w:after="283"/>
        <w:jc w:val="left"/>
        <w:rPr>
          <w:rFonts w:ascii="Times New Roman" w:hAnsi="Times New Roman"/>
          <w:sz w:val="20"/>
        </w:rPr>
      </w:pPr>
      <w:r>
        <w:rPr>
          <w:rFonts w:ascii="Times New Roman" w:hAnsi="Times New Roman"/>
          <w:b/>
          <w:i/>
          <w:color w:val="000000"/>
          <w:sz w:val="20"/>
        </w:rPr>
        <w:t>Nicholas R. Glover, Ph.D., age 57, 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Glover has been a director of Lite Strategy since June 2013. He is currently Chief Executive Officer of MycRx Holdings Inc., a privately held drug discovery company and serves as a consultant to the biotech industry. Previously, he served as President and Chief Executive Officer of Sierra Oncology (NASDAQ: SRRA), a drug development company focused on advancing targeted therapeutics for the treatment of patients with cancer, from July 2014 through May 2020. Prior to joining Sierra, he served as President and Chief Executive Officer of YM Biosciences, an oncology drug development company, from November 2010 until its acquisition by Gilead Sciences in February 2013. Previously, Dr. Glover was President and Chief Executive Officer of Viventia Biotech, a biopharmaceutical company involved in the discovery and development of monoclonal antibody-based technologies for the treatment of cancer, which he joined after serving as an investment manager for MDS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a life sciences venture capital firm. Dr. Glover holds a B.Sc. (Hons) in Chemistry from the University of East Anglia, UK, a M.Sc. in Chemistry from the University of British Columbia, Canada and a Ph.D. in Chemistry from Simon Fraser University, Canada.</w:t>
      </w:r>
    </w:p>
    <w:p>
      <w:pPr>
        <w:pStyle w:val="TextBody"/>
        <w:bidi w:val="0"/>
        <w:spacing w:before="240" w:after="283"/>
        <w:jc w:val="left"/>
        <w:rPr>
          <w:rFonts w:ascii="Times New Roman" w:hAnsi="Times New Roman"/>
          <w:sz w:val="20"/>
        </w:rPr>
      </w:pPr>
      <w:r>
        <w:rPr>
          <w:rFonts w:ascii="Times New Roman" w:hAnsi="Times New Roman"/>
          <w:b/>
          <w:i/>
          <w:color w:val="000000"/>
          <w:sz w:val="20"/>
        </w:rPr>
        <w:t>Frederick W. Driscoll, age 75, Chair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Driscoll has been a director of Lite Strategy since February 2018 and was appointed as chairperson of the board of directors on July 22, 2024. He currently serves on the board of directors of Cellectar Biosciences, Inc., a clinical-stage biopharmaceutical company and Adipo Therapeutics, a private pre-clinical stage biopharmaceutical company. He served as interim Chief Financial Officer at Invivyd, Inc. from September 2022 to May 2023. He served as Chief Financial Officer of Renovacor, Inc., a leading late-stage biotechnology company, from March to June 2022. He served as the Chief Financial Officer of Flexion Therapeutics, Inc., a commercial-stage biopharmaceutical company, from 2013 to 2017 and rejoined in June 2021 as Chief Financial Officer until it was sold to Pacira BioScience. Prior to joining Flexion, he was the Chief Financial Officer at Novavax, Inc. from 2009 to 2013. From 2008 to 2009, Mr. Driscoll served as the Chief Executive Officer at Genelabs Technologies, Inc. and from 2007 to 2008 he served as its Chief Financial Officer. He was also the Chief Executive Officer of OXiGENE, Inc. from 2000 to 2006. Mr. Driscoll also served as the chairman of the board and audit committee chair at OXiGENE and as a member of the audit committee for Cynapsus Therapeutics, Inc. Mr. Driscoll earned a bachelor’s degree in Accounting and Finance from Bentley University.</w:t>
      </w:r>
    </w:p>
    <w:p>
      <w:pPr>
        <w:pStyle w:val="TextBody"/>
        <w:bidi w:val="0"/>
        <w:spacing w:before="240" w:after="283"/>
        <w:jc w:val="left"/>
        <w:rPr>
          <w:rFonts w:ascii="Times New Roman" w:hAnsi="Times New Roman"/>
          <w:sz w:val="20"/>
        </w:rPr>
      </w:pPr>
      <w:r>
        <w:rPr>
          <w:rFonts w:ascii="Times New Roman" w:hAnsi="Times New Roman"/>
          <w:b/>
          <w:color w:val="000000"/>
          <w:sz w:val="20"/>
        </w:rPr>
        <w:t>Information about the Board of Directors and its Committees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responsibility for the overall corporate governance of Lite Strategy. During the fiscal year ended June 30, 2026, a majority of the members of the Board were and as of the date of this Annual Report are, independent within the meaning of the Nasdaq Stock Market (Nasdaq) rules.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established an Audit Committee to oversee Lite Strategy’s financial matters, a Compensation Committee to oversee our compensation policies, plans and programs, a Nominating and Governance Committee to assist the Board in nominating board members to be elected by the stockholders at the Annual Meeting, to fill vacancies and newly created directorships and to evaluate and monitor all matters with respect to governance of Lite Strategy and oversee compliance by Lite Strategy with its legal and regulatory obligations and a Science Committee to advise us and the Board on matters involving drug development technologies and other scientific matters. As of the date of this Annual Report, our schedule of committee members is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31"/>
        <w:gridCol w:w="1485"/>
        <w:gridCol w:w="2179"/>
        <w:gridCol w:w="3133"/>
        <w:gridCol w:w="1677"/>
      </w:tblGrid>
      <w:tr>
        <w:trPr/>
        <w:tc>
          <w:tcPr>
            <w:tcW w:w="173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1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Board Member</w:t>
            </w:r>
          </w:p>
        </w:tc>
        <w:tc>
          <w:tcPr>
            <w:tcW w:w="1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Audit Committee</w:t>
            </w:r>
          </w:p>
        </w:tc>
        <w:tc>
          <w:tcPr>
            <w:tcW w:w="2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Compensation Committee</w:t>
            </w:r>
          </w:p>
        </w:tc>
        <w:tc>
          <w:tcPr>
            <w:tcW w:w="3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Nominating &amp; Governance Committee</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Science Committee</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Frederick W. Driscoll</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38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 cy="152400"/>
                          </a:xfrm>
                          <a:prstGeom prst="rect">
                            <a:avLst/>
                          </a:prstGeom>
                        </pic:spPr>
                      </pic:pic>
                    </a:graphicData>
                  </a:graphic>
                </wp:inline>
              </w:drawing>
            </w:r>
            <w:r>
              <w:rPr>
                <w:color w:val="000000"/>
              </w:rPr>
              <w:t xml:space="preserve"> </w:t>
            </w:r>
            <w:r>
              <w:rPr/>
              <w:drawing>
                <wp:inline distT="0" distB="0" distL="0" distR="0">
                  <wp:extent cx="17145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 cy="152400"/>
                          </a:xfrm>
                          <a:prstGeom prst="rect">
                            <a:avLst/>
                          </a:prstGeom>
                        </pic:spPr>
                      </pic:pic>
                    </a:graphicData>
                  </a:graphic>
                </wp:inline>
              </w:drawing>
            </w:r>
          </w:p>
        </w:tc>
        <w:tc>
          <w:tcPr>
            <w:tcW w:w="2179"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 cy="152400"/>
                          </a:xfrm>
                          <a:prstGeom prst="rect">
                            <a:avLst/>
                          </a:prstGeom>
                        </pic:spPr>
                      </pic:pic>
                    </a:graphicData>
                  </a:graphic>
                </wp:inline>
              </w:drawing>
            </w:r>
          </w:p>
        </w:tc>
        <w:tc>
          <w:tcPr>
            <w:tcW w:w="3133"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 cy="152400"/>
                          </a:xfrm>
                          <a:prstGeom prst="rect">
                            <a:avLst/>
                          </a:prstGeom>
                        </pic:spPr>
                      </pic:pic>
                    </a:graphicData>
                  </a:graphic>
                </wp:inline>
              </w:drawing>
            </w:r>
          </w:p>
        </w:tc>
        <w:tc>
          <w:tcPr>
            <w:tcW w:w="1677"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 cy="152400"/>
                          </a:xfrm>
                          <a:prstGeom prst="rect">
                            <a:avLst/>
                          </a:prstGeom>
                        </pic:spPr>
                      </pic:pic>
                    </a:graphicData>
                  </a:graphic>
                </wp:inline>
              </w:drawing>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James Flynn</w:t>
            </w:r>
          </w:p>
        </w:tc>
        <w:tc>
          <w:tcPr>
            <w:tcW w:w="1485"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 cy="152400"/>
                          </a:xfrm>
                          <a:prstGeom prst="rect">
                            <a:avLst/>
                          </a:prstGeom>
                        </pic:spPr>
                      </pic:pic>
                    </a:graphicData>
                  </a:graphic>
                </wp:inline>
              </w:drawing>
            </w:r>
          </w:p>
        </w:tc>
        <w:tc>
          <w:tcPr>
            <w:tcW w:w="2179"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 cy="152400"/>
                          </a:xfrm>
                          <a:prstGeom prst="rect">
                            <a:avLst/>
                          </a:prstGeom>
                        </pic:spPr>
                      </pic:pic>
                    </a:graphicData>
                  </a:graphic>
                </wp:inline>
              </w:drawing>
            </w:r>
          </w:p>
        </w:tc>
        <w:tc>
          <w:tcPr>
            <w:tcW w:w="3133"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382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3825" cy="152400"/>
                          </a:xfrm>
                          <a:prstGeom prst="rect">
                            <a:avLst/>
                          </a:prstGeom>
                        </pic:spPr>
                      </pic:pic>
                    </a:graphicData>
                  </a:graphic>
                </wp:inline>
              </w:drawing>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Nick Glover, PhD.</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 cy="152400"/>
                          </a:xfrm>
                          <a:prstGeom prst="rect">
                            <a:avLst/>
                          </a:prstGeom>
                        </pic:spPr>
                      </pic:pic>
                    </a:graphicData>
                  </a:graphic>
                </wp:inline>
              </w:drawing>
            </w:r>
          </w:p>
        </w:tc>
        <w:tc>
          <w:tcPr>
            <w:tcW w:w="2179"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3825"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3825" cy="152400"/>
                          </a:xfrm>
                          <a:prstGeom prst="rect">
                            <a:avLst/>
                          </a:prstGeom>
                        </pic:spPr>
                      </pic:pic>
                    </a:graphicData>
                  </a:graphic>
                </wp:inline>
              </w:drawing>
            </w:r>
          </w:p>
        </w:tc>
        <w:tc>
          <w:tcPr>
            <w:tcW w:w="3133"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 cy="152400"/>
                          </a:xfrm>
                          <a:prstGeom prst="rect">
                            <a:avLst/>
                          </a:prstGeom>
                        </pic:spPr>
                      </pic:pic>
                    </a:graphicData>
                  </a:graphic>
                </wp:inline>
              </w:drawing>
            </w:r>
          </w:p>
        </w:tc>
        <w:tc>
          <w:tcPr>
            <w:tcW w:w="1677"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3825"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3825" cy="152400"/>
                          </a:xfrm>
                          <a:prstGeom prst="rect">
                            <a:avLst/>
                          </a:prstGeom>
                        </pic:spPr>
                      </pic:pic>
                    </a:graphicData>
                  </a:graphic>
                </wp:inline>
              </w:drawing>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Justin J. File*</w:t>
            </w:r>
          </w:p>
        </w:tc>
        <w:tc>
          <w:tcPr>
            <w:tcW w:w="14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430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4300" cy="152400"/>
                          </a:xfrm>
                          <a:prstGeom prst="rect">
                            <a:avLst/>
                          </a:prstGeom>
                        </pic:spPr>
                      </pic:pic>
                    </a:graphicData>
                  </a:graphic>
                </wp:inline>
              </w:drawing>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Charles B. Lee*</w:t>
            </w:r>
          </w:p>
        </w:tc>
        <w:tc>
          <w:tcPr>
            <w:tcW w:w="1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Joshua Riezman</w:t>
            </w:r>
          </w:p>
        </w:tc>
        <w:tc>
          <w:tcPr>
            <w:tcW w:w="14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 - Is not an independent member of the Board</w:t>
      </w:r>
    </w:p>
    <w:p>
      <w:pPr>
        <w:pStyle w:val="TextBody"/>
        <w:bidi w:val="0"/>
        <w:jc w:val="left"/>
        <w:rPr/>
      </w:pPr>
      <w:r>
        <w:rPr/>
        <w:drawing>
          <wp:inline distT="0" distB="0" distL="0" distR="0">
            <wp:extent cx="11430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 cy="152400"/>
                    </a:xfrm>
                    <a:prstGeom prst="rect">
                      <a:avLst/>
                    </a:prstGeom>
                  </pic:spPr>
                </pic:pic>
              </a:graphicData>
            </a:graphic>
          </wp:inline>
        </w:drawing>
      </w:r>
      <w:r>
        <w:rPr>
          <w:color w:val="000000"/>
        </w:rPr>
        <w:t xml:space="preserve"> </w:t>
      </w:r>
      <w:r>
        <w:rPr>
          <w:rFonts w:ascii="Times New Roman" w:hAnsi="Times New Roman"/>
          <w:color w:val="000000"/>
          <w:sz w:val="19"/>
        </w:rPr>
        <w:t>= Committee Member</w:t>
      </w:r>
    </w:p>
    <w:p>
      <w:pPr>
        <w:pStyle w:val="TextBody"/>
        <w:bidi w:val="0"/>
        <w:jc w:val="left"/>
        <w:rPr/>
      </w:pPr>
      <w:r>
        <w:rPr/>
        <w:drawing>
          <wp:inline distT="0" distB="0" distL="0" distR="0">
            <wp:extent cx="123825"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3825" cy="152400"/>
                    </a:xfrm>
                    <a:prstGeom prst="rect">
                      <a:avLst/>
                    </a:prstGeom>
                  </pic:spPr>
                </pic:pic>
              </a:graphicData>
            </a:graphic>
          </wp:inline>
        </w:drawing>
      </w:r>
      <w:r>
        <w:rPr>
          <w:color w:val="000000"/>
        </w:rPr>
        <w:t xml:space="preserve"> </w:t>
      </w:r>
      <w:r>
        <w:rPr>
          <w:rFonts w:ascii="Times New Roman" w:hAnsi="Times New Roman"/>
          <w:color w:val="000000"/>
          <w:sz w:val="19"/>
        </w:rPr>
        <w:t>= Committee Chair</w:t>
      </w:r>
    </w:p>
    <w:p>
      <w:pPr>
        <w:pStyle w:val="TextBody"/>
        <w:bidi w:val="0"/>
        <w:jc w:val="left"/>
        <w:rPr/>
      </w:pPr>
      <w:r>
        <w:rPr/>
        <w:drawing>
          <wp:inline distT="0" distB="0" distL="0" distR="0">
            <wp:extent cx="17145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1450" cy="152400"/>
                    </a:xfrm>
                    <a:prstGeom prst="rect">
                      <a:avLst/>
                    </a:prstGeom>
                  </pic:spPr>
                </pic:pic>
              </a:graphicData>
            </a:graphic>
          </wp:inline>
        </w:drawing>
      </w:r>
      <w:r>
        <w:rPr>
          <w:rFonts w:ascii="Times New Roman" w:hAnsi="Times New Roman"/>
          <w:color w:val="000000"/>
          <w:sz w:val="19"/>
        </w:rPr>
        <w:t>= Financial Expert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of the Board has been established in accordance with Section 3(a)(58)(A) of the Securities Exchange Act of 1934, as amended (the Exchange Act). The Audit Committee’s responsibilities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financial and accounting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cybersecurity and other information technology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selecting and recommending the annual appointment of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the scope of audit and non-audit assignments and related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assessing annually Lite Strategy’s major financial risks and exposures;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evaluating the independence and performance of the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accounting principles used in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assessing our financial reporting activities and disclosures included in our periodic reports and the accounting standards and principles followed;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adequacy and effectiveness of our internal control over financial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related party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Driscoll has served as Chairman of the Audit Committee since August 29, 2019. The other members of the Audit Committee are Dr. Glover and Mr. Flynn. Mr. Driscoll has been determined by the Board to be an audit committee financial expert as defined by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has determined that each of the Audit Committee members is independent, as defined in accordance with Nasdaq and SEC rules. We have adopted a written Audit Committee Charter, which is posted on our website at https://litestrategy.com. The Audit Committee met five times during the fiscal year ended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acts on behalf of the Board to fulfill the Board’s responsibilities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review, modify and approve our compensation strategy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 the independence of compensation consultants and legal advisors prior to engagement;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sole power to retain compensation consultants and advisors and to determine the scope of the associated engagements;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approve annual corporate performance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 the Chief Executive Officer’s and if applicable, executive officers’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determine the compensation to be paid to our executive officers, including the allocation of equity related grants;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 the compensation and terms of appointment of non-executive directors to the Board for review and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Lite Strategy meets the reporting requirements promulgated by the SEC regarding compensation and disclosure of compensation and compensation related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 potential compensation related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 and ensure compliance with Say-on-Pay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also consults with and considers the recommendations of the Chief Executive Officer and Chief Financial Officer with respect to the appropriate level and mix of the various compensation components, focused primarily on the particular goals of applicable executives and employees in a particular year. The Board has adopted a written charter for the Compensation Committee, which is available on our website at https://litestrategy.com. Dr. Glover has served as the Chairman of the Compensation Committee since December 16, 2021. The other members of the Compensation Committee during the fiscal year ended June 30, 2026, were Mr. Driscoll, who was appointed on November 14, 2025 following Dr. Thomas C. Reynolds’s resignation from the Board on November 4, 2025, and Mr. Flynn, who was appointed on August 8, 2025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Steven Wood’s resignation from the Board on August 5, 2025. The Board has determined that each member of the Compensation Committee is independent in accordance with the applicable Nasdaq and SEC rules. The Compensation Committee met one time during the fiscal year ended June 30, 2026. </w:t>
      </w:r>
    </w:p>
    <w:p>
      <w:pPr>
        <w:pStyle w:val="TextBody"/>
        <w:bidi w:val="0"/>
        <w:spacing w:before="240" w:after="283"/>
        <w:jc w:val="left"/>
        <w:rPr>
          <w:rFonts w:ascii="Times New Roman" w:hAnsi="Times New Roman"/>
          <w:sz w:val="20"/>
        </w:rPr>
      </w:pPr>
      <w:r>
        <w:rPr>
          <w:rFonts w:ascii="Times New Roman" w:hAnsi="Times New Roman"/>
          <w:b/>
          <w:color w:val="000000"/>
          <w:sz w:val="20"/>
        </w:rPr>
        <w:t>Nominating and Governance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Nominating and Governance Committee is responsible for assisting the Board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qualified individuals who possess the desired experience and skills to serve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proposing chairpersons and members on committees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all qualified director candidates identified by the Nominating and Governance Committee, or by stockholders, in the event any member of the Board does not wish to continue in service or if the Board decides not to re-nominate a member for re-election;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Board evaluation process and evaluating the size and composition of the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evaluating any stockholder proposal and whether to recommend to the Board and whether Lite Strategy shall support or oppose the proposal. </w:t>
      </w:r>
    </w:p>
    <w:p>
      <w:pPr>
        <w:pStyle w:val="TextBody"/>
        <w:bidi w:val="0"/>
        <w:spacing w:before="120" w:after="283"/>
        <w:jc w:val="left"/>
        <w:rPr>
          <w:rFonts w:ascii="Times New Roman" w:hAnsi="Times New Roman"/>
          <w:sz w:val="20"/>
        </w:rPr>
      </w:pPr>
      <w:r>
        <w:rPr>
          <w:rFonts w:ascii="Times New Roman" w:hAnsi="Times New Roman"/>
          <w:color w:val="000000"/>
          <w:sz w:val="20"/>
        </w:rPr>
        <w:t>Mr. Flynn has served as Chairman of the Nominating and Governance Committee since November 14, 2025 following Dr. Reynolds’ resignation from the Board on November 4, 2025. The other members of the Nominating and Governance Committee during the fiscal year ended June 30, 2026 were Mr. Driscoll, who was appointed on August 5, 2025 following Mr. Taheer Datoo’s resignation from the Board on July 22, 2025, and Dr. Glover, who was appointed on November 14, 2025. Lite Strategy’s Nominating and Governance Committee Charter is posted on its website at https://litestrategy.com.</w:t>
      </w:r>
      <w:r>
        <w:rPr>
          <w:rFonts w:ascii="Times New Roman" w:hAnsi="Times New Roman"/>
          <w:color w:val="0000FF"/>
          <w:sz w:val="20"/>
        </w:rPr>
        <w:t xml:space="preserve"> </w:t>
      </w:r>
      <w:r>
        <w:rPr>
          <w:rFonts w:ascii="Times New Roman" w:hAnsi="Times New Roman"/>
          <w:color w:val="000000"/>
          <w:sz w:val="20"/>
        </w:rPr>
        <w:t>The Board has determined that Dr. Reynolds, Mr. Flynn, Mr. Driscoll and Dr. Glover are independent members of the Nominating and Governance Committee in accordance with applicable Nasdaq and SEC rules and Mr. Datoo was not considered independent in accordance with the applicable Nasdaq and SEC rules. The Nominating and Governance Committee met one time during the fiscal year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who would like to propose an independent director candidate for consideration for nomination by the Board at next year’s annual meeting of stockholders may do so by submitting the candidate’s name, resume and biographical information to the attention of Justin J. File, Secretary, Lite Strategy, Inc., 9920 Pacific Heights Blvd, Suite 150, San Diego, California 92121. All stockholder nominations received by the Secretary, which comply with the advance notice provisions of Lite Strategy's Amended and Restated Bylaws, will be presented to the Nominating and Governance Committee for the same consideration as individuals identified by the Nominating and Governance Committee through other means.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no minimum qualifications for director nominees, the Nominating and Governance Committee reviews the prospective candidate’s biographical information and assesses each candidate’s independence, diversity, skills and expertise based on a variety of factors, including the following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candidate has exhibited behavior that indicates he or she is committed to the highest ethical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candidate has had broad business, governmental, non-profit or professional experience that indicates that the candidate will be able to make a significant and immediate contribution to the Board's discussion and decision-making;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candidate will be able to devote sufficient time and energy to the performance of his or her duties as 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 of these factors requires the exercise of judgment by members of the Nominating and Governance Committee when the Committee makes recommendations to the Board and cannot be measured in a quantitative way. The Nominating and Governance Committee and the Board generally value the broad business experience and independent business judgment in the health care, life sciences and other fields of each member. Specifically, Mr. Driscoll is qualified for the Board based on his business experience in the pharmaceutical industry, the area of finance and his status as an audit committee financial expert. Dr. Glover is qualified for the Board based on his business experience and his drug development experience in the oncology field. Mr. Flynn is qualified for the Board based on his business experience in the pharmaceutical industry and his business development experience. Mr. Lee is qualified for the Board based on his knowledge of Litecoin and his experience in the cryptocurrency industry. Mr. Riezman is qualified for the Board based on his experience in the cryptocurrency industry. Mr. File is qualified for the Board based on his experience in varying roles of leadership within Lite Strategy, including most recently as Chief Executive Officer (and previously Acting Chief Executive Officer), as well as Chief Financial Officer.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Nominating and Governance Committee oversees compliance by Lite Strategy with its legal and regulatory obligations and periodically reviews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Code of Business Conduct and Ethics;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Policy;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Corporate Disclosure Policy;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amended and restated certificate of incorporation;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independent status of our directors.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Science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Science Committee was formed to provide advice, understanding and guidance both to our management and to the Board on scientific matters, including in connection with assessing the progress and performance of our development programs and projects, and identifying, assessing, implementing, and monitoring scientific opportunities that may offer meaningful strategic or commercial benefit to us. In particular, the Committee shall: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 management with pre-clinical research and development of pharmaceutical product targets in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 management to identify new technologies or products or other business opportunities that may be of strategic, scientific or commercial benefit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guidance to management to evaluate the merits and risks associated with any such scientific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and evaluate terms for proposed scientific business opportunities proposed to be pursued by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and advise on the appropriate structure for potential strategic transactions of pharmaceutical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with management periodically our pipeline and product portfolio and strategy, development timelines and progress, and provide the Board with advice regarding same.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guidance to the Board of Directors in its review, consideration and oversight of any programs, research studies, or transactions recommended by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Glover has served as the Chairman of the Compensation Committee since its creation in November 2025. The other members of the Science Committee are Mr. Driscoll and Mr. File. The Science Committee met one time during the fiscal year ended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determined the independence of each director in accordance with the elements of independence set forth in the Nasdaq listing standards. Based upon information solicited from each director, the Board has determined that each of Mr. Driscoll, Dr. Glover, Dr. Reynolds, Mr. Flynn, Mr. Wood during his service on the Board, had no material relationship with Lite Strategy and is independent within the meaning of Nasdaq’s director independence standards as currently in effect. Mr. Datoo was not considered independent within the meaning of Nasdaq’s director independence standards as currently in effect and each of Mr. Lee and Mr. File is not considered independent within the meaning of Nasdaq's director independence standards currently in effect. In making the foregoing determinations, the Board has considered both the objective tests set forth in the Nasdaq independence standards and subjective measures with respect to each director necessary to determine that no relationships exist that would interfere with the exercise of independent judgment by each such director in carrying out responsibilities of a director. </w:t>
      </w:r>
    </w:p>
    <w:p>
      <w:pPr>
        <w:pStyle w:val="TextBody"/>
        <w:bidi w:val="0"/>
        <w:spacing w:before="240" w:after="283"/>
        <w:jc w:val="left"/>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Driscoll has served as the Chair of our Board since July 2024. The Board does not have a policy addressing whether the same person should serve as both the Chief Executive Officer and Chair of the Board or if the roles should be separate. Our Board believes that it should have the flexibility to make its determination based upon what it considers to be the appropriate leadership structure for Lite Strategy at the time. The Board believes that its current leadership structure is appropriate for Lite Strategy at this time. </w:t>
      </w:r>
    </w:p>
    <w:p>
      <w:pPr>
        <w:pStyle w:val="TextBody"/>
        <w:bidi w:val="0"/>
        <w:spacing w:before="240" w:after="283"/>
        <w:jc w:val="left"/>
        <w:rPr>
          <w:rFonts w:ascii="Times New Roman" w:hAnsi="Times New Roman"/>
          <w:sz w:val="20"/>
        </w:rPr>
      </w:pPr>
      <w:r>
        <w:rPr>
          <w:rFonts w:ascii="Times New Roman" w:hAnsi="Times New Roman"/>
          <w:b/>
          <w:color w:val="000000"/>
          <w:sz w:val="20"/>
        </w:rPr>
        <w:t>Board Role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is an integral part of the Board and Committee deliberations throughout the year. While the Board has the ultimate oversight responsibility for the risk management process, various committees of the Board also have responsibility for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In particular, the Audit Committee focuses on financial risk, including internal controls and receives financial risk assessment reports from management. Risks related to the compensation programs are reviewed by the Compensation Committee. The Nominating and Governance Committee exercises oversight of governance risks, including succession planning and legal compliance. The Board is advised by these committees of significant risks and management’s response through periodic updates.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Anti-Hedging and Pledging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our Insider Trading Policy, all directors, officers, employees and consultants of Lite Strategy are subject to restrictions on hedging of securities of Lite Strategy. These restrictions apply to securities of Lite Strategy owned by such persons, regardless of whether such securities were granted by us to such persons as compensatory awards. Our Insider Trading Policy prohibits such persons from engaging in short sales of securities of Lite Strategy or in transactions in publicly traded options with respect to our securities. In addition, our Insider Trading Policy permits, but discourages, such persons from holding our securities in a margin account or pledging securities of Lite Strategy as collateral for a loan and from entering standing orders with respect to our securities. </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 Communications with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stockholders may communicate with the Board, including non-executive directors or officers, by sending written communications addressed to such person or persons in care of Lite Strategy, Inc., Attention: Secretary, 9920 Pacific Heights Blvd., Suite 150, San Diego, California, 92121. All communications will be compiled by the Secretary and submitted to the addressee. If the Board modifies this process, the revised process will be posted on our website. </w:t>
      </w:r>
    </w:p>
    <w:p>
      <w:pPr>
        <w:pStyle w:val="TextBody"/>
        <w:bidi w:val="0"/>
        <w:spacing w:before="240" w:after="283"/>
        <w:jc w:val="left"/>
        <w:rPr>
          <w:rFonts w:ascii="Times New Roman" w:hAnsi="Times New Roman"/>
          <w:sz w:val="20"/>
        </w:rPr>
      </w:pPr>
      <w:r>
        <w:rPr>
          <w:rFonts w:ascii="Times New Roman" w:hAnsi="Times New Roman"/>
          <w:b/>
          <w:color w:val="000000"/>
          <w:sz w:val="20"/>
        </w:rPr>
        <w:t>Appointment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the number of directors will be set by resolution of the Board, but shall be between two and nine. We currently have six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our amended and restated certificate of incorporation and amended and restated bylaws, directors are to be elected at each annual meeting of stockholders for a term of three years unless the director is removed, retires or the office is vacated earlier. The Board is divided into three classes with respect to the term of office, with the terms of office of one class expiring each successive year. This classified board provision could discourage a third-party from making a tender offer for Lite Strategy's shares or attempting to obtain control of Lite Strategy. It could also delay stockholders who do not agree with the policies of the Board from removing a majority of the Board for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director may resign at any time. The resignation is effective upon receipt of notice. Any or all directors may be removed with cause by a resolution of stockholders entitled to vote to elect directors. Vacancies from resignation or removal or expansion of the size of the Board may be filled by resolution of a majority of directors then in office or by a sole remaining director and any director so appointed shall serve for the remainder of the full term of the class of directors in which the vacancy occurred. </w:t>
      </w:r>
    </w:p>
    <w:p>
      <w:pPr>
        <w:pStyle w:val="TextBody"/>
        <w:bidi w:val="0"/>
        <w:spacing w:before="240" w:after="283"/>
        <w:jc w:val="left"/>
        <w:rPr>
          <w:rFonts w:ascii="Times New Roman" w:hAnsi="Times New Roman"/>
          <w:sz w:val="20"/>
        </w:rPr>
      </w:pPr>
      <w:r>
        <w:rPr>
          <w:rFonts w:ascii="Times New Roman" w:hAnsi="Times New Roman"/>
          <w:b/>
          <w:color w:val="000000"/>
          <w:sz w:val="20"/>
        </w:rPr>
        <w:t>Attendance of Directors at Board Meetings and Stockholder Meetings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year ended June 30, 2026, the Board held a total of 18 meetings and each director attended at least 75% of the total number of meetings of the Board and of the meetings of each committee of the Board on which such director served.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directors are expected to attend our annual meetings of stockholders. All five of our directors then in the office attended the annual meeting of stockholders held in February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policy that applies to our directors and employees (including our principal executive officer and our principal financial officer) and have posted the text of our policy on our website (https://litestrategy.com), under Investor Relations – Governance Documents. In addition, we intend to promptly disclose (i) the nature of any amendment to the policy that applies to our principal executive officer and principal financial officer and (ii) the nature of any waiver, including an implicit waiver, from a provision of the policy that is granted to one of these specified individuals, the name of such person who is granted the waiver and the date of the waiver on our website in the future. Except as expressly stated herein, information contained on our website is not incorporated by reference herein and shall not be deemed a part of this Annual Report on Form 10-K.</w:t>
      </w:r>
    </w:p>
    <w:p>
      <w:pPr>
        <w:pStyle w:val="TextBody"/>
        <w:bidi w:val="0"/>
        <w:spacing w:before="240" w:after="283"/>
        <w:jc w:val="left"/>
        <w:rPr>
          <w:rFonts w:ascii="Times New Roman" w:hAnsi="Times New Roman"/>
          <w:sz w:val="20"/>
        </w:rPr>
      </w:pPr>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are appointed by and serve at the discretion of the Board. Set forth below is the name and certain biographical information regarding Lite Strategy’s sole executive officer as of the date of filing of this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Justin J. File, age 56, Chief Executive Officer, Chief Financial Officer and Secretary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File has been our Chief Executive Officer and a member of our Board since November 14, 2025 and previously was our Acting Chief Executive Officer and Secretary since August 1, 2024. He has also been our Chief Financial Officer since August 1, 2023. Mr. File has over 30 years of experience in accounting and finance, working in both public and private companies. He has a diverse range of experience, having worked in various industries, including the life sciences industry for the past 17 years. From 2015 to 2023, Mr. File was the Chief Financial Officer and Corporate Secretary of Evofem Biosciences, Inc., a women's health company that developed and commercialized Phexxi®, a nonhormonal contraceptive for women. While at Evofem he helped bring the company public through a reverse merger and was responsible for overseeing corporate finance and accounting, information technology and investor relations. Previously, Mr. File provided executive financial and accounting oversight consulting services to biotechnology companies and before that led accounting operations and reporting at Sequenom, Inc., a molecular diagnostic company. He additionally served as Treasurer of Sequenom’s diagnostic subsidiary. Before joining industry, Mr. File worked for approximately ten years in public accounting, primarily with Arthur Andersen LLP. Mr. File graduated from Central Washington University with a Bachelor of Science in Accounting and Business Administration. He is a Certified Public Accountant (inactive).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Item 408(b) of Regulation S-K, we have an insider trading policy governing the purchase, sale and other dispositions of our securities that applies to us and our personnel, including officers, directors, employees and agents, and other covered persons (the Insider Trading Policy). We believe that the Insider Trading Policy is reasonably designed to promote compliance with insider trading laws, rules and regulations, and listing standards applicable to us. A copy of the Insider Trading Policy is filed as Exhibit 19 to this Annual Report on Form 10-K.</w:t>
      </w:r>
    </w:p>
    <w:p>
      <w:pPr>
        <w:pStyle w:val="TextBody"/>
        <w:bidi w:val="0"/>
        <w:spacing w:before="360" w:after="283"/>
        <w:jc w:val="left"/>
        <w:rPr>
          <w:rFonts w:ascii="Times New Roman" w:hAnsi="Times New Roman"/>
          <w:b/>
          <w:color w:val="000000"/>
          <w:sz w:val="20"/>
        </w:rPr>
      </w:pPr>
      <w:bookmarkStart w:id="75" w:name="d58841d10k_htm_toc58841_19"/>
      <w:bookmarkEnd w:id="75"/>
      <w:r>
        <w:rPr>
          <w:rFonts w:ascii="Times New Roman" w:hAnsi="Times New Roman"/>
          <w:b/>
          <w:color w:val="000000"/>
          <w:sz w:val="20"/>
        </w:rPr>
        <w:t>Item 11. Executive Compensation</w:t>
      </w:r>
    </w:p>
    <w:p>
      <w:pPr>
        <w:pStyle w:val="TextBody"/>
        <w:bidi w:val="0"/>
        <w:spacing w:before="360" w:after="283"/>
        <w:jc w:val="center"/>
        <w:rPr>
          <w:rFonts w:ascii="Times New Roman" w:hAnsi="Times New Roman"/>
          <w:sz w:val="20"/>
        </w:rPr>
      </w:pP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sole named executive officer for the fiscal year ended June 30, 2026, was: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Justin J. File, Chief Executive Officer, Chief Financial Officer and Secretary</w:t>
      </w:r>
    </w:p>
    <w:p>
      <w:pPr>
        <w:pStyle w:val="TextBody"/>
        <w:bidi w:val="0"/>
        <w:spacing w:before="240" w:after="283"/>
        <w:jc w:val="left"/>
        <w:rPr>
          <w:rFonts w:ascii="Times New Roman" w:hAnsi="Times New Roman"/>
          <w:sz w:val="20"/>
        </w:rPr>
      </w:pPr>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sets forth for the fiscal years ended June 30, 2026 and 2025, the compensation of our named executive officers.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7"/>
        <w:gridCol w:w="146"/>
        <w:gridCol w:w="559"/>
        <w:gridCol w:w="146"/>
        <w:gridCol w:w="196"/>
        <w:gridCol w:w="691"/>
        <w:gridCol w:w="146"/>
        <w:gridCol w:w="146"/>
        <w:gridCol w:w="260"/>
        <w:gridCol w:w="459"/>
        <w:gridCol w:w="146"/>
        <w:gridCol w:w="146"/>
        <w:gridCol w:w="211"/>
        <w:gridCol w:w="745"/>
        <w:gridCol w:w="146"/>
        <w:gridCol w:w="146"/>
        <w:gridCol w:w="293"/>
        <w:gridCol w:w="1033"/>
        <w:gridCol w:w="146"/>
        <w:gridCol w:w="321"/>
        <w:gridCol w:w="146"/>
        <w:gridCol w:w="441"/>
        <w:gridCol w:w="781"/>
        <w:gridCol w:w="146"/>
        <w:gridCol w:w="146"/>
        <w:gridCol w:w="146"/>
        <w:gridCol w:w="196"/>
        <w:gridCol w:w="826"/>
        <w:gridCol w:w="198"/>
      </w:tblGrid>
      <w:tr>
        <w:trPr/>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 ($)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Justin J. File (3) (4)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595,900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1,577,150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7"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 xml:space="preserve">Chief Executive Officer, Chief </w:t>
              <w:br/>
              <w:t>    Financial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912,667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the aggregate grant date fair value of options granted in accordance with ASC Topic 718. There we no equity awards granted to our named executive officer during fiscal year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the SEC rules, the compensation described in this table does not include various health and welfare or other benefits received by our named executive officers that were generally available to all our regular, full-time employees, as well as certain perquisites and other benefits received by our name executive officers that, in the aggregated, were less than $10,000 for any officer.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File has been our Chief Executive Officer and a member of our Board since November 14, 2025 and previously was our Acting Chief Executive Officer since August 1, 2024. He has also been our Chief Financial Officer and Secretary since August 1,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amount of bonus earned by Mr. File, if any, is not calculable through the latest practicable date. The amount of Mr. File's bonus, if any, is expected to be determined in fiscal year 2027 and such amount will be disclosed in a filing under Item 5.02(f) of Form 8-K.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the terms of his Amended and Restated Employment Agreement dated March 3, 2025 (approved in fiscal year 2025), during fiscal year 2026 Mr. File was paid a $412,500 retention bonus.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the terms of his Amended and Restated Employment Agreement dated March 3, 2025, during fiscal year 2025 Mr. File was paid a $275,000 annual incentive bonus, which represented 50% of his base salary and a $96,000 Success Fee related to the net absolute cash retention from operations as compared to forecasted cash usage through the nine months ending March 31, 2025.</w:t>
      </w:r>
    </w:p>
    <w:p>
      <w:pPr>
        <w:pStyle w:val="TextBody"/>
        <w:bidi w:val="0"/>
        <w:spacing w:before="240" w:after="283"/>
        <w:jc w:val="left"/>
        <w:rPr>
          <w:rFonts w:ascii="Times New Roman" w:hAnsi="Times New Roman"/>
          <w:sz w:val="20"/>
        </w:rPr>
      </w:pPr>
      <w:r>
        <w:rPr>
          <w:rFonts w:ascii="Times New Roman" w:hAnsi="Times New Roman"/>
          <w:b/>
          <w:color w:val="000000"/>
          <w:sz w:val="20"/>
        </w:rPr>
        <w:t>Employment Agreement with our Named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 written employment agreement with our named executive officer, which sets forth the terms of his employment. Mr. File's employment agreement also contains severance and change of control arrangements.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Employment Agreement between Justin J. File and Lite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Mr. File was promoted to Acting Chief Executive Officer, a role in which he served in addition to his roles as Chief Financial Officer and Secretary, pursuant to his prior employment agreement. The prior employment agreement remained in effect through September 30, 2025, and provided for an annual base salary of $550,000, a target annual bonus opportunity of 50% of base salary, eligibility to participate in our health, retirement, expense reimbursement and other benefit plans, and eligibility to receive option or other equity grants under the Prior Omnibus Plan on similar terms as other senior executives of Lite Strategy. In addition, the prior employment agreement provided for eligibility to receive a success fee of $96,000 and a retention bonus of $412,500 which was paid to Mr. File on September 30, 2025. The retention bonus was a contractual obligation entered into during fiscal year 2025 and is disclosed as a fiscal 2026 compensation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November 14, 2025, the Compensation Committee appointed Mr. File as the Chief Executive Officer, in addition to his existing roles as Chief Financial Officer and Secretary. In connection with this appointment, we entered into a new employment agreement with Mr. File (the 2025 Employment Agreement), pursuant to which his annual base salary was increased to $575,000, effective as of October 1, 2025. He will continue to be eligible to receive an annual a target annual bonus opportunity of 50% of base salary, participate in our health, retirement, expense reimbursement and other benefit plans, and receive option or other equity grants under our Prior Omnibus Plan or a successor plan on similar terms as other senior executives of Lite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2025 Employment Agreement, if Mr. File’s employment is terminated by Lite Strategy without cause or Mr. File resigns for good reason, or his employment is terminated due to death or disability, Mr. File will be eligible to receive, conditioned upon the execution of a customary release of claims in favor of us and our affiliates, the following severance benefits, subject to his execution of an effective release of claims (other than in the event of Mr. File's death): (i) lump sum payment equal to 12 months of base salary, (ii) a pro-rated target annual bonus for the year of termination, (iii) 12 months of monthly COBRA premiums reimbursements from us, (iv) accelerated vesting of the stock options that would have vested during the 12 months following his separation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Employment Agreement also provides that if we terminate Mr. File’s employment without cause in the three month period prior to a change in control at the request of the other party to the change in control transaction, or if upon or within two years following a change in control, Mr. File’s employment is terminated by us without cause or by Mr. File for good reason, then Mr. File’s outstanding stock options will fully vest and become exercisable as of his termination date, again conditioned upon the execution of a customary release of claims in favor of us and our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Mr. File’s employment would have been terminated as of June 30, 2026, he would have been entitled to receive payments in accordance with his Employment Agreement dated December 23, 2025. Additionally, he would have been entitled to 12 months of options vesting that aggregated 224,992 as of June 30, 2026. There was no intrinsic value of the option vesting acceleration as of June 30, 2026, because all options were underwater.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Equity Award Grant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no program, plan or practice pertaining to the timing of stock option grants to named executive officers coinciding with the release of material non-public information, or MNPI. The Compensation Committee has historically approved grants of options annually each year as part of our annual compensation cycle. The timing of any equity grants to newly-hired employees, or in connection with promotions or other non-routine grants, is generally tied to the event giving rise to the award (such as an executive officer’s commencement of employment or promotion effective date). Any grants to executive officers are approved at meetings of the Compensation Committee or our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stock option awards granted in fiscal year 2026, the exercise price is no less than the closing price of our common stock on the date of the grant. In the event an issuer grants stock options or option-like instruments within the period commencing four business days prior to and ending one business day following the filing by the Company of a Form 10-K, Form 10-Q or Form 8-K containing material non-public information as required under Item 402(x) of Regulation S-K, Item 402(x) of Regulation S-K requires tabular disclosure of certain information related to such awards. The table below is being provided because certain of the stock options granted to our named executive officers during fiscal year 2026 were granted within the period commencing four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days prior to and ending one business day following the filing by the Company of a Form 10-K, Form 10-Q or Form 8-K containing material non-public information.</w:t>
      </w:r>
    </w:p>
    <w:tbl>
      <w:tblPr>
        <w:tblW w:w="10205" w:type="dxa"/>
        <w:jc w:val="left"/>
        <w:tblInd w:w="0" w:type="dxa"/>
        <w:tblLayout w:type="fixed"/>
        <w:tblCellMar>
          <w:top w:w="28" w:type="dxa"/>
          <w:left w:w="28" w:type="dxa"/>
          <w:bottom w:w="28" w:type="dxa"/>
          <w:right w:w="28" w:type="dxa"/>
        </w:tblCellMar>
      </w:tblPr>
      <w:tblGrid>
        <w:gridCol w:w="636"/>
        <w:gridCol w:w="146"/>
        <w:gridCol w:w="629"/>
        <w:gridCol w:w="324"/>
        <w:gridCol w:w="146"/>
        <w:gridCol w:w="233"/>
        <w:gridCol w:w="1109"/>
        <w:gridCol w:w="146"/>
        <w:gridCol w:w="146"/>
        <w:gridCol w:w="301"/>
        <w:gridCol w:w="649"/>
        <w:gridCol w:w="146"/>
        <w:gridCol w:w="146"/>
        <w:gridCol w:w="260"/>
        <w:gridCol w:w="917"/>
        <w:gridCol w:w="146"/>
        <w:gridCol w:w="146"/>
        <w:gridCol w:w="993"/>
        <w:gridCol w:w="2671"/>
        <w:gridCol w:w="315"/>
      </w:tblGrid>
      <w:tr>
        <w:trPr/>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Securities Underlying the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Price of the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 Fair Value of the Award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Percentage Change in the Closing Market Price of the Securities Underlying the Award Between the Trading Day Ending Immediately Prior to the Disclosure of MNPI and the Trading Day Beginning Immediately Following the Disclosure of MNPI</w:t>
            </w:r>
          </w:p>
        </w:tc>
        <w:tc>
          <w:tcPr>
            <w:tcW w:w="3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Justin J. File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11/14/2025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2/12/2026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option grant was approved by the Board on November 20, 2025, subject to shareholder approval of the 2026 Omnibus Plan under which the options were granted. LITS shareholders approved the 2026 Omnibus Plan on February 12,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at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on all stock options and RSUs held by our named executive officer on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1"/>
        <w:gridCol w:w="146"/>
        <w:gridCol w:w="286"/>
        <w:gridCol w:w="1186"/>
        <w:gridCol w:w="146"/>
        <w:gridCol w:w="146"/>
        <w:gridCol w:w="287"/>
        <w:gridCol w:w="1365"/>
        <w:gridCol w:w="146"/>
        <w:gridCol w:w="146"/>
        <w:gridCol w:w="766"/>
        <w:gridCol w:w="146"/>
        <w:gridCol w:w="276"/>
        <w:gridCol w:w="566"/>
        <w:gridCol w:w="146"/>
        <w:gridCol w:w="146"/>
        <w:gridCol w:w="952"/>
        <w:gridCol w:w="146"/>
        <w:gridCol w:w="1131"/>
        <w:gridCol w:w="146"/>
        <w:gridCol w:w="411"/>
        <w:gridCol w:w="730"/>
        <w:gridCol w:w="198"/>
      </w:tblGrid>
      <w:tr>
        <w:trPr/>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 (Unexercisable)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of Shares or Units of Stock That Have Not Vested</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Justin J. File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Twenty-five percent of the options vested on June 12, 2024; the remaining 75% of the options are expected to vest in equal monthly installments over the following 36 months.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options were fully vested at date of grant on July 15,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options vest in equal installments over 36 months from November 14, 2025.</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below is our pay versus performance disclosure as required pursuant to Item 402(v) of Regulation S-K promulgated under the Exchange Act. As required by Item 402(v), we have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table that compares the total compensation of our named executive officers (also known as NEOs) as presented in the Summary Compensation Table (SCT) to CAP and that compares CAP to specified performance measures;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Graphs that describe the relationships between CAP and our cumulative total shareholder return (TSR) and GAAP Net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Note: pursuant to Item 402(v)(8), Lite Strategy, as a smaller reporting company (SRC), has provided the information required by 402(v) for three years, instead of five years and is not required to provide the disclosure required by 402(v)(2)(iv) or 402(v)(5) with respect to the total shareholder return of any peer group, or our-Selected Measure disclosure required by 402 (v)(2)(vi), or the Tabular List provided pursuant to 402(v)(6).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our current pay program, the only difference between the SCT and CAP amounts is the value of equity awards, which for purposes of the SCT is based on the grant date fair value of equity awards granted during the year and for purposes of CAP is based on the year over year change in the fair value of equity awards that are unvested as of the end of the year, or that vested, or were forfeited during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Pay Versus Performance Table</w:t>
      </w:r>
      <w:r>
        <w:rPr>
          <w:rFonts w:ascii="Times New Roman" w:hAnsi="Times New Roman"/>
          <w:color w:val="000000"/>
          <w:sz w:val="20"/>
        </w:rPr>
        <w:t xml:space="preserve">. In accordance with Item 402(v) and under rules adopted by the SEC pursuant to the Dodd-Frank Wall Street Reform and Consumer Protection Act of 2010, we are providing the tabular disclosure for our Chief Executive Officer (our Principal Executive Officer or PEO) and the average of our NEOs other than the PEO for fiscal years 2024, 2025 and 2026. </w:t>
      </w:r>
    </w:p>
    <w:tbl>
      <w:tblPr>
        <w:tblW w:w="10205" w:type="dxa"/>
        <w:jc w:val="left"/>
        <w:tblInd w:w="0" w:type="dxa"/>
        <w:tblLayout w:type="fixed"/>
        <w:tblCellMar>
          <w:top w:w="28" w:type="dxa"/>
          <w:left w:w="28" w:type="dxa"/>
          <w:bottom w:w="28" w:type="dxa"/>
          <w:right w:w="28" w:type="dxa"/>
        </w:tblCellMar>
      </w:tblPr>
      <w:tblGrid>
        <w:gridCol w:w="416"/>
        <w:gridCol w:w="146"/>
        <w:gridCol w:w="213"/>
        <w:gridCol w:w="754"/>
        <w:gridCol w:w="146"/>
        <w:gridCol w:w="146"/>
        <w:gridCol w:w="202"/>
        <w:gridCol w:w="718"/>
        <w:gridCol w:w="146"/>
        <w:gridCol w:w="146"/>
        <w:gridCol w:w="241"/>
        <w:gridCol w:w="725"/>
        <w:gridCol w:w="146"/>
        <w:gridCol w:w="146"/>
        <w:gridCol w:w="229"/>
        <w:gridCol w:w="690"/>
        <w:gridCol w:w="146"/>
        <w:gridCol w:w="146"/>
        <w:gridCol w:w="248"/>
        <w:gridCol w:w="745"/>
        <w:gridCol w:w="146"/>
        <w:gridCol w:w="146"/>
        <w:gridCol w:w="236"/>
        <w:gridCol w:w="710"/>
        <w:gridCol w:w="146"/>
        <w:gridCol w:w="146"/>
        <w:gridCol w:w="413"/>
        <w:gridCol w:w="564"/>
        <w:gridCol w:w="146"/>
        <w:gridCol w:w="146"/>
        <w:gridCol w:w="279"/>
        <w:gridCol w:w="432"/>
        <w:gridCol w:w="200"/>
      </w:tblGrid>
      <w:tr>
        <w:trPr/>
        <w:tc>
          <w:tcPr>
            <w:tcW w:w="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Summary Compensation Table for Total Current PEO</w:t>
              <w:br/>
              <w:t>(File)</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Compensation Actually Paid to Current PEO</w:t>
              <w:br/>
              <w:t>(File)</w:t>
            </w:r>
            <w:r>
              <w:rPr>
                <w:rFonts w:ascii="Times New Roman" w:hAnsi="Times New Roman"/>
                <w:b/>
                <w:color w:val="000000"/>
                <w:sz w:val="7"/>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Summary Compensation Table for Total Former PEO</w:t>
              <w:br/>
              <w:t>(Urso)</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Compensation Actually Paid to Former PEO</w:t>
              <w:br/>
              <w:t>(Urso)</w:t>
            </w:r>
            <w:r>
              <w:rPr>
                <w:rFonts w:ascii="Times New Roman" w:hAnsi="Times New Roman"/>
                <w:b/>
                <w:color w:val="000000"/>
                <w:sz w:val="7"/>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Average Summary Compensation Table Total for Non-PEO</w:t>
              <w:br/>
              <w:t>NEOs</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Average Compensation Actually Paid to Non-PEO</w:t>
              <w:br/>
              <w:t>NEOs</w:t>
            </w:r>
            <w:r>
              <w:rPr>
                <w:rFonts w:ascii="Times New Roman" w:hAnsi="Times New Roman"/>
                <w:b/>
                <w:color w:val="000000"/>
                <w:sz w:val="7"/>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1"/>
              </w:rPr>
            </w:pPr>
            <w:r>
              <w:rPr>
                <w:rFonts w:ascii="Times New Roman" w:hAnsi="Times New Roman"/>
                <w:b/>
                <w:color w:val="000000"/>
                <w:sz w:val="11"/>
              </w:rPr>
              <w:t>Value of Initial Fixed $100 Investment Based on Total Shareholder Return</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Lite Strategy Net (Loss) Income</w:t>
              <w:br/>
              <w:t>($ Millions)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(h)</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1,577,150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1,429,975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912,667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893,199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934,046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683,160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708,134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645,430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r>
      <w:tr>
        <w:trPr/>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894,905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220,789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730,912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558,052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PVP table reflects required disclosures for fiscal years 2024, 2025 and 2026. The following table reflects our Principal Executive Officer (PEO) and non-PEO NEOs in each of the fiscal years presented:</w:t>
      </w:r>
    </w:p>
    <w:p>
      <w:pPr>
        <w:pStyle w:val="TextBody"/>
        <w:bidi w:val="0"/>
        <w:jc w:val="left"/>
        <w:rPr/>
      </w:pPr>
      <w:r>
        <w:rPr/>
        <w:t> </w:t>
      </w:r>
    </w:p>
    <w:tbl>
      <w:tblPr>
        <w:tblW w:w="5650" w:type="dxa"/>
        <w:jc w:val="left"/>
        <w:tblInd w:w="0" w:type="dxa"/>
        <w:tblLayout w:type="fixed"/>
        <w:tblCellMar>
          <w:top w:w="28" w:type="dxa"/>
          <w:left w:w="28" w:type="dxa"/>
          <w:bottom w:w="28" w:type="dxa"/>
          <w:right w:w="28" w:type="dxa"/>
        </w:tblCellMar>
      </w:tblPr>
      <w:tblGrid>
        <w:gridCol w:w="946"/>
        <w:gridCol w:w="146"/>
        <w:gridCol w:w="1831"/>
        <w:gridCol w:w="146"/>
        <w:gridCol w:w="258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Non-PEO NEOs</w:t>
            </w:r>
          </w:p>
        </w:tc>
      </w:tr>
      <w:tr>
        <w:trPr/>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8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Justin J. File (Current)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Justin J. File (Current) </w:t>
              <w:br/>
              <w:t>David M. Urso (Former)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G. Ghalie</w:t>
            </w:r>
          </w:p>
        </w:tc>
      </w:tr>
      <w:tr>
        <w:trPr/>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M. Urso (Current)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Justin J. File and Richard G. Ghalie</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shown for CAP have been calculated in accordance with Item 402(v) of Regulation S-K and do not reflect compensation earned, realized, or received by our NEOs. These amounts reflect the Summary Compensation Table Total with certain adjustments as described in footnote 3 below.</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Compensation Actually Paid (CAP) is calculated by taking Summary Compensation Table total compensation: a) less the stock award and stock option grant values; b) plus the year over year change in the fair value of stock and option awards that are unvested as of the end of the year, or that vested, or were forfeited during the year. No adjustments were made for pension arrangements, which we do not sponsor. Reconciliation of the Summary Compensation Table total compensation and CAP is summarized in the following table: </w:t>
      </w:r>
    </w:p>
    <w:p>
      <w:pPr>
        <w:pStyle w:val="TextBody"/>
        <w:bidi w:val="0"/>
        <w:jc w:val="left"/>
        <w:rPr/>
      </w:pPr>
      <w:r>
        <w:rPr/>
        <w:t> </w:t>
      </w:r>
    </w:p>
    <w:tbl>
      <w:tblPr>
        <w:tblW w:w="8924" w:type="dxa"/>
        <w:jc w:val="left"/>
        <w:tblInd w:w="0" w:type="dxa"/>
        <w:tblLayout w:type="fixed"/>
        <w:tblCellMar>
          <w:top w:w="28" w:type="dxa"/>
          <w:left w:w="28" w:type="dxa"/>
          <w:bottom w:w="28" w:type="dxa"/>
          <w:right w:w="28" w:type="dxa"/>
        </w:tblCellMar>
      </w:tblPr>
      <w:tblGrid>
        <w:gridCol w:w="5820"/>
        <w:gridCol w:w="188"/>
        <w:gridCol w:w="656"/>
        <w:gridCol w:w="157"/>
        <w:gridCol w:w="188"/>
        <w:gridCol w:w="656"/>
        <w:gridCol w:w="157"/>
        <w:gridCol w:w="188"/>
        <w:gridCol w:w="718"/>
        <w:gridCol w:w="196"/>
      </w:tblGrid>
      <w:tr>
        <w:trPr/>
        <w:tc>
          <w:tcPr>
            <w:tcW w:w="58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Current PEO (File)(i)</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Fiscal Year</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SCT Total</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912,667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1,577,150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Stock and Option Award Values Reported in SCT for the Covered Year</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Outstanding Unvested Stock and Option Awards Granted in the Covered Year</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283,041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Change in Fair Value of Outstanding Unvested Stock and Option Awards from Prior Years</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Stock and Option Awards Granted in Covered Year that Vested</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Change in Fair Value of Stock and Option Awards from Prior Years that Vested in Covered Year</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Stock and Option Awards Forfeited during the Covered Year</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Compensation Actually Paid</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893,199</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1,429,975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Former PEO (Urso)(i)</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Fiscal Year</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SCT Total</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894,905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934,046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Stock and Option Award Values Reported in SCT for the Covered Year</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Outstanding Unvested Stock and Option Awards Granted in the Covered Year</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Change in Fair Value of Outstanding Unvested Stock and Option Awards from Prior Years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(511,128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Stock and Option Awards Granted in Covered Year that Vested</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Change in Fair Value of Stock and Option Awards from Prior Years that Vested in Covered Year</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Stock and Option Awards Forfeited during the Covered Year</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(252,643</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Compensation Actually Paid</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220,789</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683,160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Non-PEO(i)</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Fiscal Year</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SCT Total</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730,912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708,134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Stock and Option Award Values Reported in SCT for the Covered Year</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(79,900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Outstanding Unvested Stock and Option Awards Granted in the Covered Year</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Change in Fair Value of Outstanding Unvested Stock and Option Awards from Prior Years</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(93,289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Stock and Option Awards Granted in Covered Year that Vested</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Change in Fair Value of Stock and Option Awards from Prior Years that Vested in Covered Year</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(28,468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Fair Value of Stock and Option Awards Forfeited during the Covered Year</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(62,858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Compensation Actually Paid</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558,052</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645,430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28"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 The fair value of options awards used to calculate CAP was determined using the Black-Scholes option pricing model, in accordance with FASB 718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Assumes $100 was invested in Lite Strategy for the period starting June 30, 2023, through the end of the listed year. Historical stock performance is not necessarily indicative of future stock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Relationship between CAP and TSR</w:t>
      </w:r>
      <w:r>
        <w:rPr>
          <w:rFonts w:ascii="Times New Roman" w:hAnsi="Times New Roman"/>
          <w:color w:val="000000"/>
          <w:sz w:val="20"/>
        </w:rPr>
        <w:t>. The chart below reflects the relationship between the PEO and average non-PEO NEO CAP versus our TSR and the Peer Group TSR.</w:t>
      </w:r>
    </w:p>
    <w:p>
      <w:pPr>
        <w:pStyle w:val="TextBody"/>
        <w:bidi w:val="0"/>
        <w:spacing w:before="120" w:after="120"/>
        <w:jc w:val="left"/>
        <w:rPr/>
      </w:pPr>
      <w:r>
        <w:rPr/>
        <w:drawing>
          <wp:inline distT="0" distB="0" distL="0" distR="0">
            <wp:extent cx="5543550" cy="2952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43550" cy="2952750"/>
                    </a:xfrm>
                    <a:prstGeom prst="rect">
                      <a:avLst/>
                    </a:prstGeom>
                  </pic:spPr>
                </pic:pic>
              </a:graphicData>
            </a:graphic>
          </wp:inline>
        </w:drawing>
      </w:r>
    </w:p>
    <w:p>
      <w:pPr>
        <w:pStyle w:val="TextBody"/>
        <w:bidi w:val="0"/>
        <w:jc w:val="center"/>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Relationship between CAP and GAAP Net Income (Loss)</w:t>
      </w:r>
      <w:r>
        <w:rPr>
          <w:rFonts w:ascii="Times New Roman" w:hAnsi="Times New Roman"/>
          <w:color w:val="000000"/>
          <w:sz w:val="20"/>
        </w:rPr>
        <w:t>. The chart below reflects the relationship between the PEO and average non-PEO NEO CAP and our GAAP Net Income (Loss).</w:t>
      </w:r>
    </w:p>
    <w:p>
      <w:pPr>
        <w:pStyle w:val="TextBody"/>
        <w:bidi w:val="0"/>
        <w:jc w:val="center"/>
        <w:rPr/>
      </w:pPr>
      <w:r>
        <w:rPr/>
        <w:drawing>
          <wp:inline distT="0" distB="0" distL="0" distR="0">
            <wp:extent cx="5495925" cy="2933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95925" cy="29337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of Directors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details of the fees paid to our non-executive directors who served on the Board for the fiscal year ended June 30, 2026.</w:t>
      </w:r>
    </w:p>
    <w:tbl>
      <w:tblPr>
        <w:tblW w:w="8814" w:type="dxa"/>
        <w:jc w:val="left"/>
        <w:tblInd w:w="0" w:type="dxa"/>
        <w:tblLayout w:type="fixed"/>
        <w:tblCellMar>
          <w:top w:w="28" w:type="dxa"/>
          <w:left w:w="28" w:type="dxa"/>
          <w:bottom w:w="28" w:type="dxa"/>
          <w:right w:w="28" w:type="dxa"/>
        </w:tblCellMar>
      </w:tblPr>
      <w:tblGrid>
        <w:gridCol w:w="2746"/>
        <w:gridCol w:w="146"/>
        <w:gridCol w:w="590"/>
        <w:gridCol w:w="2080"/>
        <w:gridCol w:w="146"/>
        <w:gridCol w:w="146"/>
        <w:gridCol w:w="351"/>
        <w:gridCol w:w="1239"/>
        <w:gridCol w:w="146"/>
        <w:gridCol w:w="146"/>
        <w:gridCol w:w="196"/>
        <w:gridCol w:w="691"/>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OptionAwards($)(2)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Frederick W. Driscoll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Nicholas R. Glover, Ph.D.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C. Reynolds, M.D., Ph.D.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Taheer Datoo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Flynn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Steven Wood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Charles B. Lee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Joshua Riezman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 For the fiscal year ended June 30, 2026, each of our non-executive directors received an annual cash retainer of $45,600. In addition to the annual cash retainer, the chair received additional annual compensation of $35,000 and each Board Committee chair received additional compensation as follows: Audit Committee: $20,000; Compensation Committee: $15,000; Nominating and Governance Committee: $10,000 and Science Committee: $20,000. Committee members not receiving compensation as a committee chairperson received additional compensation as follows: Audit Committee: $10,000; Compensation Committee: $7,500, Nominating and Governance Committee: $5,000 and Science Committee: $10,000. Such amounts are pro-rated for periods of service less than the full fiscal year.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Represents the aggregate grant date fair value of options granted in accordance with FASB ASC Topic 718 net of the cancellation described in Note 9 below.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Driscoll received cash compensation of $80,600 in connection with his service as chair of our Board, $20,000 in connection with his service as the chair of the Audit Committee, $4,729 in connection with his service on the Compensation Committee, $4,516 in connection with his service on the Nominating and Governance Committee and $6,305 in connection with his service on the Science Committee.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Dr. Glover received cash compensation of $45,600 in connection with his service on the Board, $15,000 in connection with his service as chair of the Compensation Committee, $10,000 in connection with his service on the Audit Committee, $3,153 in connection with his service on the Nominating and Governance Committee and $12,610 in connection with his service as chair of the Science Committee.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Dr. Reynolds resigned from our Board as of November 4, 2025, and received pro-rated cash compensation of $15,707 in connection with his service on the Board, $2,583 in connection with his service on the Compensation Committee and $3,444 in connection with his service as chair of the Nominating and Governance Committee.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Datoo resigned from our Board as of July 22, 2025 and received pro-rated cash compensation of $2,992 in connection with his service on our Board. Mr. Datoo also received $47,433 as the cash equivalent of the vested grant date fair value of options granted in accordance with FASB ASC Topic 718.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Flynn received cash compensation of $45,600 in connection with his service on our Board, $10,000 in connection with his service on the Audit Committee, $6,714 in connection with his service on the Compensation Committee and $8,153 in connection with his service as chair on the Nominating and Governance Committee.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Wood resigned from our Board as of August 5, 2025. He waived all cash compensation associated with his service on our Board for fiscal year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Lee, who joined our Board on July 22, 2025, does not receive Board compensation in accordance with the terms of the advisory agreement between Lite Strategy and Green Dragon Investments LLC, with which he is associated. Mr. Lee was inadvertently granted options on October 3, 2025, which were then cancelled on October 8,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Riezman joined our Board on August 5, 2025. Mr. Riezman received cash compensation of $41,187 in connection with his service on our Board.</w:t>
      </w:r>
    </w:p>
    <w:p>
      <w:pPr>
        <w:pStyle w:val="TextBody"/>
        <w:bidi w:val="0"/>
        <w:spacing w:before="24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an indemnification agreement with each of our directors and executive officers. Subject to certain exceptions, the indemnification agreements provide that an indemnitee will be indemnified for all expenses incurred or paid by the indemnitee in connection with a proceeding to which the indemnitee was or is a party, or is threatened to be made a party, by reason of the indemnitee’s status with or service to us or to another entity at our request. In connection with proceedings other than those by or in the right of our company and to which the indemnitee was or is a party, or is threatened to be made a party, by reason of the indemnitee’s status with or service to us or to another entity at our request, the indemnification agreements provide that an indemnitee will also be indemnified for all liabilities incurred or paid by the indemnitee. The indemnification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provide for advancement of expenses incurred by an indemnitee in connection with an indemnifiable claim, subject to reimbursement in certain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of each indemnitee are in addition to any other rights provided for under our amended and restated certificate of incorporation and our bylaws, as may be amended from time to time, and under Delaware law.</w:t>
      </w:r>
    </w:p>
    <w:p>
      <w:pPr>
        <w:pStyle w:val="TextBody"/>
        <w:bidi w:val="0"/>
        <w:spacing w:before="360" w:after="283"/>
        <w:jc w:val="left"/>
        <w:rPr>
          <w:rFonts w:ascii="Times New Roman" w:hAnsi="Times New Roman"/>
          <w:b/>
          <w:color w:val="000000"/>
          <w:sz w:val="20"/>
        </w:rPr>
      </w:pPr>
      <w:bookmarkStart w:id="76" w:name="d58841d10k_htm_toc58841_20"/>
      <w:bookmarkEnd w:id="76"/>
      <w:r>
        <w:rPr>
          <w:rFonts w:ascii="Times New Roman" w:hAnsi="Times New Roman"/>
          <w:b/>
          <w:color w:val="000000"/>
          <w:sz w:val="20"/>
        </w:rPr>
        <w:t>Item 12. Security Ownership of Certain Beneficial Owners and Management and Related Stockholder Matters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sets forth information with respect to the beneficial ownership of shares of our common stock as of September 22, 2026 (except as otherwise indicated below) by (i) each person known to beneficially own more than 5% of our common stock, (ii) each of our named executive officers and directors and (iii) our officers and directors as a group. Beneficial ownership is determined in accordance with the rules and regulations of the SEC. In computing the number of shares beneficially owned by a person and the percentage ownership of that person, shares of common stock subject to options, warrants or restricted stock units, exercisable or convertible on or within sixty (60) days of September 22, 2026, are deemed outstanding. Such shares, however, are not deemed outstanding for the purposes of computing the percentage ownership of any other person. The percentage of beneficial ownership described below is based on 30,407,268 shares of common stock outstanding, plus adjustments to the number of shares of common stock outstanding as described above, as of September 22, 2026.</w:t>
      </w:r>
    </w:p>
    <w:tbl>
      <w:tblPr>
        <w:tblW w:w="10205" w:type="dxa"/>
        <w:jc w:val="left"/>
        <w:tblInd w:w="0" w:type="dxa"/>
        <w:tblLayout w:type="fixed"/>
        <w:tblCellMar>
          <w:top w:w="28" w:type="dxa"/>
          <w:left w:w="28" w:type="dxa"/>
          <w:bottom w:w="28" w:type="dxa"/>
          <w:right w:w="28" w:type="dxa"/>
        </w:tblCellMar>
      </w:tblPr>
      <w:tblGrid>
        <w:gridCol w:w="3400"/>
        <w:gridCol w:w="146"/>
        <w:gridCol w:w="454"/>
        <w:gridCol w:w="2569"/>
        <w:gridCol w:w="146"/>
        <w:gridCol w:w="146"/>
        <w:gridCol w:w="747"/>
        <w:gridCol w:w="2162"/>
        <w:gridCol w:w="146"/>
        <w:gridCol w:w="289"/>
      </w:tblGrid>
      <w:tr>
        <w:trPr/>
        <w:tc>
          <w:tcPr>
            <w:tcW w:w="3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&amp; Nature of Beneficial 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Justin J. File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Frederick W. Driscoll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Nicholas R. Glover, Ph.D.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Flynn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Charles B. Lee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Joshua Riezman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All Current Directors and Executive Officers as </w:t>
              <w:br/>
              <w:t>    a Group (6 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Less than 1%</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277,196 shares issuable to Mr. File upon the exercise of vested stock options that are exercisable within 60 days of September 22, 2026. Mr. File exercises sole voting and investment control with respect to the shares. Mr. File's business address is c/o Lite Strategy, Inc., 9920 Pacific Heights Blvd., Suite 150, San Diego, California, 92121.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100,041 shares issuable to Mr. Driscoll upon the exercise of stock options that are exercisable within 60 days of September 22, 2026, and 1,875 shares of common stock. Mr. Driscoll exercises sole voting and investment control with respect to the shares. Mr. Driscoll’s business address is c/o Lite Strategy, Inc., 9920 Pacific Heights Blvd., Suite 150, San Diego, California, 92121.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100,375 shares issuable to Dr. Glover upon the exercise of stock options that are exercisable within 60 days of September 22, 2026. Dr. Glover’s business address is c/o Lite Strategy, Inc., 9920 Pacific Heights Blvd., Suite 150, San Diego, California, 92121.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91,422 shares issuable to Mr. Flynn upon the exercise of stock options that are exercisable within 60 days of September 22, 2026, and 125,000 shares of common stock. Mr. Flynn exercises sole voting and investment control with respect to the shares. Mr. Flynn’s business address is c/o Lite Strategy, Inc., 9920 Pacific Heights Blvd., Suite 150, San Diego, California, 92121.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292,397 shares of common stock. Mr. Lee exercises sole voting and investment control with respect to the shares. Mr. Lee's business address is c/o Lite Strategy, Inc. 9920 Pacific Heights Blvd. Suite 150, San Diego, California, 92121.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62,500 shares issuable to Mr. Riezman upon the exercise of stock options that are exercisable within 60 days of September 22, 2026. Mr. Riezman exercises sold voting and investment control with respect to the shares. Mr. Riezman's business address is c/o Lite Strategy, Inc., 9920 Pacific Heights Blvd., Suite 150, San Diego, California, 92121.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7" w:name="d58841d10k_htm_toc58841_21"/>
      <w:bookmarkEnd w:id="77"/>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Related Party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PIPE, we entered into an advisory agreement (the GD Advisory Agreement) with Green Dragon Investments LLC (Green Dragon). Charlie Lee, who was appointed as a member of the Board and serves in the class of directors who will be up for reelection at our annual meeting of stockholders for fiscal 2027, is a beneficiary of Green Dragon. Pursuant to the GD Advisory Agreement, Green Dragon provides us with asset management services and we pay Green Dragon a fee in warrants to purchase a number of shares of the common stock calculated based on the amount of assets under management.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Director Independence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that Joshua Riezman is an independent director, the Board considered the fact that Mr. Riezman was appointed to the Board pursuant to the July 2025 Side Letter (the Side Letter) between Lite Strategy and GSR Strategies LLC (GSR), of which Mr. Riezman is an employee.</w:t>
      </w:r>
    </w:p>
    <w:p>
      <w:pPr>
        <w:pStyle w:val="TextBody"/>
        <w:bidi w:val="0"/>
        <w:spacing w:before="240" w:after="283"/>
        <w:jc w:val="left"/>
        <w:rPr>
          <w:rFonts w:ascii="Times New Roman" w:hAnsi="Times New Roman"/>
          <w:b/>
          <w:color w:val="000000"/>
          <w:sz w:val="20"/>
        </w:rPr>
      </w:pPr>
      <w:bookmarkStart w:id="78" w:name="d58841d10k_htm_toc58841_22"/>
      <w:bookmarkEnd w:id="78"/>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independent registered public accounting firm is CBIZ CPAs PC (CBIZ) Auditor Firm ID: 199.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 &amp; Touche LLP (Deloitte) served as our independent registered public accounting firm for us for the period from December 19, 2023 through the fiscal year ended June 30, 2025 and the subsequent interim period ended September 30, 2025. On December 2, 2025, our Audit Committee approved the change in our independent registered public accounting firm effective December 2, 2025, to CBIZ.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Fees Paid to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represents the aggregate fees from our principal accounting firm, CBIZ for the fiscal year ended June 30, 2026, and our former principal accounting firm Deloitte, for the fiscal year ended June 30, 2025.</w:t>
      </w:r>
    </w:p>
    <w:p>
      <w:pPr>
        <w:pStyle w:val="TextBody"/>
        <w:bidi w:val="0"/>
        <w:spacing w:before="120" w:after="283"/>
        <w:jc w:val="left"/>
        <w:rPr/>
      </w:pPr>
      <w:r>
        <w:rPr/>
        <w:t> </w:t>
      </w:r>
    </w:p>
    <w:tbl>
      <w:tblPr>
        <w:tblW w:w="4505" w:type="dxa"/>
        <w:jc w:val="left"/>
        <w:tblInd w:w="0" w:type="dxa"/>
        <w:tblLayout w:type="fixed"/>
        <w:tblCellMar>
          <w:top w:w="28" w:type="dxa"/>
          <w:left w:w="28" w:type="dxa"/>
          <w:bottom w:w="28" w:type="dxa"/>
          <w:right w:w="28" w:type="dxa"/>
        </w:tblCellMar>
      </w:tblPr>
      <w:tblGrid>
        <w:gridCol w:w="1426"/>
        <w:gridCol w:w="146"/>
        <w:gridCol w:w="248"/>
        <w:gridCol w:w="877"/>
        <w:gridCol w:w="146"/>
        <w:gridCol w:w="146"/>
        <w:gridCol w:w="248"/>
        <w:gridCol w:w="877"/>
        <w:gridCol w:w="3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 Fees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Fees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Audit Fees relate to professional services rendered in connection with the audit of our annual consolidated financial statements, quarterly review of consolidated financial statements included in our Quarterly Reports on Form 10-Q and audit services provided in connection with other statutory and regulatory filings, including providing consents for inclusion of their opinion in registration statements filed with the Securities and Exchange Commission and comfort letters in connection with sales of securities.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Tax Fees consist of fees for professional services related to tax compliance and advice.</w:t>
      </w:r>
    </w:p>
    <w:p>
      <w:pPr>
        <w:pStyle w:val="TextBody"/>
        <w:bidi w:val="0"/>
        <w:spacing w:before="240" w:after="283"/>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adopted a policy and procedure for pre-approving all audit and non-audit services to be performed by our independent auditors. The policy requires pre-approval of all services rendered by our independent auditors either as part of the Audit Committee’s approval of the scope of the engagement of the independent auditors or on a case-by-case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79" w:name="d58841d10k_htm_toc58841_23"/>
      <w:bookmarkStart w:id="80" w:name="fis_part_iv"/>
      <w:bookmarkEnd w:id="79"/>
      <w:bookmarkEnd w:id="80"/>
      <w:r>
        <w:rPr>
          <w:rFonts w:ascii="Times New Roman" w:hAnsi="Times New Roman"/>
          <w:b/>
          <w:color w:val="000000"/>
          <w:sz w:val="20"/>
        </w:rPr>
        <w:t>PART IV</w:t>
      </w:r>
      <w:bookmarkStart w:id="81" w:name="fis_exhibits"/>
      <w:bookmarkEnd w:id="81"/>
    </w:p>
    <w:p>
      <w:pPr>
        <w:pStyle w:val="TextBody"/>
        <w:bidi w:val="0"/>
        <w:spacing w:before="240" w:after="283"/>
        <w:jc w:val="left"/>
        <w:rPr>
          <w:rFonts w:ascii="Times New Roman" w:hAnsi="Times New Roman"/>
          <w:b/>
          <w:color w:val="000000"/>
          <w:sz w:val="20"/>
        </w:rPr>
      </w:pPr>
      <w:bookmarkStart w:id="82" w:name="d58841d10k_htm_toc58841_24"/>
      <w:bookmarkEnd w:id="82"/>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Consolidated Financial Statements</w:t>
      </w:r>
    </w:p>
    <w:p>
      <w:pPr>
        <w:pStyle w:val="TextBody"/>
        <w:bidi w:val="0"/>
        <w:spacing w:before="120" w:after="283"/>
        <w:jc w:val="left"/>
        <w:rPr/>
      </w:pPr>
      <w:r>
        <w:rPr>
          <w:rFonts w:ascii="Times New Roman" w:hAnsi="Times New Roman"/>
          <w:color w:val="000000"/>
          <w:sz w:val="20"/>
        </w:rPr>
        <w:t xml:space="preserve">Reference is made to the Consolidated Financial Statements under </w:t>
      </w:r>
      <w:hyperlink w:anchor="d58841d10k_htm_toc58841_13">
        <w:r>
          <w:rPr>
            <w:rStyle w:val="InternetLink"/>
            <w:rFonts w:ascii="Times New Roman" w:hAnsi="Times New Roman"/>
            <w:i/>
            <w:color w:val="0000FF"/>
            <w:sz w:val="20"/>
            <w:u w:val="single"/>
          </w:rPr>
          <w:t>Item 8. Consolidated Financial Statements and Supplementary Data</w:t>
        </w:r>
      </w:hyperlink>
      <w:r>
        <w:rPr>
          <w:rFonts w:ascii="Times New Roman" w:hAnsi="Times New Roman"/>
          <w:color w:val="000000"/>
          <w:sz w:val="12"/>
        </w:rPr>
        <w:t xml:space="preserve"> </w:t>
      </w:r>
      <w:r>
        <w:rPr>
          <w:rFonts w:ascii="Times New Roman" w:hAnsi="Times New Roman"/>
          <w:color w:val="000000"/>
          <w:sz w:val="20"/>
        </w:rPr>
        <w:t>in Part II hereof.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 Schedules have been omitted either because they are not required or because the information has been included in the consolidated financial statements or the notes thereto included in this Annual Report on Form 10-K.</w:t>
      </w:r>
    </w:p>
    <w:p>
      <w:pPr>
        <w:pStyle w:val="TextBody"/>
        <w:bidi w:val="0"/>
        <w:spacing w:before="240" w:after="283"/>
        <w:jc w:val="left"/>
        <w:rPr>
          <w:rFonts w:ascii="Times New Roman" w:hAnsi="Times New Roman"/>
          <w:b/>
          <w:color w:val="000000"/>
          <w:sz w:val="20"/>
        </w:rPr>
      </w:pPr>
      <w:bookmarkStart w:id="83" w:name="fis_exhibit_index"/>
      <w:bookmarkEnd w:id="83"/>
      <w:r>
        <w:rPr>
          <w:rFonts w:ascii="Times New Roman" w:hAnsi="Times New Roman"/>
          <w:b/>
          <w:color w:val="000000"/>
          <w:sz w:val="20"/>
        </w:rPr>
        <w:t>3. Exhibits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146"/>
        <w:gridCol w:w="4674"/>
        <w:gridCol w:w="146"/>
        <w:gridCol w:w="888"/>
        <w:gridCol w:w="146"/>
        <w:gridCol w:w="940"/>
        <w:gridCol w:w="146"/>
        <w:gridCol w:w="736"/>
        <w:gridCol w:w="146"/>
        <w:gridCol w:w="1426"/>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 Herein</w:t>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Schedule/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and Restated Certificate of Incorporation of Lite Strategy,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Sixth Amended and Restated Bylaws of Lite Strategy, Inc. adopted as of December 18,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22, 2023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Specimen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333-109129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Description of Capital Stock of Lite Strategy,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Description of Lite Strategy, Inc.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Placement Agent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GSR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GSR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Advisory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Strategic Advisor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23, 2023</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9"/>
        <w:gridCol w:w="146"/>
        <w:gridCol w:w="5832"/>
        <w:gridCol w:w="146"/>
        <w:gridCol w:w="439"/>
        <w:gridCol w:w="146"/>
        <w:gridCol w:w="807"/>
        <w:gridCol w:w="146"/>
        <w:gridCol w:w="466"/>
        <w:gridCol w:w="146"/>
        <w:gridCol w:w="1352"/>
      </w:tblGrid>
      <w:tr>
        <w:trPr/>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Amended and Restated 2008 Stock Omnibus Equity Compensation Plan (December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2024</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Lite Strategy, Inc. 2026 Stock Omnibus Equity Compensation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2026</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Indemnification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29, 2011</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License Agreement, dated as of September 5, 2017, by and between Lite Strategy, Inc. and Presage Biosciences,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8, 2017</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Employee Proprietary Information and Inventions Agreement between Lite Strategy, Inc. and Justin J. File, dated December 23,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30, 2025</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Employment Agreement between Lite Strategy, Inc. and Justin J. File, dated December 23,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30, 2025</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Amended and Restated Lite Strategy, Inc. 2021 Inducement Grant Equity Compensation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13, 2023</w:t>
            </w:r>
          </w:p>
        </w:tc>
      </w:tr>
      <w:tr>
        <w:trPr/>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Consulting Services Agreement, dated as of August 2, 2024, by and between Lite Strategy, Inc. and Richard G. Ghalie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12, 2024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146"/>
        <w:gridCol w:w="5904"/>
        <w:gridCol w:w="146"/>
        <w:gridCol w:w="413"/>
        <w:gridCol w:w="146"/>
        <w:gridCol w:w="735"/>
        <w:gridCol w:w="146"/>
        <w:gridCol w:w="466"/>
        <w:gridCol w:w="146"/>
        <w:gridCol w:w="122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Securities Purchase Agreement, dated as of July 17, 2025, by and between Lite Strategy, Inc. and each Purchaser (as defined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Placement Agency Agreement, dated July 17, 2025, by and between Lite Strategy, Inc. and Titan Partners Group LLC, a division of American Capital Partners,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Registration Rights Agreement, dated July 17, 2025, by and between Lite Strategy, Inc. and each Purchaser (as defined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Asset Management Agreement, dated July 22, 2025, by and between Lite Strategy, Inc. and GSR Strategies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Side Letter Agreement, dated July 22, 2025, by and between Lite Strategy, Inc. and GSR Strategies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Advisory Agreement, dated July 22, 2025, by and between Lite Strategy, Inc. and Green Dragon Investments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Strategic Advisor Agreement, dated July 22, 2025, by and between Lite Strategy, Inc. and Green Grass Ventures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22,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Master Loan Agreement, dated September 3, 2025, between BitGo Prime and Lite Strategy,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Insider Trading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2025</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its-ex23_1.htm">
              <w:r>
                <w:rPr>
                  <w:rStyle w:val="InternetLink"/>
                  <w:rFonts w:ascii="Times New Roman" w:hAnsi="Times New Roman"/>
                  <w:color w:val="0000FF"/>
                  <w:sz w:val="20"/>
                  <w:u w:val="single"/>
                </w:rPr>
                <w:t>Consent of CBIZ CPAs PC,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its-ex23_2.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its-ex31_1.htm">
              <w:r>
                <w:rPr>
                  <w:rStyle w:val="InternetLink"/>
                  <w:rFonts w:ascii="Times New Roman" w:hAnsi="Times New Roman"/>
                  <w:color w:val="0000FF"/>
                  <w:sz w:val="20"/>
                  <w:u w:val="single"/>
                </w:rPr>
                <w:t>Certification of Principal Executive and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its-ex32_1.htm">
              <w:r>
                <w:rPr>
                  <w:rStyle w:val="InternetLink"/>
                  <w:rFonts w:ascii="Times New Roman" w:hAnsi="Times New Roman"/>
                  <w:color w:val="0000FF"/>
                  <w:sz w:val="20"/>
                  <w:u w:val="single"/>
                </w:rPr>
                <w:t>Certification of Principal Executive Officer and Principal Financial Officer required by Rule 13a-14(b) or Rule 15d-14(b) and Section 1350 of Chapter 63 of Title 18 of the United States Code (18 U.S.C 1350).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Lite Strategy, Inc. Clawback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19, 2024</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exhibit have been redacted pursuant to a confidential treatment request filed with the Securities and Exchange Commission.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exhibit have been omitted in accordance with Item 601(a)(6) and Item 601(b)(10) of Regulation S-K because such information (i) is not material and (ii) is the type that the registrant treats as private or confidential.</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marked exhibit is a management contract or a compensatory plan, contract or arrangement in which a director or executive officer of the registrant participates or has participated.</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84" w:name="d58841d10k_htm_toc58841_25"/>
      <w:bookmarkEnd w:id="84"/>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on September 28, 2026.</w:t>
      </w:r>
    </w:p>
    <w:p>
      <w:pPr>
        <w:pStyle w:val="TextBody"/>
        <w:bidi w:val="0"/>
        <w:spacing w:before="120" w:after="283"/>
        <w:jc w:val="left"/>
        <w:rPr/>
      </w:pPr>
      <w:r>
        <w:rPr/>
        <w:t> </w:t>
      </w:r>
    </w:p>
    <w:tbl>
      <w:tblPr>
        <w:tblW w:w="5229" w:type="dxa"/>
        <w:jc w:val="left"/>
        <w:tblInd w:w="0" w:type="dxa"/>
        <w:tblLayout w:type="fixed"/>
        <w:tblCellMar>
          <w:top w:w="28" w:type="dxa"/>
          <w:left w:w="28" w:type="dxa"/>
          <w:bottom w:w="28" w:type="dxa"/>
          <w:right w:w="28" w:type="dxa"/>
        </w:tblCellMar>
      </w:tblPr>
      <w:tblGrid>
        <w:gridCol w:w="376"/>
        <w:gridCol w:w="146"/>
        <w:gridCol w:w="451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38" w:type="dxa"/>
            <w:gridSpan w:val="3"/>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Lite Strategy,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Justin J. File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Justin J. File</w:t>
            </w:r>
          </w:p>
          <w:p>
            <w:pPr>
              <w:pStyle w:val="TableContents"/>
              <w:bidi w:val="0"/>
              <w:jc w:val="left"/>
              <w:rPr>
                <w:rFonts w:ascii="Times New Roman" w:hAnsi="Times New Roman"/>
                <w:color w:val="000000"/>
                <w:sz w:val="18"/>
              </w:rPr>
            </w:pPr>
            <w:r>
              <w:rPr>
                <w:rFonts w:ascii="Times New Roman" w:hAnsi="Times New Roman"/>
                <w:color w:val="000000"/>
                <w:sz w:val="18"/>
              </w:rPr>
              <w:t>Chief Executive Officer, Chief Financial Officer and Secretary</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374"/>
        <w:gridCol w:w="146"/>
        <w:gridCol w:w="9493"/>
        <w:gridCol w:w="192"/>
      </w:tblGrid>
      <w:tr>
        <w:trPr/>
        <w:tc>
          <w:tcPr>
            <w:tcW w:w="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9639"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Signatures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Justin J. File</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Justin J. File</w:t>
            </w:r>
          </w:p>
          <w:p>
            <w:pPr>
              <w:pStyle w:val="TableContents"/>
              <w:bidi w:val="0"/>
              <w:jc w:val="left"/>
              <w:rPr>
                <w:rFonts w:ascii="Times New Roman" w:hAnsi="Times New Roman"/>
                <w:color w:val="000000"/>
                <w:sz w:val="18"/>
              </w:rPr>
            </w:pPr>
            <w:r>
              <w:rPr>
                <w:rFonts w:ascii="Times New Roman" w:hAnsi="Times New Roman"/>
                <w:color w:val="000000"/>
                <w:sz w:val="18"/>
              </w:rPr>
              <w:t>Chief Executive Officer, Chief Financial Officer and Secretary (Principal Executive Officer, Principal Financial and Accounting Officer)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96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Nicholas R. Glover</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Nicholas R. Glover</w:t>
            </w:r>
          </w:p>
          <w:p>
            <w:pPr>
              <w:pStyle w:val="TableContents"/>
              <w:bidi w:val="0"/>
              <w:jc w:val="left"/>
              <w:rPr>
                <w:rFonts w:ascii="Times New Roman" w:hAnsi="Times New Roman"/>
                <w:color w:val="000000"/>
                <w:sz w:val="18"/>
              </w:rPr>
            </w:pPr>
            <w:r>
              <w:rPr>
                <w:rFonts w:ascii="Times New Roman" w:hAnsi="Times New Roman"/>
                <w:color w:val="000000"/>
                <w:sz w:val="18"/>
              </w:rPr>
              <w:t>Director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96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James Flynn</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James Flynn</w:t>
            </w:r>
          </w:p>
          <w:p>
            <w:pPr>
              <w:pStyle w:val="TableContents"/>
              <w:bidi w:val="0"/>
              <w:jc w:val="left"/>
              <w:rPr>
                <w:rFonts w:ascii="Times New Roman" w:hAnsi="Times New Roman"/>
                <w:color w:val="000000"/>
                <w:sz w:val="18"/>
              </w:rPr>
            </w:pPr>
            <w:r>
              <w:rPr>
                <w:rFonts w:ascii="Times New Roman" w:hAnsi="Times New Roman"/>
                <w:color w:val="000000"/>
                <w:sz w:val="18"/>
              </w:rPr>
              <w:t>Director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96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Frederick W. Driscoll</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Frederick W. Driscoll</w:t>
            </w:r>
          </w:p>
          <w:p>
            <w:pPr>
              <w:pStyle w:val="TableContents"/>
              <w:bidi w:val="0"/>
              <w:jc w:val="left"/>
              <w:rPr>
                <w:rFonts w:ascii="Times New Roman" w:hAnsi="Times New Roman"/>
                <w:color w:val="000000"/>
                <w:sz w:val="18"/>
              </w:rPr>
            </w:pPr>
            <w:r>
              <w:rPr>
                <w:rFonts w:ascii="Times New Roman" w:hAnsi="Times New Roman"/>
                <w:color w:val="000000"/>
                <w:sz w:val="18"/>
              </w:rPr>
              <w:t>Director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96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Charles B. Lee</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Charles B. Lee</w:t>
            </w:r>
          </w:p>
          <w:p>
            <w:pPr>
              <w:pStyle w:val="TableContents"/>
              <w:bidi w:val="0"/>
              <w:jc w:val="left"/>
              <w:rPr>
                <w:rFonts w:ascii="Times New Roman" w:hAnsi="Times New Roman"/>
                <w:color w:val="000000"/>
                <w:sz w:val="18"/>
              </w:rPr>
            </w:pPr>
            <w:r>
              <w:rPr>
                <w:rFonts w:ascii="Times New Roman" w:hAnsi="Times New Roman"/>
                <w:color w:val="000000"/>
                <w:sz w:val="18"/>
              </w:rPr>
              <w:t>Director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963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pBdr>
                <w:bottom w:val="single" w:sz="5" w:space="1" w:color="000000"/>
              </w:pBdr>
              <w:bidi w:val="0"/>
              <w:spacing w:before="0" w:after="283"/>
              <w:jc w:val="left"/>
              <w:rPr>
                <w:rFonts w:ascii="Times New Roman" w:hAnsi="Times New Roman"/>
                <w:color w:val="000000"/>
                <w:sz w:val="18"/>
              </w:rPr>
            </w:pPr>
            <w:r>
              <w:rPr>
                <w:rFonts w:ascii="Times New Roman" w:hAnsi="Times New Roman"/>
                <w:color w:val="000000"/>
                <w:sz w:val="18"/>
              </w:rPr>
              <w:t>/s/ Joshua Riezman</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Joshua Riezman</w:t>
            </w:r>
          </w:p>
          <w:p>
            <w:pPr>
              <w:pStyle w:val="TableContents"/>
              <w:bidi w:val="0"/>
              <w:jc w:val="left"/>
              <w:rPr>
                <w:rFonts w:ascii="Times New Roman" w:hAnsi="Times New Roman"/>
                <w:color w:val="000000"/>
                <w:sz w:val="18"/>
              </w:rPr>
            </w:pPr>
            <w:r>
              <w:rPr>
                <w:rFonts w:ascii="Times New Roman" w:hAnsi="Times New Roman"/>
                <w:color w:val="000000"/>
                <w:sz w:val="18"/>
              </w:rPr>
              <w:t>Director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28, 2026</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85" w:name="d58841dex43_htm"/>
      <w:bookmarkStart w:id="86" w:name="eolpage75"/>
      <w:bookmarkStart w:id="87" w:name="fis_exhibit_4"/>
      <w:bookmarkEnd w:id="85"/>
      <w:bookmarkEnd w:id="86"/>
      <w:bookmarkEnd w:id="87"/>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88" w:name="lits-ex23_1.htm"/>
      <w:bookmarkStart w:id="89" w:name="kslitsex23_1"/>
      <w:bookmarkEnd w:id="88"/>
      <w:bookmarkEnd w:id="89"/>
      <w:r>
        <w:rPr>
          <w:rFonts w:ascii="Times New Roman" w:hAnsi="Times New Roman"/>
          <w:b/>
          <w:color w:val="000000"/>
          <w:sz w:val="20"/>
        </w:rPr>
        <w:br/>
        <w:t>Exhibit 23.1</w:t>
      </w:r>
      <w:r>
        <w:br w:type="page"/>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rFonts w:ascii="Times New Roman" w:hAnsi="Times New Roman"/>
          <w:sz w:val="20"/>
        </w:rPr>
      </w:pPr>
      <w:r>
        <w:rPr>
          <w:rFonts w:ascii="Times New Roman" w:hAnsi="Times New Roman"/>
          <w:color w:val="000000"/>
          <w:sz w:val="22"/>
        </w:rPr>
        <w:t>We consent to the incorporation by reference in the Registration Statements on Form S-3 (Nos. 333-290779, 333-289312, 333-277201, 333-186070, 333-184011, 333-174789, 333-146453, and 333-136440) and on Form S-8 (Nos. 333-272627, 333-269666, 333-255830, 333-251976, 333-229554, 333-216103, 333-213278, 333-201703, 333-179591, 333-174790, 333-169719, and 333-156985) of our report dated September 28, 2026</w:t>
      </w:r>
      <w:r>
        <w:rPr>
          <w:rFonts w:ascii="Times New Roman" w:hAnsi="Times New Roman"/>
          <w:color w:val="000000"/>
          <w:sz w:val="20"/>
        </w:rPr>
        <w:t xml:space="preserve"> </w:t>
      </w:r>
      <w:r>
        <w:rPr>
          <w:rFonts w:ascii="Times New Roman" w:hAnsi="Times New Roman"/>
          <w:color w:val="000000"/>
          <w:sz w:val="22"/>
        </w:rPr>
        <w:t>with respect to the</w:t>
      </w:r>
      <w:r>
        <w:rPr>
          <w:rFonts w:ascii="Times New Roman" w:hAnsi="Times New Roman"/>
          <w:color w:val="000000"/>
          <w:sz w:val="20"/>
        </w:rPr>
        <w:t xml:space="preserve"> </w:t>
      </w:r>
      <w:r>
        <w:rPr>
          <w:rFonts w:ascii="Times New Roman" w:hAnsi="Times New Roman"/>
          <w:color w:val="000000"/>
          <w:sz w:val="22"/>
        </w:rPr>
        <w:t>consolidated</w:t>
      </w:r>
      <w:r>
        <w:rPr>
          <w:rFonts w:ascii="Times New Roman" w:hAnsi="Times New Roman"/>
          <w:color w:val="000000"/>
          <w:sz w:val="20"/>
        </w:rPr>
        <w:t xml:space="preserve"> </w:t>
      </w:r>
      <w:r>
        <w:rPr>
          <w:rFonts w:ascii="Times New Roman" w:hAnsi="Times New Roman"/>
          <w:color w:val="000000"/>
          <w:sz w:val="22"/>
        </w:rPr>
        <w:t>financial statements of Lite Strategy, Inc. included in this Annual Report on Form 10-K for the year ended June 30, 2026</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 CBIZ CPAS P.C.</w:t>
      </w:r>
    </w:p>
    <w:p>
      <w:pPr>
        <w:pStyle w:val="TextBody"/>
        <w:bidi w:val="0"/>
        <w:jc w:val="left"/>
        <w:rPr>
          <w:rFonts w:ascii="Times New Roman" w:hAnsi="Times New Roman"/>
          <w:color w:val="000000"/>
          <w:sz w:val="22"/>
        </w:rPr>
      </w:pPr>
      <w:r>
        <w:rPr>
          <w:rFonts w:ascii="Times New Roman" w:hAnsi="Times New Roman"/>
          <w:color w:val="000000"/>
          <w:sz w:val="22"/>
        </w:rPr>
        <w:t>Costa Mesa, California</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September 28,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90" w:name="lits-ex23_2.htm"/>
      <w:bookmarkStart w:id="91" w:name="kslitsex23_2"/>
      <w:bookmarkEnd w:id="90"/>
      <w:bookmarkEnd w:id="91"/>
      <w:r>
        <w:rPr>
          <w:rFonts w:ascii="Times New Roman" w:hAnsi="Times New Roman"/>
          <w:b/>
          <w:color w:val="000000"/>
          <w:sz w:val="20"/>
        </w:rPr>
        <w:br/>
        <w:t>Exhibit 23.2</w:t>
      </w:r>
      <w:r>
        <w:br w:type="page"/>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consent to the incorporation by reference in Registration Statement Nos. 333-277201, 333-186070, 333-184011, 333-174789, 333-146453, 333-136440, 333-289312 and 333-290779 on Form S-3 and Registration Statement Nos. 333-272627, 333-269666, 333-255830, 333-251976, 333-229554, 333-216103, 333-213278, 333-201703, 333-179591, 333-174790, 333-169719, and 333-156985 on Form S-8 of our report dated September 26, 2025, relating to the financial statements of Lite Strategy, Inc. appearing in this Annual Report on Form 10-K for the year ended June 30, 2026.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September 28,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2" w:name="lits-ex31_1.htm"/>
      <w:bookmarkStart w:id="93" w:name="kslitsex31_1"/>
      <w:bookmarkEnd w:id="92"/>
      <w:bookmarkEnd w:id="93"/>
      <w:r>
        <w:rPr>
          <w:rFonts w:ascii="Times New Roman" w:hAnsi="Times New Roman"/>
          <w:b/>
          <w:color w:val="000000"/>
          <w:sz w:val="20"/>
        </w:rPr>
        <w:t>Exhibit 31.1</w:t>
      </w:r>
      <w:r>
        <w:br w:type="page"/>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Justin J. File,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June 30, 2026, of Lite Strategy,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523" w:type="dxa"/>
        <w:jc w:val="left"/>
        <w:tblInd w:w="0" w:type="dxa"/>
        <w:tblLayout w:type="fixed"/>
        <w:tblCellMar>
          <w:top w:w="28" w:type="dxa"/>
          <w:left w:w="28" w:type="dxa"/>
          <w:bottom w:w="28" w:type="dxa"/>
          <w:right w:w="28" w:type="dxa"/>
        </w:tblCellMar>
      </w:tblPr>
      <w:tblGrid>
        <w:gridCol w:w="1966"/>
        <w:gridCol w:w="146"/>
        <w:gridCol w:w="44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September 28,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8"/>
              </w:rPr>
            </w:pPr>
            <w:r>
              <w:rPr>
                <w:rFonts w:ascii="Times New Roman" w:hAnsi="Times New Roman"/>
                <w:color w:val="000000"/>
                <w:sz w:val="18"/>
              </w:rPr>
              <w:t>/s/ Justin J. File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Justin J. File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Acting Chief Executive Officer and</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 and Secretary</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4" w:name="lits-ex32_1.htm"/>
      <w:bookmarkStart w:id="95" w:name="kslitsex32_1"/>
      <w:bookmarkEnd w:id="94"/>
      <w:bookmarkEnd w:id="95"/>
      <w:r>
        <w:rPr>
          <w:rFonts w:ascii="Times New Roman" w:hAnsi="Times New Roman"/>
          <w:b/>
          <w:color w:val="000000"/>
          <w:sz w:val="20"/>
        </w:rPr>
        <w:t>Exhibit 32.1</w:t>
      </w:r>
      <w:r>
        <w:br w:type="page"/>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undersigned hereby certifies, for the purposes of Section 1350 of Chapter 63 of Title 18 of the U.S. Code, as adopted pursuant to Section 906 of the Sarbanes-Oxley Act of 2002, in his capacity as Chief Executive Officer and Chief Financial Officer of Lite Strategy, Inc. (Lite Strategy) that, to his knowledge, this Annual Report on Form 10-K of Lite Strategy, for the year ended June 30, 2026, fully complies with the requirements of Section 13(a) or Section 15(d) of the Securities Exchange Act of 1934, as amended, and that the information contained in such report fairly presents, in all material respects, the financial condition and results of operations of Lite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28, 2026</w:t>
      </w:r>
    </w:p>
    <w:p>
      <w:pPr>
        <w:pStyle w:val="TextBody"/>
        <w:bidi w:val="0"/>
        <w:jc w:val="left"/>
        <w:rPr/>
      </w:pPr>
      <w:r>
        <w:rPr/>
        <w:t> </w:t>
      </w:r>
    </w:p>
    <w:tbl>
      <w:tblPr>
        <w:tblW w:w="4535" w:type="dxa"/>
        <w:jc w:val="left"/>
        <w:tblInd w:w="0" w:type="dxa"/>
        <w:tblLayout w:type="fixed"/>
        <w:tblCellMar>
          <w:top w:w="28" w:type="dxa"/>
          <w:left w:w="28" w:type="dxa"/>
          <w:bottom w:w="28" w:type="dxa"/>
          <w:right w:w="28" w:type="dxa"/>
        </w:tblCellMar>
      </w:tblPr>
      <w:tblGrid>
        <w:gridCol w:w="124"/>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8"/>
              </w:rPr>
            </w:pPr>
            <w:r>
              <w:rPr>
                <w:rFonts w:ascii="Times New Roman" w:hAnsi="Times New Roman"/>
                <w:color w:val="000000"/>
                <w:sz w:val="18"/>
              </w:rPr>
              <w:t>/s/ Justin J. File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Justin J. File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and 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certifications accompanying the report to which they relate, are not deemed filed with the Securities and Exchange Commission and are not to be incorporated by reference into any filing of Lite Strategy under the Securities Act of 1933, as amended, or the Securities Exchange Act of 1934, as amended, except to the extent Lite Strategy specifically incorporates it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Lite Strategy and will be retained by Lite Strategy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3.gif"/><Relationship Id="rId8" Type="http://schemas.openxmlformats.org/officeDocument/2006/relationships/image" Target="media/image3.gif"/><Relationship Id="rId9" Type="http://schemas.openxmlformats.org/officeDocument/2006/relationships/image" Target="media/image1.gif"/><Relationship Id="rId10" Type="http://schemas.openxmlformats.org/officeDocument/2006/relationships/image" Target="media/image3.gif"/><Relationship Id="rId11" Type="http://schemas.openxmlformats.org/officeDocument/2006/relationships/image" Target="media/image1.gif"/><Relationship Id="rId12" Type="http://schemas.openxmlformats.org/officeDocument/2006/relationships/image" Target="media/image3.gif"/><Relationship Id="rId13" Type="http://schemas.openxmlformats.org/officeDocument/2006/relationships/image" Target="media/image1.gif"/><Relationship Id="rId14" Type="http://schemas.openxmlformats.org/officeDocument/2006/relationships/image" Target="media/image3.gif"/><Relationship Id="rId15" Type="http://schemas.openxmlformats.org/officeDocument/2006/relationships/image" Target="media/image3.gif"/><Relationship Id="rId16" Type="http://schemas.openxmlformats.org/officeDocument/2006/relationships/image" Target="media/image1.gif"/><Relationship Id="rId17" Type="http://schemas.openxmlformats.org/officeDocument/2006/relationships/image" Target="media/image2.gif"/><Relationship Id="rId18" Type="http://schemas.openxmlformats.org/officeDocument/2006/relationships/image" Target="media/image4.jpeg"/><Relationship Id="rId19" Type="http://schemas.openxmlformats.org/officeDocument/2006/relationships/image" Target="media/image5.gif"/><Relationship Id="rId20" Type="http://schemas.openxmlformats.org/officeDocument/2006/relationships/hyperlink" Target="https://www.sec.gov/Archives/edgar/data/1262104/000119312525220421/lits-ex3_1.htm" TargetMode="External"/><Relationship Id="rId21" Type="http://schemas.openxmlformats.org/officeDocument/2006/relationships/hyperlink" Target="https://www.sec.gov/Archives/edgar/data/1262104/000095017023072612/meip-ex3_1.htm" TargetMode="External"/><Relationship Id="rId22" Type="http://schemas.openxmlformats.org/officeDocument/2006/relationships/hyperlink" Target="https://www.sec.gov/Archives/edgar/data/1262104/000095012303012005/y90124a1exv4w1.txt" TargetMode="External"/><Relationship Id="rId23" Type="http://schemas.openxmlformats.org/officeDocument/2006/relationships/hyperlink" Target="https://www.sec.gov/Archives/edgar/data/1262104/000119312520242169/d58841dex43.htm" TargetMode="External"/><Relationship Id="rId24" Type="http://schemas.openxmlformats.org/officeDocument/2006/relationships/hyperlink" Target="https://www.sec.gov/Archives/edgar/data/1262104/000095017023049927/meip-ex4_4.htm" TargetMode="External"/><Relationship Id="rId25" Type="http://schemas.openxmlformats.org/officeDocument/2006/relationships/hyperlink" Target="https://www.sec.gov/Archives/edgar/data/1262104/000114036125026773/ef20052363_ex4-1.htm" TargetMode="External"/><Relationship Id="rId26" Type="http://schemas.openxmlformats.org/officeDocument/2006/relationships/hyperlink" Target="https://www.sec.gov/Archives/edgar/data/1262104/000114036125026773/ef20052363_ex4-2.htm" TargetMode="External"/><Relationship Id="rId27" Type="http://schemas.openxmlformats.org/officeDocument/2006/relationships/hyperlink" Target="https://www.sec.gov/Archives/edgar/data/1262104/000114036125026773/ef20052363_ex4-3.htm" TargetMode="External"/><Relationship Id="rId28" Type="http://schemas.openxmlformats.org/officeDocument/2006/relationships/hyperlink" Target="https://www.sec.gov/Archives/edgar/data/1262104/000114036125026773/ef20052363_ex4-4.htm" TargetMode="External"/><Relationship Id="rId29" Type="http://schemas.openxmlformats.org/officeDocument/2006/relationships/hyperlink" Target="https://www.sec.gov/Archives/edgar/data/1262104/000114036125026773/ef20052363_ex4-5.htm" TargetMode="External"/><Relationship Id="rId30" Type="http://schemas.openxmlformats.org/officeDocument/2006/relationships/hyperlink" Target="https://www.sec.gov/Archives/edgar/data/1262104/000114036125026773/ef20052363_ex4-6.htm" TargetMode="External"/><Relationship Id="rId31" Type="http://schemas.openxmlformats.org/officeDocument/2006/relationships/hyperlink" Target="https://www.sec.gov/Archives/edgar/data/1262104/000095017023049927/meip-ex10_22.htm" TargetMode="External"/><Relationship Id="rId32" Type="http://schemas.openxmlformats.org/officeDocument/2006/relationships/hyperlink" Target="https://www.sec.gov/Archives/edgar/data/1262104/000095017024056834/meip-ex10_1.htm" TargetMode="External"/><Relationship Id="rId33" Type="http://schemas.openxmlformats.org/officeDocument/2006/relationships/hyperlink" Target="https://www.sec.gov/Archives/edgar/data/1262104/000119312526049005/lits-ex10_1.htm" TargetMode="External"/><Relationship Id="rId34" Type="http://schemas.openxmlformats.org/officeDocument/2006/relationships/hyperlink" Target="https://www.sec.gov/Archives/edgar/data/1262104/000119312511235271/dex101.htm" TargetMode="External"/><Relationship Id="rId35" Type="http://schemas.openxmlformats.org/officeDocument/2006/relationships/hyperlink" Target="https://www.sec.gov/Archives/edgar/data/1262104/000119312517336509/d445348dex101.htm" TargetMode="External"/><Relationship Id="rId36" Type="http://schemas.openxmlformats.org/officeDocument/2006/relationships/hyperlink" Target="https://www.sec.gov/Archives/edgar/data/1262104/000119312525335761/lits-ex10_2.htm" TargetMode="External"/><Relationship Id="rId37" Type="http://schemas.openxmlformats.org/officeDocument/2006/relationships/hyperlink" Target="https://www.sec.gov/Archives/edgar/data/1262104/000119312525335761/lits-ex10_1.htm" TargetMode="External"/><Relationship Id="rId38" Type="http://schemas.openxmlformats.org/officeDocument/2006/relationships/hyperlink" Target="https://www.sec.gov/Archives/edgar/data/1262104/000119312523166013/d516259dex103.htm" TargetMode="External"/><Relationship Id="rId39" Type="http://schemas.openxmlformats.org/officeDocument/2006/relationships/hyperlink" Target="https://www.sec.gov/Archives/edgar/data/1262104/000095017024125328/meip-ex10_4.htm" TargetMode="External"/><Relationship Id="rId40" Type="http://schemas.openxmlformats.org/officeDocument/2006/relationships/hyperlink" Target="https://www.sec.gov/Archives/edgar/data/1262104/000114036125026773/ef20052363_ex10-1.htm" TargetMode="External"/><Relationship Id="rId41" Type="http://schemas.openxmlformats.org/officeDocument/2006/relationships/hyperlink" Target="https://www.sec.gov/Archives/edgar/data/1262104/000114036125026773/ef20052363_ex10-2.htm" TargetMode="External"/><Relationship Id="rId42" Type="http://schemas.openxmlformats.org/officeDocument/2006/relationships/hyperlink" Target="https://www.sec.gov/Archives/edgar/data/1262104/000114036125026773/ef20052363_ex10-3.htm" TargetMode="External"/><Relationship Id="rId43" Type="http://schemas.openxmlformats.org/officeDocument/2006/relationships/hyperlink" Target="https://www.sec.gov/Archives/edgar/data/1262104/000114036125026773/ef20052363_ex10-4.htm" TargetMode="External"/><Relationship Id="rId44" Type="http://schemas.openxmlformats.org/officeDocument/2006/relationships/hyperlink" Target="https://www.sec.gov/Archives/edgar/data/1262104/000114036125026773/ef20052363_ex10-5.htm" TargetMode="External"/><Relationship Id="rId45" Type="http://schemas.openxmlformats.org/officeDocument/2006/relationships/hyperlink" Target="https://www.sec.gov/Archives/edgar/data/1262104/000114036125026773/ef20052363_ex10-6.htm" TargetMode="External"/><Relationship Id="rId46" Type="http://schemas.openxmlformats.org/officeDocument/2006/relationships/hyperlink" Target="https://www.sec.gov/Archives/edgar/data/1262104/000114036125026773/ef20052363_ex10-7.htm" TargetMode="External"/><Relationship Id="rId47" Type="http://schemas.openxmlformats.org/officeDocument/2006/relationships/hyperlink" Target="https://www.sec.gov/Archives/edgar/data/1262104/000092963825003398/exhibit10-1.htm" TargetMode="External"/><Relationship Id="rId48" Type="http://schemas.openxmlformats.org/officeDocument/2006/relationships/hyperlink" Target="https://www.sec.gov/Archives/edgar/data/1262104/000119312525220421/lits-ex19_insider.htm" TargetMode="External"/><Relationship Id="rId49" Type="http://schemas.openxmlformats.org/officeDocument/2006/relationships/hyperlink" Target="https://www.sec.gov/Archives/edgar/data/1262104/000095017024108185/meip-ex97.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56930</Words>
  <Characters>311234</Characters>
  <CharactersWithSpaces>368711</CharactersWithSpaces>
  <Paragraphs>6823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