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001-41827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51-0407811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9920 Pacific Heights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858 369-7100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$0.00000002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jc w:val="both"/>
        <w:ind w:left="20" w:firstLine="749"/>
        <w:spacing w:after="0" w:line="255" w:lineRule="auto"/>
        <w:rPr>
          <w:sz w:val="20"/>
          <w:szCs w:val="20"/>
          <w:color w:val="auto"/>
        </w:rPr>
      </w:pPr>
      <w:r>
        <w:rPr>
          <w:rFonts w:ascii="Times New Roman" w:cs="Times New Roman" w:eastAsia="Times New Roman" w:hAnsi="Times New Roman"/>
          <w:sz w:val="18"/>
          <w:szCs w:val="18"/>
          <w:color w:val="auto"/>
        </w:rPr>
        <w:t>As previously reported, on July 22, 2025, Lite Strategy, Inc. (the “Company”) entered into an Advisory Agreement (the “Advisory Agreement”) with Green Dragon Investments LLC (“Green Dragon”), pursuant to which the Company agreed to pay Green Dragon an asset-based fee (the “Annual Advisory Fee”) in warrants (the “Advisory Warrants”) to purchase a number of shares of common stock, par value $0.00000002 per share, of the Company (the “Common Stock”) equal to 0.75% per annum of the Account Assets (as defined in the Advisory Agreement) for such year, as calculated in accordance with the Advisory Agreement. The number of Advisory Warrants to be issued for any given year is equal to the dollar amount of the Annual Advisory Fee for such year, divided by the average VWAP of the Common Stock for the 30 trading days ending with the trading day prior to the associated Fee Reference Date (as defined in the Advisory Agreement). The exercise price per share of the Advisory Warrants is set at a price equal to $0.0001.</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 October 29, 2026, Green Dragon exercised 517,509 Advisory Warrants in a cashless exercise to purchase 517,465 shares of Common Stock.</w:t>
      </w:r>
    </w:p>
    <w:p>
      <w:pPr>
        <w:spacing w:after="0" w:line="225" w:lineRule="exact"/>
        <w:rPr>
          <w:sz w:val="20"/>
          <w:szCs w:val="20"/>
          <w:color w:val="auto"/>
        </w:rPr>
      </w:pPr>
    </w:p>
    <w:p>
      <w:pPr>
        <w:jc w:val="both"/>
        <w:ind w:left="20" w:firstLine="749"/>
        <w:spacing w:after="0" w:line="266" w:lineRule="auto"/>
        <w:rPr>
          <w:sz w:val="20"/>
          <w:szCs w:val="20"/>
          <w:color w:val="auto"/>
        </w:rPr>
      </w:pPr>
      <w:r>
        <w:rPr>
          <w:rFonts w:ascii="Times New Roman" w:cs="Times New Roman" w:eastAsia="Times New Roman" w:hAnsi="Times New Roman"/>
          <w:sz w:val="18"/>
          <w:szCs w:val="18"/>
          <w:color w:val="auto"/>
        </w:rPr>
        <w:t>The Company relied upon the exemption from registration provided by Section 4(a)(2) of the Securities Act and/or Rule 506(b) of Regulation D promulgated thereunder for transactions by an issuer not involving a public offering to issue the Advisory Warrants and shares of Common Stock issuable upon the exercise of the Advisory Warrants.</w:t>
      </w:r>
    </w:p>
    <w:p>
      <w:pPr>
        <w:spacing w:after="0" w:line="176" w:lineRule="exact"/>
        <w:rPr>
          <w:sz w:val="20"/>
          <w:szCs w:val="20"/>
          <w:color w:val="auto"/>
        </w:rPr>
      </w:pPr>
    </w:p>
    <w:p>
      <w:pPr>
        <w:jc w:val="both"/>
        <w:ind w:left="20" w:firstLine="749"/>
        <w:spacing w:after="0" w:line="282" w:lineRule="auto"/>
        <w:rPr>
          <w:sz w:val="20"/>
          <w:szCs w:val="20"/>
          <w:color w:val="auto"/>
        </w:rPr>
      </w:pPr>
      <w:r>
        <w:rPr>
          <w:rFonts w:ascii="Times New Roman" w:cs="Times New Roman" w:eastAsia="Times New Roman" w:hAnsi="Times New Roman"/>
          <w:sz w:val="18"/>
          <w:szCs w:val="18"/>
          <w:color w:val="auto"/>
        </w:rPr>
        <w:t>The description of the Advisory Warrants is qualified in its entirety by the full text of the form of Advisory Warrant which is filed as Exhibit 4.5 to the Company’s Current Report on Form 8-K filed on July 22, 2025,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Justin J. File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2026-11-03T15:09:43Z</dcterms:created>
  <dcterms:modified xsi:type="dcterms:W3CDTF">2026-11-03T15:09:43Z</dcterms:modified>
</cp:coreProperties>
</file>