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7"/>
          <w:szCs w:val="7"/>
          <w:b w:val="1"/>
          <w:bCs w:val="1"/>
          <w:color w:val="auto"/>
        </w:rPr>
        <w:t>--</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141605</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165100</wp:posOffset>
            </wp:positionV>
            <wp:extent cx="121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47" w:lineRule="exact"/>
        <w:rPr>
          <w:rFonts w:ascii="MS PGothic" w:cs="MS PGothic" w:eastAsia="MS PGothic" w:hAnsi="MS PGothic"/>
          <w:sz w:val="20"/>
          <w:szCs w:val="20"/>
          <w:color w:val="auto"/>
        </w:rPr>
      </w:pPr>
    </w:p>
    <w:p>
      <w:pPr>
        <w:ind w:left="412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fiscal year ended June 30, 2024</w:t>
      </w:r>
    </w:p>
    <w:p>
      <w:pPr>
        <w:spacing w:after="0" w:line="225" w:lineRule="exact"/>
        <w:rPr>
          <w:rFonts w:ascii="MS PGothic" w:cs="MS PGothic" w:eastAsia="MS PGothic" w:hAnsi="MS PGothic"/>
          <w:sz w:val="20"/>
          <w:szCs w:val="20"/>
          <w:color w:val="auto"/>
        </w:rPr>
      </w:pPr>
    </w:p>
    <w:p>
      <w:pPr>
        <w:ind w:left="54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OR</w:t>
      </w:r>
    </w:p>
    <w:p>
      <w:pPr>
        <w:spacing w:after="0" w:line="261"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7" w:lineRule="exact"/>
        <w:rPr>
          <w:sz w:val="24"/>
          <w:szCs w:val="24"/>
          <w:color w:val="auto"/>
        </w:rPr>
      </w:pPr>
    </w:p>
    <w:p>
      <w:pPr>
        <w:ind w:left="340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156845</wp:posOffset>
            </wp:positionV>
            <wp:extent cx="1217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MEI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150495</wp:posOffset>
            </wp:positionV>
            <wp:extent cx="1217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900" w:type="dxa"/>
        <w:tblCellMar>
          <w:top w:w="0" w:type="dxa"/>
          <w:left w:w="0" w:type="dxa"/>
          <w:bottom w:w="0" w:type="dxa"/>
          <w:right w:w="0" w:type="dxa"/>
        </w:tblCellMar>
      </w:tblPr>
      <w:tr>
        <w:trPr>
          <w:trHeight w:val="212"/>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6"/>
                <w:szCs w:val="16"/>
                <w:b w:val="1"/>
                <w:bCs w:val="1"/>
                <w:color w:val="auto"/>
                <w:w w:val="97"/>
              </w:rPr>
              <w:t>DELAWARE</w:t>
            </w:r>
          </w:p>
        </w:tc>
        <w:tc>
          <w:tcPr>
            <w:tcW w:w="3220" w:type="dxa"/>
            <w:vAlign w:val="bottom"/>
          </w:tcPr>
          <w:p>
            <w:pPr>
              <w:jc w:val="center"/>
              <w:ind w:left="2025"/>
              <w:spacing w:after="0"/>
              <w:rPr>
                <w:sz w:val="20"/>
                <w:szCs w:val="20"/>
                <w:color w:val="auto"/>
              </w:rPr>
            </w:pPr>
            <w:r>
              <w:rPr>
                <w:rFonts w:ascii="Times New Roman" w:cs="Times New Roman" w:eastAsia="Times New Roman" w:hAnsi="Times New Roman"/>
                <w:sz w:val="16"/>
                <w:szCs w:val="16"/>
                <w:b w:val="1"/>
                <w:bCs w:val="1"/>
                <w:color w:val="auto"/>
                <w:w w:val="98"/>
              </w:rPr>
              <w:t>51-0407811</w:t>
            </w:r>
          </w:p>
        </w:tc>
      </w:tr>
      <w:tr>
        <w:trPr>
          <w:trHeight w:val="157"/>
        </w:trPr>
        <w:tc>
          <w:tcPr>
            <w:tcW w:w="3960" w:type="dxa"/>
            <w:vAlign w:val="bottom"/>
          </w:tcPr>
          <w:p>
            <w:pPr>
              <w:jc w:val="center"/>
              <w:ind w:right="2005"/>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20" w:type="dxa"/>
            <w:vAlign w:val="bottom"/>
          </w:tcPr>
          <w:p>
            <w:pPr>
              <w:jc w:val="center"/>
              <w:ind w:left="2025"/>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tcPr>
          <w:p>
            <w:pPr>
              <w:jc w:val="center"/>
              <w:ind w:right="200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20" w:type="dxa"/>
            <w:vAlign w:val="bottom"/>
          </w:tcPr>
          <w:p>
            <w:pPr>
              <w:jc w:val="center"/>
              <w:ind w:lef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9920 Pacific Heights Blvd., Suite 150, San Diego, CA 92121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369-7100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133350</wp:posOffset>
            </wp:positionV>
            <wp:extent cx="12172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6"/>
        </w:trPr>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133350</wp:posOffset>
            </wp:positionV>
            <wp:extent cx="1217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a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8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378"/>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Indicate by a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8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951"/>
        </w:trPr>
        <w:tc>
          <w:tcPr>
            <w:tcW w:w="8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Accelerated filer</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40"/>
        </w:trPr>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8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1" w:lineRule="exact"/>
        <w:rPr>
          <w:sz w:val="20"/>
          <w:szCs w:val="20"/>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17"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6" w:lineRule="exact"/>
        <w:rPr>
          <w:sz w:val="20"/>
          <w:szCs w:val="20"/>
          <w:color w:val="auto"/>
        </w:rPr>
      </w:pPr>
    </w:p>
    <w:p>
      <w:pPr>
        <w:ind w:right="60"/>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240.10D-1(b). </w:t>
      </w:r>
      <w:r>
        <w:rPr>
          <w:rFonts w:ascii="MS PGothic" w:cs="MS PGothic" w:eastAsia="MS PGothic" w:hAnsi="MS PGothic"/>
          <w:sz w:val="18"/>
          <w:szCs w:val="18"/>
          <w:color w:val="auto"/>
        </w:rPr>
        <w:t>☐</w:t>
      </w:r>
    </w:p>
    <w:p>
      <w:pPr>
        <w:spacing w:after="0" w:line="77"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based on the closing price per share of Registrant's Common Stock on the Nasdaq Capital Market was approximately $28.7 million as of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13, 2024, there were 6,662,857 shares of the registrant’s common stock, par value $0.00000002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0" w:type="dxa"/>
            <w:vAlign w:val="bottom"/>
            <w:gridSpan w:val="10"/>
          </w:tcPr>
          <w:p>
            <w:pPr>
              <w:jc w:val="center"/>
              <w:ind w:right="3160"/>
              <w:spacing w:after="0"/>
              <w:rPr>
                <w:sz w:val="20"/>
                <w:szCs w:val="20"/>
                <w:color w:val="auto"/>
              </w:rPr>
            </w:pPr>
            <w:r>
              <w:rPr>
                <w:rFonts w:ascii="Times New Roman" w:cs="Times New Roman" w:eastAsia="Times New Roman" w:hAnsi="Times New Roman"/>
                <w:sz w:val="18"/>
                <w:szCs w:val="18"/>
                <w:color w:val="auto"/>
              </w:rPr>
              <w:t>MEI PHARMA, INC.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0" w:type="dxa"/>
            <w:vAlign w:val="bottom"/>
            <w:gridSpan w:val="10"/>
          </w:tcPr>
          <w:p>
            <w:pPr>
              <w:jc w:val="center"/>
              <w:ind w:right="31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Page</w:t>
            </w:r>
          </w:p>
        </w:tc>
        <w:tc>
          <w:tcPr>
            <w:tcW w:w="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80" w:type="dxa"/>
            <w:vAlign w:val="bottom"/>
            <w:gridSpan w:val="5"/>
          </w:tcPr>
          <w:p>
            <w:pPr>
              <w:spacing w:after="0" w:line="169" w:lineRule="exact"/>
              <w:rPr>
                <w:sz w:val="20"/>
                <w:szCs w:val="20"/>
                <w:color w:val="auto"/>
              </w:rPr>
            </w:pPr>
            <w:r>
              <w:rPr>
                <w:rFonts w:ascii="Times New Roman" w:cs="Times New Roman" w:eastAsia="Times New Roman" w:hAnsi="Times New Roman"/>
                <w:sz w:val="16"/>
                <w:szCs w:val="16"/>
                <w:b w:val="1"/>
                <w:bCs w:val="1"/>
                <w:color w:val="0000FF"/>
              </w:rPr>
              <w:t>PART I</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Item 1:</w:t>
            </w:r>
          </w:p>
        </w:tc>
        <w:tc>
          <w:tcPr>
            <w:tcW w:w="660" w:type="dxa"/>
            <w:vAlign w:val="bottom"/>
            <w:gridSpan w:val="4"/>
          </w:tcPr>
          <w:p>
            <w:pPr>
              <w:spacing w:after="0"/>
              <w:rPr>
                <w:sz w:val="21"/>
                <w:szCs w:val="21"/>
                <w:color w:val="auto"/>
              </w:rPr>
            </w:pP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Business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1A:</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1B:</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1C:</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2:</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3:</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4:</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r>
      <w:tr>
        <w:trPr>
          <w:trHeight w:val="479"/>
        </w:trPr>
        <w:tc>
          <w:tcPr>
            <w:tcW w:w="20" w:type="dxa"/>
            <w:vAlign w:val="bottom"/>
            <w:tcBorders>
              <w:bottom w:val="single" w:sz="8" w:color="0000EE"/>
            </w:tcBorders>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6"/>
              </w:rPr>
              <w:t>PART II</w:t>
            </w:r>
          </w:p>
        </w:tc>
        <w:tc>
          <w:tcPr>
            <w:tcW w:w="580" w:type="dxa"/>
            <w:vAlign w:val="bottom"/>
            <w:gridSpan w:val="3"/>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5:</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Market for the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6:</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7:</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7a:</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8:</w:t>
            </w:r>
          </w:p>
        </w:tc>
        <w:tc>
          <w:tcPr>
            <w:tcW w:w="9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 xml:space="preserve">Consolidated </w:t>
            </w:r>
            <w:r>
              <w:rPr>
                <w:rFonts w:ascii="Times New Roman" w:cs="Times New Roman" w:eastAsia="Times New Roman" w:hAnsi="Times New Roman"/>
                <w:sz w:val="16"/>
                <w:szCs w:val="16"/>
                <w:color w:val="0000FF"/>
              </w:rPr>
              <w:t>Financial Statements and Supplementary Data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9A:</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9B:</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9C:</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r>
      <w:tr>
        <w:trPr>
          <w:trHeight w:val="480"/>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6"/>
              </w:rPr>
              <w:t>PART III</w:t>
            </w: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10:</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11:</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12:</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13:</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14:</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0000FF"/>
              </w:rPr>
              <w:t>PART IV</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Item 15:</w:t>
            </w:r>
          </w:p>
        </w:tc>
        <w:tc>
          <w:tcPr>
            <w:tcW w:w="540" w:type="dxa"/>
            <w:vAlign w:val="bottom"/>
            <w:gridSpan w:val="2"/>
          </w:tcPr>
          <w:p>
            <w:pPr>
              <w:spacing w:after="0"/>
              <w:rPr>
                <w:sz w:val="21"/>
                <w:szCs w:val="21"/>
                <w:color w:val="auto"/>
              </w:rPr>
            </w:pP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EE"/>
            </w:tcBorders>
            <w:gridSpan w:val="5"/>
          </w:tcPr>
          <w:p>
            <w:pPr>
              <w:spacing w:after="0" w:line="20" w:lineRule="exact"/>
              <w:rPr>
                <w:sz w:val="1"/>
                <w:szCs w:val="1"/>
                <w:color w:val="auto"/>
              </w:rPr>
            </w:pPr>
          </w:p>
        </w:tc>
        <w:tc>
          <w:tcPr>
            <w:tcW w:w="1380" w:type="dxa"/>
            <w:vAlign w:val="bottom"/>
            <w:gridSpan w:val="7"/>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Item 16:</w:t>
            </w:r>
          </w:p>
        </w:tc>
        <w:tc>
          <w:tcPr>
            <w:tcW w:w="940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This Annual Report on Form 10-K (Annual Report) includes forward-looking statements, which involve a number of risks and uncertainties.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future plans, strategies, intentions, expectations, objectives, goals or prospects and other statements that are not historical facts are also forward-looking statements. Discussions containing these forward-looking statements may be found, among other places, in “Business” and “Management’s Discussion and Analysis of Financial Condition and Results of Operations” in this Annual Report. For such statements, we claim the protection of the Private Securities Litigation Reform Act of 1995. Readers of this Annual Report are cautioned not to place undue reliance on these forward-looking statements, which speak only as of the time this Annual Report was filed with the Securities and Exchange Commission, or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those discussed in “Risk Factors” and in “Management’s Discussion and Analysis of Financial Condition and Results of Operations” of this Annual Report. Other sections of this report and our other filings with the SEC may include additional factors which could adversely impact our business and financial performance. Moreover, we operate in a very competitive and rapidly changing environment. There is substantial uncertainty regarding the impact of activist investors, rising inflation and the increase in interest rates as a result, a potential economic downturn,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 to reflect events or circumstances that arise after the filing of this Annual Report or documents incorporated by reference herein that include forward-looking statements.</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“MEI Pharma,” “MEI,” “we,” “us” and “our” refer to MEI Pharma, Inc.</w:t>
      </w:r>
    </w:p>
    <w:p>
      <w:pPr>
        <w:spacing w:after="0" w:line="11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MEI Pharma, Inc. and our corporate logo are registered service marks of MEI Pharma. Any other brand names or trademarks appearing in this Annual Report are the property of their respective 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MEI Pharma, Inc. (Nasdaq: MEIP) is a </w:t>
      </w:r>
      <w:r>
        <w:rPr>
          <w:rFonts w:ascii="Times New Roman" w:cs="Times New Roman" w:eastAsia="Times New Roman" w:hAnsi="Times New Roman"/>
          <w:sz w:val="18"/>
          <w:szCs w:val="18"/>
          <w:color w:val="000000"/>
        </w:rPr>
        <w:t>pharmaceutical company that has been developing novel and differentiated cancer therapies. We</w:t>
      </w:r>
      <w:r>
        <w:rPr>
          <w:rFonts w:ascii="Times New Roman" w:cs="Times New Roman" w:eastAsia="Times New Roman" w:hAnsi="Times New Roman"/>
          <w:sz w:val="18"/>
          <w:szCs w:val="18"/>
          <w:color w:val="231F20"/>
        </w:rPr>
        <w:t xml:space="preserve"> built our pipeline by acquiring promising cancer agents and creating value in 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 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and ME-344, an intravenous small molecule mitochondrial inhibitor targeting the oxidative phosphorylation pathway.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22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beginning August 1, 2024, which will continue in stages as our operational and strategic direction evolves. We have discontinued the clinical development of voruciclib, while certain nonclinical activities related to our drug candidate assets will continue to be conducted by us. As part of the review of strategic alternatives, we may consider options such as out-licensing opportunities for existing programs and merger and acquisition opportunities. Consistent with our intention to preserve cash, David M. Urso, our President and Chief Executive Officer, and Richard Ghalie, M.D., our Chief Medical Officer, have stepped down effective August 1, 2024. Mr. Urso also left the Board at that date. We have entered into consulting agreements with both Mr. Urso and Dr. Ghalie under which they will remain available to assist us in our strategic efforts. Charles V. Baltic III, the Chairperson of the Board, also stepped down from the Board contemporaneously with the announcement on July 22, 2024. Our Board has appointed Justin J. File, our current Chief Financial Officer, to assume the position of Acting Chief Executive Officer and has appointed Frederick W. Driscoll as Chairperson of the Board.</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119" w:lineRule="exact"/>
        <w:rPr>
          <w:sz w:val="20"/>
          <w:szCs w:val="20"/>
          <w:color w:val="auto"/>
        </w:rPr>
      </w:pPr>
    </w:p>
    <w:p>
      <w:pPr>
        <w:ind w:right="80" w:firstLine="554"/>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(Cooperation Agreement) with Anson Funds Management LP and Cable Car Capital LLC (Anson and Cable Car, respectively), which, among other non-financial related items, provided for a capital return to stockholders in the form of a dividend in the amount of $1.75 per share of common stock, as further discussed below. Additionally, the Cooperation Agreement contemplated a potential second return of capital not to exceed $9.33 million (Potential Second Return of Capital) if authorized by our Board should our ongoing ME-344 Phase 1b trial fail to meet certain defined endpoints or our Board determines not to proceed with a second cohort.</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Anson's and Cable Car’s fees and expenses related to their engagement with us as of the date of the Cooperation Agreement in an amount of $1.1 million, which is recorded within general and administrative expenses in the consolidated statements of operations for the fiscal year ended June 30, 2024.</w:t>
      </w:r>
    </w:p>
    <w:p>
      <w:pPr>
        <w:spacing w:after="0" w:line="72" w:lineRule="exact"/>
        <w:rPr>
          <w:sz w:val="20"/>
          <w:szCs w:val="20"/>
          <w:color w:val="auto"/>
        </w:rPr>
      </w:pPr>
    </w:p>
    <w:p>
      <w:pPr>
        <w:ind w:right="120" w:firstLine="554"/>
        <w:spacing w:after="0" w:line="282" w:lineRule="auto"/>
        <w:rPr>
          <w:sz w:val="20"/>
          <w:szCs w:val="20"/>
          <w:color w:val="auto"/>
        </w:rPr>
      </w:pPr>
      <w:r>
        <w:rPr>
          <w:rFonts w:ascii="Times New Roman" w:cs="Times New Roman" w:eastAsia="Times New Roman" w:hAnsi="Times New Roman"/>
          <w:sz w:val="18"/>
          <w:szCs w:val="18"/>
          <w:color w:val="auto"/>
        </w:rPr>
        <w:t>In April 2024, the Board unanimously determined not to proceed with the Potential Second Return of Capital under the Cooperation Agreement in order to conserve resources and align strategic investment, and thereby extend our operational runway.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Cash Dividend</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(Capital Return). The total dividend of $11.7 million was paid on December 6, 2023, and was recorded as a reduction of additional paid-in capital in the consolidated statements of stockholders' equity, as we have an accumulated deficit, rather than retained earnings.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Events</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Subject to approval by our stockholders, we, Infinity Pharmaceuticals, Inc. (Infinity), and Meadow Merger Sub, Inc., our wholly owned subsidiary (Merger Sub) entered into an agreement and plan of merger (Merger Agreement) in February 2023. At a special meeting of our stockholders held on July 23, 2023, the transaction did not obtain the necessary approval from our stockholders and, accordingly, on July 23, 2023, we sent Infinity a notice terminating the Merger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In December 2022, we announced plans to realign our clinical development efforts after jointly deciding with our development partner, Kyowa Kirin Co., Ltd. (KKC), to discontinue development of our lead drug candidate, zandelisib, outside of Japan. In connection with the realignment, we focused ongoing development efforts on our two clinical assets in Phase 1 and Phase 1b clinical programs, voruciclib and ME-344, respectively. Additionally, we initiated a staggered workforce reduction, affecting 28 employees in December 2022 and an additional 26 employees through June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Candidate Development Programs</w:t>
      </w:r>
    </w:p>
    <w:p>
      <w:pPr>
        <w:spacing w:after="0" w:line="22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Our drug candidate pipeline includes voruciclib, an oral CDK9 inhibitor, and ME-344, an intravenous small molecule inhibitor mitochondrial oxidative phosphorylation (OXHPHOS). Each program has completed several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45720</wp:posOffset>
            </wp:positionV>
            <wp:extent cx="6172200" cy="1440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All ongoing clinical trial efforts for voruciclib have been ceased as of July 22, 2024. Voruciclib is a selective orally administered CDK9 inhibitor. Voruciclib recently completed a Phase 1 trial evaluating dose and schedule in patients with acute myeloid leukemia (AML) in combination with the B-cell lymphoma 2 (BCL-2) inhibitor venetoclax (marketed as Venclexta®). Voruciclib is also being evaluated in pre-clinical studies to explore potential activity in various solid tumor cancers including in combination with therapies that target the RAS signaling pathway, such as KRAS inhibitors.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CDK9 has important functions in cell cycle regulation, including the modulation of two therapeutic targets in cancer:</w:t>
      </w:r>
    </w:p>
    <w:p>
      <w:pPr>
        <w:spacing w:after="0" w:line="117" w:lineRule="exact"/>
        <w:rPr>
          <w:sz w:val="20"/>
          <w:szCs w:val="20"/>
          <w:color w:val="auto"/>
        </w:rPr>
      </w:pPr>
    </w:p>
    <w:p>
      <w:pPr>
        <w:ind w:left="1020" w:right="220" w:hanging="503"/>
        <w:spacing w:after="0" w:line="266"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Directly inhibiting MCL1 and MYC has historically been difficult, but CDK9 is a promising approach to indirectly target these oncogenes.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w:t>
      </w:r>
      <w:r>
        <w:rPr>
          <w:rFonts w:ascii="Times New Roman" w:cs="Times New Roman" w:eastAsia="Times New Roman" w:hAnsi="Times New Roman"/>
          <w:sz w:val="18"/>
          <w:szCs w:val="18"/>
          <w:color w:val="000000"/>
        </w:rPr>
        <w:t>and is associated with poor prognosis in these patients. Also important, high levels of MCL1 expression are associated with resistance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venetoclax.</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31F20"/>
        </w:rPr>
        <w:t>also demonstrated that voruciclib downregulates MCL1, which is relevant for the synergy between voruciclib and venetoclax, and further that voruciclib downregulates MYC, which also contributes to the synergies with venetoclax.</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231F20"/>
        </w:rPr>
        <w:t>Subsequently, and consistent with the reported pre-clinical studies, data from an ongoing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AML.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231F20"/>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231F20"/>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Programs</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a recent Phase 1 clinical trial, we evaluated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 total of 41 patients with R/R AML, median age 67 years (range 34-89), enrolled in this dose escalation stage of the study evaluating voruciclib in combination with venetoclax. These patients were generally heavily pretreated; the median number of prior therapies was 2 (range 1-7), and 18 (44%) patients had ≥3 prior lines. Almost all patients (39/41) were treated with venetoclax in an earlier line of therapy.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30 (73%) patients were noted as being in an adverse 2017 ELN Risk Category due to adverse cytogenetics and molecular mutations.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Of the 32 patients administered voruciclib at doses ≥ 100 mg in combination with venetoclax 10 (31%) achieved disease control.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6 months in one patient, 9 months and ongoing in the second patient, and the third patient was referred to stem cell transplant. Further, an additional 7 patients had stable disease which lasted more than 90 days and 13 had stable disease &lt; 3 months.</w:t>
      </w:r>
    </w:p>
    <w:p>
      <w:pPr>
        <w:spacing w:after="0" w:line="75" w:lineRule="exact"/>
        <w:rPr>
          <w:sz w:val="20"/>
          <w:szCs w:val="20"/>
          <w:color w:val="auto"/>
        </w:rPr>
      </w:pPr>
    </w:p>
    <w:p>
      <w:pPr>
        <w:ind w:right="360" w:firstLine="554"/>
        <w:spacing w:after="0" w:line="258" w:lineRule="auto"/>
        <w:rPr>
          <w:sz w:val="20"/>
          <w:szCs w:val="20"/>
          <w:color w:val="auto"/>
        </w:rPr>
      </w:pPr>
      <w:r>
        <w:rPr>
          <w:rFonts w:ascii="Times New Roman" w:cs="Times New Roman" w:eastAsia="Times New Roman" w:hAnsi="Times New Roman"/>
          <w:sz w:val="18"/>
          <w:szCs w:val="18"/>
          <w:color w:val="auto"/>
        </w:rPr>
        <w:t>In the 28 patients administered voruciclib in combination with venetoclax and with blood samples available for analysis, initial results from correlative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 Additional evidence of anti-leukemic activity was also demonstrated including decreases in bone marrow blast counts post voruciclib/venetoclax administration versus pre drug administration in ~50% (11/21)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231F20"/>
        </w:rPr>
        <w:t xml:space="preserve">Before ending the study, three patients were administered 150 mg voruciclib over 21 </w:t>
      </w:r>
      <w:r>
        <w:rPr>
          <w:rFonts w:ascii="Times New Roman" w:cs="Times New Roman" w:eastAsia="Times New Roman" w:hAnsi="Times New Roman"/>
          <w:sz w:val="18"/>
          <w:szCs w:val="18"/>
          <w:color w:val="000000"/>
        </w:rPr>
        <w:t>consecutive days in a 28-day cycle</w:t>
      </w:r>
      <w:r>
        <w:rPr>
          <w:rFonts w:ascii="Times New Roman" w:cs="Times New Roman" w:eastAsia="Times New Roman" w:hAnsi="Times New Roman"/>
          <w:sz w:val="18"/>
          <w:szCs w:val="18"/>
          <w:color w:val="231F20"/>
        </w:rPr>
        <w:t xml:space="preserve"> in combination with venetoclax to increase dose intensity and potentially optimize patient response based upon the rebound of peripheral blast counts in 44% (8/18) of the patients between Day 14 and Day 28 when voruciclib was stopped while continuing venetoclax.</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ME-344: Mitochondrial Inhibitor with Combinatorial Potential</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231F20"/>
        </w:rPr>
        <w:t xml:space="preserve">Nonclinical activities related to ME-344 are to continue following the announcement of the exploration of strategic alternatives on July 22, 2024. MEI-344 is a novel drug candidate that inhibits mitochondrial OXPHOS, a fundamental metabolic pathway involved in the production of adenosine triphosphate (ATP) in the mitochondria. ATP provides energy to drive many metabolic cell processes, including division, proliferation, and growth. By disrupting the production of ATP, ME-344 has been shown to induce cancer cell death in nonclinical models and was associated with antitumor activity in clinical studies. </w:t>
      </w:r>
      <w:r>
        <w:rPr>
          <w:rFonts w:ascii="Times New Roman" w:cs="Times New Roman" w:eastAsia="Times New Roman" w:hAnsi="Times New Roman"/>
          <w:sz w:val="18"/>
          <w:szCs w:val="18"/>
          <w:color w:val="000000"/>
        </w:rPr>
        <w:t>ME-344 has also demonstrated clinical activity in multiple clinical studies in combinations, including with bevacizumab (Avastin®).</w:t>
      </w:r>
    </w:p>
    <w:p>
      <w:pPr>
        <w:spacing w:after="0" w:line="75"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Recently, </w:t>
      </w:r>
      <w:r>
        <w:rPr>
          <w:rFonts w:ascii="Times New Roman" w:cs="Times New Roman" w:eastAsia="Times New Roman" w:hAnsi="Times New Roman"/>
          <w:sz w:val="18"/>
          <w:szCs w:val="18"/>
          <w:color w:val="000000"/>
        </w:rPr>
        <w:t>we were advancing ME-344 via development of a new formulation with the goal of increasing biological activity, improving patient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convenience of administration and increasing commercial opportunity. We believe a new formulation represents the optimal approach to pursue the potential of the program after observing encouraging data in two clinical studies evaluating the prior ME-344 formulation in combination with bevacizumab (Avastin®).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ME-344 Scientific Overview: Cancer Metabolism</w:t>
      </w:r>
    </w:p>
    <w:p>
      <w:pPr>
        <w:spacing w:after="0" w:line="119" w:lineRule="exact"/>
        <w:rPr>
          <w:sz w:val="20"/>
          <w:szCs w:val="20"/>
          <w:color w:val="auto"/>
        </w:rPr>
      </w:pPr>
    </w:p>
    <w:p>
      <w:pPr>
        <w:ind w:right="440" w:firstLine="509"/>
        <w:spacing w:after="0" w:line="312" w:lineRule="auto"/>
        <w:rPr>
          <w:sz w:val="20"/>
          <w:szCs w:val="20"/>
          <w:color w:val="auto"/>
        </w:rPr>
      </w:pPr>
      <w:r>
        <w:rPr>
          <w:rFonts w:ascii="Times New Roman" w:cs="Times New Roman" w:eastAsia="Times New Roman" w:hAnsi="Times New Roman"/>
          <w:sz w:val="17"/>
          <w:szCs w:val="17"/>
          <w:color w:val="auto"/>
        </w:rPr>
        <w:t xml:space="preserve">Energy supplied in the form of ATP fuels tumor metabolism supporting cell division and growth. Accordingly, </w:t>
      </w:r>
      <w:r>
        <w:rPr>
          <w:rFonts w:ascii="Times New Roman" w:cs="Times New Roman" w:eastAsia="Times New Roman" w:hAnsi="Times New Roman"/>
          <w:sz w:val="17"/>
          <w:szCs w:val="17"/>
          <w:color w:val="231F20"/>
        </w:rPr>
        <w:t>tumor cells often display a high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metabolic rate to support tumor cell survival and proliferation. This heightened metabolism requires a continual supply of energy in the form of ATP.</w:t>
      </w:r>
    </w:p>
    <w:p>
      <w:pPr>
        <w:spacing w:after="0" w:line="3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Anti-angiogenics, such as the vascular endothelial growth factor (VEGF) inhibitor bevacizumab, have the potential to normalize vasculature and decrease reliance on glycolysis for ATP. The resulting reduction in glycolysis may trigger an increased dependence on mitochondrial ATP production for energy to support continued tumor proliferation. In such cases of tumor plasticity, the combination of ME-344 and bevacizumab may induce metabolic synthetic lethality, providing a novel therapeutic strategy. Specifically, leveraging the ability of antiangiogenics like bevacizumab to reduce glycolysis and force tumor cells to switch to mitochondrial respiration via OXPHOS, which is inhibited by ME-344, may reduce access to ATP needed for cell division and growth in tumors.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obtained initial clinical data on this approach in </w:t>
      </w:r>
      <w:r>
        <w:rPr>
          <w:rFonts w:ascii="Times New Roman" w:cs="Times New Roman" w:eastAsia="Times New Roman" w:hAnsi="Times New Roman"/>
          <w:sz w:val="18"/>
          <w:szCs w:val="18"/>
          <w:color w:val="231F20"/>
        </w:rPr>
        <w:t>a completed investigator-initiated, multi-center, randomized, controlled, window of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clinical trial evaluating ME-344 in combination with bevacizumab that enrolled a total of 42 patients with human epidermal growth factor receptor 2 (HER2) negative breast cancer. Further clinical support for the combination of ME-344 in combination with bevacizumab was reported in April 2024 from a Phase 1b study of patients with </w:t>
      </w:r>
      <w:r>
        <w:rPr>
          <w:rFonts w:ascii="Times New Roman" w:cs="Times New Roman" w:eastAsia="Times New Roman" w:hAnsi="Times New Roman"/>
          <w:sz w:val="18"/>
          <w:szCs w:val="18"/>
          <w:color w:val="000000"/>
        </w:rPr>
        <w:t>relapsed metastatic colorectal cancer (mCRC) after failure of standard therapies. This study demonstrated clinical activity,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an effect on progression free survival in a cohort of 23 patients.</w:t>
      </w:r>
    </w:p>
    <w:p>
      <w:pPr>
        <w:spacing w:after="0" w:line="7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An earlier Phase 1 clinical study evaluating ME-344 as a single-agent in patients with refractory solid tumors also demonstrated anti-tumor activity, further validating the potential of mitochondrial inhibition as a promising therapeutic modality.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2" w:lineRule="exact"/>
        <w:rPr>
          <w:sz w:val="20"/>
          <w:szCs w:val="20"/>
          <w:color w:val="auto"/>
        </w:rPr>
      </w:pPr>
    </w:p>
    <w:p>
      <w:pPr>
        <w:ind w:right="180" w:firstLine="554"/>
        <w:spacing w:after="0" w:line="281" w:lineRule="auto"/>
        <w:rPr>
          <w:sz w:val="20"/>
          <w:szCs w:val="20"/>
          <w:color w:val="auto"/>
        </w:rPr>
      </w:pPr>
      <w:r>
        <w:rPr>
          <w:rFonts w:ascii="Times New Roman" w:cs="Times New Roman" w:eastAsia="Times New Roman" w:hAnsi="Times New Roman"/>
          <w:sz w:val="17"/>
          <w:szCs w:val="17"/>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development opportunity.</w:t>
      </w:r>
    </w:p>
    <w:p>
      <w:pPr>
        <w:spacing w:after="0" w:line="5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provided evidence for the combinatorial use of ME-344 with anti-angiogenic therapeutics.</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3" w:lineRule="exact"/>
        <w:rPr>
          <w:sz w:val="20"/>
          <w:szCs w:val="20"/>
          <w:color w:val="auto"/>
        </w:rPr>
      </w:pPr>
    </w:p>
    <w:p>
      <w:pPr>
        <w:ind w:left="1020" w:right="80" w:hanging="503"/>
        <w:spacing w:after="0" w:line="250"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absolute Ki67 decreases were 13.3 compared to an increase of 1.1 in the bevacizumab monotherapy group (P=0.01).</w:t>
      </w:r>
    </w:p>
    <w:p>
      <w:pPr>
        <w:ind w:left="1020" w:right="400" w:hanging="503"/>
        <w:spacing w:after="0" w:line="250"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relative Ki67 decreases were 23% compared to an increase of 186% in the bevacizumab monotherapy group (P &lt; 0.01).</w:t>
      </w:r>
    </w:p>
    <w:p>
      <w:pPr>
        <w:jc w:val="both"/>
        <w:ind w:left="1020" w:right="180" w:hanging="503"/>
        <w:spacing w:after="0" w:line="255" w:lineRule="auto"/>
        <w:tabs>
          <w:tab w:leader="none" w:pos="102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7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231F20"/>
        </w:rPr>
        <w:t>Treatment was generally well tolerated; three grade 3 adverse events of high blood pressure were reported, two in the ME-344 arm and one in the bevacizumab monotherapy arm.</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Building on the clinical study evaluating patients with breast cancer, a Phase 1b study evaluating ME-344 in combination with bevacizumab in patients with relapsed metastatic colorectal cancer (mCRC) after failure of standard therapies was initiated. The study was designed to evaluate ME-344 plus bevacizumab in up to two cohorts of approximately 20 patients each. The option to enroll the second cohort was conditioned upon Cohort 1 reaching a predetermined non-progression threshold of at least 20% at four months. Patients in the study were treated until disease progression or intolerability. The primary endpoint of the study was 16-week progression free survival (PFS), and secondary endpoints included overall PFS, duration of response, overall survival and safety.</w:t>
      </w:r>
    </w:p>
    <w:p>
      <w:pPr>
        <w:spacing w:after="0" w:line="79"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231F20"/>
        </w:rPr>
        <w:t>ME-344 was administered once weekly on Days 1, 8 and 15 combined with bevacizumab on Days 1 and 15 of each 28-day cycle. Cohort 1 enrolled a total of 23 patients with relapsed mCRC. Patients were generally heavily pretreated; the median number of prior lines of therapy was 4 (range 1-8), 18 (78%) patients had ≥3 prior lines, and all patients had previously received bevacizumab and standard chemotherapy. As reported in April 2024, the combination was generally well tolerated with no overlapping toxicities observed. Two patients (9%) discontinued therapy due to an adverse event: fatigue considered related to study drugs and sepsis considered unrelated. The most common (≥10% of patients) drug-related adverse events (all grades/grade ≥3) were fatigue in 8 (35%) / 3 (13%) patients and abdominal pain in 3 (13%) / 2 (9%) patients.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firstLine="554"/>
        <w:spacing w:after="0" w:line="258" w:lineRule="auto"/>
        <w:rPr>
          <w:sz w:val="20"/>
          <w:szCs w:val="20"/>
          <w:color w:val="auto"/>
        </w:rPr>
      </w:pPr>
      <w:r>
        <w:rPr>
          <w:rFonts w:ascii="Times New Roman" w:cs="Times New Roman" w:eastAsia="Times New Roman" w:hAnsi="Times New Roman"/>
          <w:sz w:val="18"/>
          <w:szCs w:val="18"/>
          <w:color w:val="231F20"/>
        </w:rPr>
        <w:t>It was further reported that in the first cohort, 5 of 20 (25%) evaluable patients completed 16 weeks of therapy without evidence of disease progression, exceeding the 20% predetermined threshold as set forth in the Clinical Study Protocol to proceed to Cohort 2. The median PFS was 1.9 months, the 4-month PFS rate was 31.2%, and the median overall survival was 6.7 months with 15 patients censored at the time of analysis. Nine (45%) of the 20 evaluable patients had stable disease. Although Cohort 1 exceeded the predetermined PFS threshold, we decided not to initiate enrollment in a second cohort.</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Results from an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81" w:lineRule="exact"/>
        <w:rPr>
          <w:sz w:val="20"/>
          <w:szCs w:val="20"/>
          <w:color w:val="auto"/>
        </w:rPr>
      </w:pPr>
    </w:p>
    <w:p>
      <w:pPr>
        <w:ind w:right="320" w:firstLine="509"/>
        <w:spacing w:after="0" w:line="289" w:lineRule="auto"/>
        <w:rPr>
          <w:sz w:val="20"/>
          <w:szCs w:val="20"/>
          <w:color w:val="auto"/>
        </w:rPr>
      </w:pPr>
      <w:r>
        <w:rPr>
          <w:rFonts w:ascii="Times New Roman" w:cs="Times New Roman" w:eastAsia="Times New Roman" w:hAnsi="Times New Roman"/>
          <w:sz w:val="17"/>
          <w:szCs w:val="17"/>
          <w:color w:val="231F20"/>
        </w:rPr>
        <w:t>We were continuing to pursue ME-344 via development of a new formulation to advance our novel approach to inducing synthetic lethality in tumors in combination with VEGF inhibitors such as bevacizumab (Avastin®). We have already initiated research and development activity of the new formulation, with the goal of increasing biological activity, improving patient convenience of administration and increasing commercial opportunity.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KKC under a global license, development and commercialization agreement entered into in April 2020.</w:t>
      </w:r>
    </w:p>
    <w:p>
      <w:pPr>
        <w:spacing w:after="0" w:line="54"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231F20"/>
        </w:rPr>
        <w:t>In March 2022, we and KKC reported the outcome of an end of Phase 2 meeting with the FDA wherein the agency discouraged a filing based on data from a single-arm Phase 2 TIDAL trial. At this meeting, the FDA stated that data generated from single arm studies such as the Phase 2 TIDAL trial are insufficient to adequately assess the risk/benefit of PI3Kδ inhibitors evaluating indolent non-Hodgkin lymphoma. At that time, the FDA emphasized that we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PI3Kδ inhibitors for hematologic malignancies should be supported by randomized data.</w:t>
      </w:r>
    </w:p>
    <w:p>
      <w:pPr>
        <w:spacing w:after="0" w:line="7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80"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231F20"/>
        </w:rPr>
        <w:t>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generated to date.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July 14, 2023, we entered into a Termination Agreement (the Termination Agreement) with KKC to terminate all agreements between the parties and cease further zandelisib clinical development globally. Activities associated with the compassionate use supply and wind down of the KKC Commercialization Agreement were completed in fiscal year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31F20"/>
        </w:rPr>
        <w:t>Commercialization Agreement included potential regulatory and commercialization milestone payments plus royalties on net sales of zandelisib in Japan, which are tiered beginning in the teens. Prior to the execution of the Termination Agreement on July 14, 2023, KKC was responsible for the development and commercialization of zandelisib in the Ex-U.S. and, subject to certain exceptions,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7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231F20"/>
        </w:rPr>
        <w:t>As noted above, on July 14, 2023, we entered into a Termination Agreement with KKC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 Agreement during the three months ended September 30, 2023, we recognized the $64.5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marketplace for our drug candidates is highly competitive. A number of other companies have products or drug candidates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products that receive regulatory approval, such products may not compete successfully with products produced by our competitors or with products that may subsequently receive regulatory approval.</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marketing and commercialization than we do. They compete with us in recruiting sites and eligible patients to participate in clinical studies and in attracting development and/or commercialization partners. They also license technologies that are competitive with our technologies. As a result, our competitors may be able to more easily develop technologies and products that would render our technologies or our drug candidates obsolete or non-competitive.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231F20"/>
        </w:rPr>
        <w:t>We own, by assignment or exclusive license, worldwide rights to each of our current drug candidates. Our intellectual property portfolio includes approximately 38 issued U.S. patents, 201 issued foreign patents, 10 pending U.S. patent applications, and 83 pending foreign applications.</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231F20"/>
        </w:rPr>
        <w:t>We have acquired exclusive worldwide rights to develop, manufacture and commercialize voruciclib from Presage Biosciences, Inc. (Presage). The U.S. Patent and Trademark Office (USPTO) has allowed or issued 19 U.S. patents covering the composition of matter, pharmaceutical compositions, and methods of use to treat cancer which are projected to expire between 2026 and 2037, not including any patent term extension. There are approximately 90 allowed or issued foreign patents, 3 pending U.S. provisional patent applications, and approximately 60 pending foreign patent applications for voruciclib, related compounds, and related methods of use.</w:t>
      </w:r>
    </w:p>
    <w:p>
      <w:pPr>
        <w:spacing w:after="0" w:line="183"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231F20"/>
        </w:rPr>
        <w:t>We have acquired, by assignment, patents and patent applications from Novogen, our former majority shareholder, relating to a family of isoflavonoid compounds, including ME-344. The USPTO has issued 12 patents covering ME-344 as composition of matter,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231F20"/>
        </w:rPr>
        <w:t>pharmaceutical compositions, and methods of use to treat cancer. There are approximately 61 foreign patents granted or allowed. The issued U.S. patents with composition of matter claims covering ME-344 are expected to expire between 2025 and 2031, not including patent term extension. There are 5 pending U.S. patent applications, 1 pending Patient Cooperation Treaty (PCT) and 10 pending foreign patent applications directed to ME-344 and related compounds or methods of use thereof.</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We have acquired, by assignment, worldwide rights to zandelisib and other related compounds from Pathway Therapeutics, Inc. The USPTO has issued seven patents covering zandelisib as composition of matter, pharmaceutical compositions, and methods of use to treat cancer. The issued U.S. patents with composition of matter claims covering zandelisib are projected to expire between 2031 and 2032, not including any patent term extension. There are approximately 50 foreign patents granted or allowed. There are 2 pending U.S. patent applications, 1 pending PTC application and approximately 11 pending foreign patent applications directed to zandelisib and related compounds or methods of use thereof.</w:t>
      </w:r>
    </w:p>
    <w:p>
      <w:pPr>
        <w:spacing w:after="0" w:line="183"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231F20"/>
        </w:rPr>
        <w:t>Our success depends in large part on our ability to protect our proprietary technologies, compounds and information, and to operate without infringing the proprietary rights of third parties. We rely on a combination of patent, trade secret, copyright, and trademark laws, as well as confidentiality, licensing and other agreements, to establish and protect our proprietary rights. We seek patent protection for our key inventions, including drug candidates we identify, routes for chemical synthesis and pharmaceutical formulations. There is no assurance that any of our pending patent applications will issue, or that any of our patents will be enforceable or will cover a drug or other commercially significant product or method. In addition, we regularly review our patent portfolio to identify patents and patent applications that we deem to have relatively low value to our ongoing business operations for potential abandonment. There is also no assurance that we will correctly identify which of our patents and patent applications should be maintained and which should be abandoned. The term of most of our other current patents commenced, and most of our future patents, if any, will commence, on the date of issuance and terminate 20 years from the earliest effective filing date of the non-provisional patent application. Because any marketing and regulatory approval for a drug often occurs several years after the related patent application is filed, the resulting market exclusivity afforded by any patent on our drug candidates and technologies will likely be substantially less than 20 years.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As most patent applications in the U.S. are maintained as confidential until published by the USPTO at 18 months from filing for all cases filed after November 29, 2000, or at issue, for cases filed prior to November 29, 2000, we cannot be certain that we or Presage were the first to make the inventions covered by the patents and applications referred to above. Additionally, publication of discoveries in the scientific or patent literature often lags behind the actual discoveries. Moreover, pursuant to the terms of the Uruguay Round Agreements Act, patents filed on or after June 8, 1995 have a term of twenty years from the date of such filing except for provisional applications, irrespective of the period of time it may take for such patent to ultimately issue. This may shorten the period of patent protection afforded to therapeutic uses of zandelisib, voruciclib or ME-344 as patent applications in the biopharmaceutical sector often take considerable time to issue. However, in some countries the patent term may be extended.</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231F20"/>
        </w:rPr>
        <w:t>In order to protect the confidentiality of our technology, including trade secrets and know-how and other proprietary technical and business information, we require all of our consultants, advisors and collaborators to enter into agreements that prohibit the use or disclosure of information that is deemed confidential. These agreements also oblige our consultants, advisors and collaborators to assign to us, or negotiate a license to developments, discoveries and inventions made by such persons in connection with their work relating to our products. We cannot be sure that confidentiality will be maintained by those from whom we have acquired technology or disclosure prevented by these agreements. We also cannot be sure that our proprietary information or intellectual property will be protected by these agreements or that others will not independently develop substantially equivalent proprietary information or intellectual property.</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The pharmaceutical industry is highly competitive, and patents may have been applied for by, and issued to, other parties relating to products competitive with zandelisib, voruciclib or ME-344. Use of these compounds and any other drug candidates may give rise to claims that they infringe the patents or proprietary rights of other parties, existing now and in the future. An adverse claim could subject us to significant liabilities to such other parties and/or require disputed rights to be licensed from such other parties. 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231F20"/>
        </w:rPr>
        <w:t>The objective of our research and development program is the generation of data sufficient to achieve regulatory approval of our drug candidates in one or more dosage forms in major markets such as the U.S., to meet medical needs and develop a clinical and commercial profile with attractive attributes, and/or to allow us to enter into a development and/or commercial relationship with another party. The data are generated by our pre-clinical studies and clinical trial programs.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The key aspects of our research and development program have been to provide more complete characterization of the following:</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relevant molecular targets of action of our drug candidates;</w:t>
      </w:r>
    </w:p>
    <w:p>
      <w:pPr>
        <w:spacing w:after="0" w:line="117" w:lineRule="exact"/>
        <w:rPr>
          <w:rFonts w:ascii="Times New Roman" w:cs="Times New Roman" w:eastAsia="Times New Roman" w:hAnsi="Times New Roman"/>
          <w:sz w:val="18"/>
          <w:szCs w:val="18"/>
          <w:color w:val="231F20"/>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relative therapeutic benefits and indications for use of our drug candidates as a monotherapy or as part of combinational therapy with other agents;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most appropriate therapeutic indications and dosage forms for voruciclib, ME-344 and zandelisib.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 Regulatory Requirements</w:t>
      </w:r>
    </w:p>
    <w:p>
      <w:pPr>
        <w:spacing w:after="0" w:line="22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231F20"/>
        </w:rPr>
        <w:t>The U.S. Food and Drug Administration (FDA), and comparable regulatory agencies in other countries, regulate and impose substantial requirements upon the research, development, nonclinical and clinical testing, labeling, manufacture, quality control, storage, approval, advertising, promotion, marketing, distribution, import, and export of pharmaceutical products, as well as significant reporting and record-keeping obligations. State governments may also impose obligations in these and other areas. These requirements are extensive and are frequently changing.</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In the U.S., pharmaceutical products are regulated by the FDA under the Federal Food, Drug, and Cosmetic Act (FDCA) and other laws. The process required by the FDA before drugs may be marketed in the U.S. generally involves the following:</w:t>
      </w:r>
    </w:p>
    <w:p>
      <w:pPr>
        <w:spacing w:after="0" w:line="54" w:lineRule="exact"/>
        <w:rPr>
          <w:sz w:val="20"/>
          <w:szCs w:val="20"/>
          <w:color w:val="auto"/>
        </w:rPr>
      </w:pPr>
    </w:p>
    <w:p>
      <w:pPr>
        <w:ind w:left="1020" w:right="10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nonclinical laboratory evaluations, including formulation and stability testing, and animal tests performed under the FDA’s Good Laboratory Practices (GLP) regulations to assess pharmacological activity and toxicity potential;</w:t>
      </w:r>
    </w:p>
    <w:p>
      <w:pPr>
        <w:spacing w:after="0" w:line="53" w:lineRule="exact"/>
        <w:rPr>
          <w:rFonts w:ascii="Times New Roman" w:cs="Times New Roman" w:eastAsia="Times New Roman" w:hAnsi="Times New Roman"/>
          <w:sz w:val="18"/>
          <w:szCs w:val="18"/>
          <w:color w:val="231F20"/>
        </w:rPr>
      </w:pPr>
    </w:p>
    <w:p>
      <w:pPr>
        <w:ind w:left="1020" w:right="10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and approval of an investigational new drug (IND) application, including results of nonclinical tests, manufacturing information, and protocols for clinical tests, which must become effective before clinical trials may begin in the U.S.;</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approval of institutional review boards (IRBs) to administer the products to human subjects in clinical trials;</w:t>
      </w:r>
    </w:p>
    <w:p>
      <w:pPr>
        <w:spacing w:after="0" w:line="117"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adequate and well-controlled human clinical trials to establish the safety and efficacy of the product for the product’s intended use;</w:t>
      </w:r>
    </w:p>
    <w:p>
      <w:pPr>
        <w:spacing w:after="0" w:line="117" w:lineRule="exact"/>
        <w:rPr>
          <w:rFonts w:ascii="Times New Roman" w:cs="Times New Roman" w:eastAsia="Times New Roman" w:hAnsi="Times New Roman"/>
          <w:sz w:val="18"/>
          <w:szCs w:val="18"/>
          <w:color w:val="231F20"/>
        </w:rPr>
      </w:pPr>
    </w:p>
    <w:p>
      <w:pPr>
        <w:ind w:left="1020" w:right="8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manufacturing processes which conform to the FDA’s current Good Manufacturing Practices (cGMP), as confirmed by FDA inspection or remote regulatory assessments;</w:t>
      </w:r>
    </w:p>
    <w:p>
      <w:pPr>
        <w:spacing w:after="0" w:line="53" w:lineRule="exact"/>
        <w:rPr>
          <w:rFonts w:ascii="Times New Roman" w:cs="Times New Roman" w:eastAsia="Times New Roman" w:hAnsi="Times New Roman"/>
          <w:sz w:val="18"/>
          <w:szCs w:val="18"/>
          <w:color w:val="231F20"/>
        </w:rPr>
      </w:pPr>
    </w:p>
    <w:p>
      <w:pPr>
        <w:ind w:left="1020" w:right="180" w:hanging="503"/>
        <w:spacing w:after="0" w:line="282" w:lineRule="auto"/>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submission of results for nonclinical, toxicology, and clinical studies, and chemistry, manufacture and control information on the product to the FDA in a non-disclosure agreement (NDA); and</w:t>
      </w:r>
    </w:p>
    <w:p>
      <w:pPr>
        <w:spacing w:after="0" w:line="53"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FDA review and approval of an NDA, prior to any commercial sale or shipment of a product.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The testing and approval process requires substantial time, effort, and financial resources, and we cannot be certain that we will be able to ultimately submit marketing applications for any of our product candidates, that our development efforts will prove to be successful, that our studies will have positive outcomes, or that any approval will be granted on a timely basis, if at all.</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The results of the nonclinical studies, together with initial specified manufacturing information, the proposed clinical trial protocol, and information about the participating investigators are submitted to the FDA as part of an investigational new drug (IND) application, which must become effective before we may begin human clinical trials in the U.S. Clinical trials must be conducted in accordance with federal regulations and Good Clinical Practice (GCP) requirements, and with investigational products that follow cGMP. GCPs include, among other requirements, the requirements related to monitoring, drug accountability, data integrity, and that all research subjects provide their informed consent in writing for their participation in any clinical trial. Recently, the FDA has issued a number of new guidance regarding the conduct of clinical studies. For instance, the FDA issued an updated guidance on good clinical practices, which is intended to modify the agency’s GCP guidelines, including with respect to clinical trial quality, the use of digital health technologies, computerized systems, and data governance. The FDA also issued guidance regarding the conduct of decentralized clinical trials, use of electronic records, systems and signatures in clinical trials, and the conduct of risk-based clinical trial monitoring. Following issuance of a final guidance, the FDA will further be requiring diversity action plans for certain clinical studies.</w:t>
      </w:r>
    </w:p>
    <w:p>
      <w:pPr>
        <w:spacing w:after="0" w:line="1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Additionally, an independent IRB must review and approve each study protocol and oversee conduct of the trial. An IND becomes effective 30-days after receipt by the FDA, unless the FDA, within the 30-day period, raises concerns or questions about the conduct of the trials as outlined in the IND and imposes a clinical hold. If the FDA imposes a clinical hold at any time before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231F20"/>
        </w:rPr>
        <w:t>during clinical trials, the IND sponsor must resolve the FDA’s concerns before clinical trials can begin or continue. Nonclinical tests and studies can take several years to complete, and there is no guarantee that an IND that is submitted based on such tests and studies will become effective within any specific time period, if at all.</w:t>
      </w:r>
    </w:p>
    <w:p>
      <w:pPr>
        <w:spacing w:after="0" w:line="176"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231F20"/>
        </w:rPr>
        <w:t>Sponsors must make certain reports and submissions to the FDA and global health authorities, as appropriate, and to clinical investigators who, in turn, make certain reports and submissions to the IRB or ethics committee, including annual reports, and reports of investigator financial interests, serious adverse events and other significant safety information, study amendments, and new study protocols. Information about certain clinical trials, including a description of the study and study results, must also be submitted within specific time frames to the National Institutes of Health (the NIH), for public dissemination on the clinicaltrials.gov website. Sponsors of investigational products for serious diseases must also have a publicly available policy on requests for expanded access.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Investigational drugs and active ingredients imported into the U.S. are also subject to regulation by the FDA. Further, the export of investigational products outside of the U.S. is subject to regulatory requirements of the receiving country as well as U.S. export requirements under the FDCA.</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231F20"/>
        </w:rPr>
        <w:t>Human clinical trials are typically conducted in three sequential phases that may overlap.</w:t>
      </w:r>
    </w:p>
    <w:p>
      <w:pPr>
        <w:spacing w:after="0" w:line="115" w:lineRule="exact"/>
        <w:rPr>
          <w:sz w:val="20"/>
          <w:szCs w:val="20"/>
          <w:color w:val="auto"/>
        </w:rPr>
      </w:pPr>
    </w:p>
    <w:p>
      <w:pPr>
        <w:ind w:left="1020" w:right="440" w:hanging="503"/>
        <w:spacing w:after="0" w:line="284"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1</w:t>
      </w:r>
      <w:r>
        <w:rPr>
          <w:rFonts w:ascii="Times New Roman" w:cs="Times New Roman" w:eastAsia="Times New Roman" w:hAnsi="Times New Roman"/>
          <w:sz w:val="18"/>
          <w:szCs w:val="18"/>
          <w:color w:val="231F20"/>
        </w:rPr>
        <w:t>: The drug is initially introduced into healthy human subjects or patients and tested for safety and dosage tolerance. Absorption,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metabolism, distribution, and excretion testing is generally performed at this stage.</w:t>
      </w:r>
    </w:p>
    <w:p>
      <w:pPr>
        <w:spacing w:after="0" w:line="50" w:lineRule="exact"/>
        <w:rPr>
          <w:rFonts w:ascii="Times New Roman" w:cs="Times New Roman" w:eastAsia="Times New Roman" w:hAnsi="Times New Roman"/>
          <w:sz w:val="18"/>
          <w:szCs w:val="18"/>
          <w:color w:val="231F20"/>
        </w:rPr>
      </w:pPr>
    </w:p>
    <w:p>
      <w:pPr>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2</w:t>
      </w:r>
      <w:r>
        <w:rPr>
          <w:rFonts w:ascii="Times New Roman" w:cs="Times New Roman" w:eastAsia="Times New Roman" w:hAnsi="Times New Roman"/>
          <w:sz w:val="18"/>
          <w:szCs w:val="18"/>
          <w:color w:val="231F20"/>
        </w:rPr>
        <w:t>: The drug is studied in controlled, exploratory therapeutic trials in a limited number of subjects with the disease or medical condition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which the new drug is intended to be used in order to identify possible adverse effects and safety risks, to determine the preliminary or potential efficacy of the product for specific targeted diseases or medical conditions, and to determine dosage tolerance and the optimal effective dose.</w:t>
      </w:r>
    </w:p>
    <w:p>
      <w:pPr>
        <w:spacing w:after="0" w:line="71" w:lineRule="exact"/>
        <w:rPr>
          <w:rFonts w:ascii="Times New Roman" w:cs="Times New Roman" w:eastAsia="Times New Roman" w:hAnsi="Times New Roman"/>
          <w:sz w:val="18"/>
          <w:szCs w:val="18"/>
          <w:color w:val="231F20"/>
        </w:rPr>
      </w:pPr>
    </w:p>
    <w:p>
      <w:pPr>
        <w:ind w:left="1020" w:hanging="503"/>
        <w:spacing w:after="0" w:line="258"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Phase 3</w:t>
      </w:r>
      <w:r>
        <w:rPr>
          <w:rFonts w:ascii="Times New Roman" w:cs="Times New Roman" w:eastAsia="Times New Roman" w:hAnsi="Times New Roman"/>
          <w:sz w:val="18"/>
          <w:szCs w:val="18"/>
          <w:color w:val="231F20"/>
        </w:rPr>
        <w:t>: When Phase 2 studies demonstrate that a specific dosage range of the drug may be efficacious and the drug has an acceptable safety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profile for further investigation, controlled, large-scale therapeutic Phase 3 trials are undertaken at multiple study sites to demonstrate clinical efficacy and to further test for safety in an expanded patient population. Typically, two Phase 3 trials are required by the FDA for product approval. Under some limited circumstances, however, the FDA may approve an NDA based upon a single Phase 3 clinical study plus confirmatory evidence or a single large multi-center trial without confirmatory evidence.</w:t>
      </w:r>
    </w:p>
    <w:p>
      <w:pPr>
        <w:spacing w:after="0" w:line="18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231F20"/>
        </w:rPr>
        <w:t>Concurrent with clinical trials, companies usually complete additional nonclinical and toxicology studies and must also develop additional information about the chemistry, manufacturing and controls (CMC) of the product candidate.</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231F20"/>
        </w:rPr>
        <w:t>Some clinical trials are overseen by an independent group of qualified experts organized by the clinical trial sponsor, known as a data monitoring committee. This group reviews data and advises the study sponsor regarding the continuing safety of the trial. This group may also review interim data to assess the continuing validity and scientific merit of the clinical trial. The data monitoring committee may advise the sponsor to halt the clinical trial, modify the clinical trial, or continue the clinical trial depending on safety results and the trial’s likelihood of success.</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231F20"/>
        </w:rPr>
        <w:t>We cannot be certain that we will successfully complete clinical testing of our products within any specific time period, if at all. Furthermore, the FDA, the IRB or we may suspend or terminate clinical trials at any time on various grounds, including a finding that the subjects or patients are being exposed to an unacceptable safety risk or noncompliance with applicable regulatory requirements.</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231F20"/>
        </w:rPr>
        <w:t>Results of nonclinical and toxicology studies, and clinical trials, as well as detailed information about the manufacturing process, quality control methods, and product composition, among other things, are submitted to the FDA as part of an NDA seeking approval to market and commercially distribute the product on the basis of a determination that the product is safe and effective for its intended use. Once the FDA receives an application, it has 60 days to review the NDA to determine if it is substantially complete to permit a substantive review, before it accepts the application for filing. The FDA may request additional information rather than accept an application for filing. In this event, the application must be resubmitted with the additional information. Once the submission is accepted for filing, the FDA begins an in-depth substantive review. Under the goals agreed to by the FDA under the Prescription Drug User Fee Act (PDUFA), the agency currently aims to review 90% of all applications for new molecular entities within ten months of the 60-day filing date for a standard review. The PDUFA date is only a goal, thus, the FDA does not always meet its PDUFA dates. The PDUFA date may also be extended if the FDA requests or the sponsor provides substantial additional information regarding the submission.</w:t>
      </w:r>
    </w:p>
    <w:p>
      <w:pPr>
        <w:spacing w:after="0" w:line="18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231F20"/>
        </w:rPr>
        <w:t>The FDA may refer certain applications to an advisory committee, which is a panel of experts that make a recommendation as to whether the application should be approved and under what conditions. The FDA is not bound by the recommendations of an advisory committee, but it considers such recommendations carefully when making decisions.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Before approving an NDA, the FDA will inspect the facilities at which the product is manufactured and may inspect the sponsor, clinical study vendors, and clinical sites at which the product candidate was studied and will not approve the product unless cGMP and GCP compliance are satisfactory. Inspections may be in-person or conducted remotely. If applicable regulatory criteria are not satisfied, the FDA may issue a complete response letter (CRL) to the sponsor requiring additional nonclinical or clinical studies or data or additional CMC information. If a CRL is issued, the applicant may either: resubmit the marketing application, addressing all of the deficiencies identified in the letter; withdraw the application; or request an opportunity for a hearing.</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Once the FDA determines that the approval requirements are met, it will issue an approval letter that authorizes commercial marketing of the product with specific prescribing information for specific indications. As a condition of approval, the FDA also may require post-marketing commitments and requirements, including studies, and/or surveillance to monitor the product’s safety or efficacy. The FDA also may require a Medication Guide and also a risk evaluation and mitigation strategy (REMS), or other conditions for a product’s approval or following approval to ensure that the benefits of the product candidate outweigh the risks. Moreover, even if the FDA approves a product, it may limit the approved indications or populations for use of the product, require that contraindications, warnings, or precautions be included in the product labeling, including a black box warning, impose other conditions, such as post-approval studies, or may not approve label statements that are necessary for successful commercialization and marketing.</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Even after an NDA is approved, the FDA may impose additional obligations or restrictions (such as labeling changes, or clinical post-marketing requirements), or even suspend or withdraw a product approval or require additional testing or label revisions on the basis of data that arise after the product reaches the market, or if compliance with regulatory standards is not maintained. We cannot be certain that any NDA we submit will be approved by the FDA for full or accelerated approval on a timely basis, if at all. Also, any such approval may limit the indicated uses for which the product may be marketed. Any refusal to approve, delay in approval, suspension or withdrawal of approval, or restrictions on indicated uses could have a material adverse impact on our business prospects.</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231F20"/>
        </w:rPr>
        <w:t>Each NDA must be accompanied by a substantial user fee pursuant to the requirements of the PDUFA and its amendments. Fee waivers or reductions are available in certain circumstances. Following product approval, drug products are also subject to annual program fees. The FDA adjusts the PDUFA user fees on an annual basis. A written request can be submitted for a waiver for the application fee for the first human drug application that is filed by a small business, but there are no small business waivers for program fees. Product candidates that are designated as orphan products are not subject to application user fees unless the application includes an indication other than the orphan indication and may be exempt from program fees if certain criteria are met. We are not at the stage of development with our products where we are subject to these fees, but they are significant expenditures that may be incurred in the future and must be paid at the time of application submissions to the FDA.</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31F20"/>
        </w:rPr>
        <w:t>Satisfaction of FDA requirements typically takes many years. The actual time required varies substantially, based upon the type, complexity, and novelty of the pharmaceutical product, among other things. Government regulation imposes costly and time-consuming requirements and restrictions throughout the product life cycle and may delay product marketing for a considerable period of time, limit product marketing, or prevent marketing altogether. Success in nonclinical or early-stage clinical trials does not ensure success in later stage clinical trials. Data obtained from nonclinical and clinical activities are not always conclusive and may be susceptible to varying interpretations that could delay, limit, or prevent marketing approval. Even if a product receives marketing approval, the approval is limited to specific clinical indications. Further, even after marketing approval is obtained, the discovery of previously unknown problems with a product may result in restrictions on the product or even complete withdrawal of the product from the market.</w:t>
      </w:r>
    </w:p>
    <w:p>
      <w:pPr>
        <w:spacing w:after="0" w:line="19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231F20"/>
        </w:rPr>
        <w:t>After product approval, there are continuing significant regulatory requirements imposed by the FDA, including record-keeping requirements, obligations to report adverse side effects in patients using the products, and restrictions on advertising and promotional activities. Quality control and manufacturing procedures must continue to conform to cGMPs, and the FDA periodically inspects facilities, via in person inspections and remote regulatory assessments, to assess cGMP compliance. Additionally, post-approval changes in ingredient composition, manufacturing processes or facilities, product labeling, or other areas may require submission of an NDA Supplement to the FDA for review and approval. New indications will require additional clinical studies and submission of an NDA Supplement. Commercially distributed products are also subject to a variety of additional requirements, including requirements regarding tacking, tracing, and supply chain integrity; and requirements related to drug shortages and drug shortage prevention.</w:t>
      </w:r>
    </w:p>
    <w:p>
      <w:pPr>
        <w:spacing w:after="0" w:line="192" w:lineRule="exact"/>
        <w:rPr>
          <w:sz w:val="20"/>
          <w:szCs w:val="20"/>
          <w:color w:val="auto"/>
        </w:rPr>
      </w:pPr>
    </w:p>
    <w:p>
      <w:pPr>
        <w:jc w:val="both"/>
        <w:ind w:right="440" w:firstLine="509"/>
        <w:spacing w:after="0" w:line="272" w:lineRule="auto"/>
        <w:rPr>
          <w:sz w:val="20"/>
          <w:szCs w:val="20"/>
          <w:color w:val="auto"/>
        </w:rPr>
      </w:pPr>
      <w:r>
        <w:rPr>
          <w:rFonts w:ascii="Times New Roman" w:cs="Times New Roman" w:eastAsia="Times New Roman" w:hAnsi="Times New Roman"/>
          <w:sz w:val="17"/>
          <w:szCs w:val="17"/>
          <w:color w:val="231F20"/>
        </w:rPr>
        <w:t>Failure to comply with the FDA’s regulatory requirements may result in an enforcement action by the FDA, including clinical holds, refusal to approve marketing applications or supplements, Warning Letters, product recalls, suspension or revocation of product approval, seizure of product to prevent distribution, impositions of injunctions prohibiting product manufacture or distribution, and civil and criminal penalties, among other actions.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Maintaining compliance is costly and time-consuming. We cannot be certain that we, or our present or future suppliers or third-party manufacturers, will be able to comply with all FDA regulatory requirements, and potential consequences of noncompliance could have a material adverse impact on our business prospects.</w:t>
      </w:r>
    </w:p>
    <w:p>
      <w:pPr>
        <w:sectPr>
          <w:pgSz w:w="11900" w:h="16838" w:orient="portrait"/>
          <w:cols w:equalWidth="0" w:num="1">
            <w:col w:w="11220"/>
          </w:cols>
          <w:pgMar w:left="320" w:top="117" w:right="35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The FDA’s policies may change, and additional governmental regulations may be enacted that could delay, limit, or prevent regulatory approval of our products, that require that we implement additional compliance steps, or affect our ability to manufacture, market, or distribute our products after approval.</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Our activities also may be subject to state laws and regulations that affect our ability to develop and sell our products. We are also subject to numerous federal, state, and local laws relating to such matters as safe working conditions, clinical, laboratory, and manufacturing practices, environmental protection, fire hazard control, and disposal of hazardous or potentially hazardous substances. We may incur significant costs to comply with such laws and regulations now or in the future, and the failure to comply may have a material adverse impact on our business prospects.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The FDCA includes provisions designed to facilitate the development and expedite the review of drugs intended for treatment of serious or life-threatening conditions that demonstrate the potential to address unmet medical needs for such conditions or present a significant improvement over existing therapy. These provisions set forth a procedure for designation of a drug as a fast track product. The fast track designation applies to the combination of the product and specific indication for which it is being studied. A product designated as fast track is ordinarily eligible for additional programs for expediting development and review, such as increased FDA interactions and rolling submission of the application.</w:t>
      </w:r>
    </w:p>
    <w:p>
      <w:pPr>
        <w:spacing w:after="0" w:line="18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Products that are intended to treat serious or life-threatening conditions and that provide a meaningful therapeutic benefit over existing treatments may also be eligible for accelerated approval. Drug approval under the accelerated approval regulations may be based on evidence of clinical effect on a surrogate endpoint that is reasonably likely to predict clinical benefit. A post-marketing clinical study will be required to be completed to verify clinical benefit, and other restrictions to assure safe use may be imposed. </w:t>
      </w:r>
      <w:r>
        <w:rPr>
          <w:rFonts w:ascii="Times New Roman" w:cs="Times New Roman" w:eastAsia="Times New Roman" w:hAnsi="Times New Roman"/>
          <w:sz w:val="18"/>
          <w:szCs w:val="18"/>
          <w:color w:val="000000"/>
        </w:rPr>
        <w:t>By the date of approval of an accelerated approval product, the FDA must specify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conditions for the required post approval studies, including enrollment targets, the study protocol, milestones, and target completion dates. The FDA may also require that the confirmatory Phase 4 studies be commenced prior to the FDA granting a product accelerated approval. Reports on the progress of the required Phase 4 confirmatory studies must be submitted to the FDA every 180 days after approval. </w:t>
      </w:r>
      <w:r>
        <w:rPr>
          <w:rFonts w:ascii="Times New Roman" w:cs="Times New Roman" w:eastAsia="Times New Roman" w:hAnsi="Times New Roman"/>
          <w:sz w:val="18"/>
          <w:szCs w:val="18"/>
          <w:color w:val="231F20"/>
        </w:rPr>
        <w:t>Failure to conduct required post-approval studies, 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confirm a clinical benefit, will allow the FDA to withdraw the drug or biologic from the market on a statutorily defined expedited basis. </w:t>
      </w:r>
      <w:r>
        <w:rPr>
          <w:rFonts w:ascii="Times New Roman" w:cs="Times New Roman" w:eastAsia="Times New Roman" w:hAnsi="Times New Roman"/>
          <w:sz w:val="18"/>
          <w:szCs w:val="18"/>
          <w:color w:val="000000"/>
        </w:rPr>
        <w:t>Failure to conduct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required Phase 4 confirmatory studies or to conduct such studies with due diligence, as well as failure to submit the required update reports can subject a sponsor to penalties. I</w:t>
      </w:r>
      <w:r>
        <w:rPr>
          <w:rFonts w:ascii="Times New Roman" w:cs="Times New Roman" w:eastAsia="Times New Roman" w:hAnsi="Times New Roman"/>
          <w:sz w:val="18"/>
          <w:szCs w:val="18"/>
          <w:color w:val="231F20"/>
        </w:rPr>
        <w:t>n recent years, the accelerated approval pathway has come under significant FDA and public scrutiny. Accordingly, the FDA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 more conservative in granting accelerated approval or, if granted, may be more apt to withdrawal approval if clinical benefit is not confirmed or the risk benefit assessment changes.</w:t>
      </w:r>
    </w:p>
    <w:p>
      <w:pPr>
        <w:spacing w:after="0" w:line="19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231F20"/>
        </w:rPr>
        <w:t>A third potential designation that may be available is breakthrough therapy designation. A breakthrough therapy is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Products designated as breakthrough therapies are eligible for intensive FDA guidance, a commitment from the FDA to involve senior managers and experienced review staff in a proactive collaborative and cross-disciplinary review, rolling submission of the application, and the facilitation of cross-disciplinary review.</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231F20"/>
        </w:rPr>
        <w:t>Finally, if a product is intended to treat a serious condition and, if approved, would provide significant improvements in the safety or effectiveness of the treatment, diagnosis, or prevention of the condition, the product may be eligible for priority review meaning that the FDA’s goal for the review of an NDA is shortened to six months (after a two month period during which the FDA decides whether the application is ready for filing) rather than the standard review of ten months from application acceptance. If we should seek additional designations for any of our programs, we cannot be assured that it will be granted by the FDA. There is also no guarantee that we will be able to maintain any designation that we have received or may receive.</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Following the FDA’s approval of an NDA, sponsors are required to list with the FDA each patent with claims that cover the applicant’s drug or a method of using the drug. These patents are published in the FDA’s list of Approved Drug Products with Therapeutic Equivalence Evaluations, commonly known as the Orange Book. Drugs listed in the Orange Book can be cited by potential competitors as a reference listed drug in support of a 505(b)(2) NDA or an Abbreviated New Drug Application, (ANDA). In an effort to clarify which patents must be listed in the Orange Book, in January 2021, Congress passed the Orange Book Transparency Act of 2020, which largely codified the FDA’s existing practices into the FDCA.</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An ANDA provides for marketing of a generic drug product that has the same active ingredients, dosage form, strength, route of administration, labeling, performance characteristics and intended use as a previously approved product. ANDA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231F20"/>
        </w:rPr>
        <w:t>applicants generally must only scientifically demonstrate that their product is bioequivalent to, or performs in the same manner as, the innovator drug and can often be substituted by pharmacists under prescriptions written for the reference listed drug.</w:t>
      </w:r>
    </w:p>
    <w:p>
      <w:pPr>
        <w:spacing w:after="0" w:line="16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231F20"/>
        </w:rPr>
        <w:t>Generally, the FDA may not approve an abbreviated new drug application (ANDA) or 505(b)(2) NDA unless the reference listed drug’s Orange Book listed patents have expired and/or if the applicant certifies that it is not seeking approval for a patented method of use. The FDA may approve these applications, however, if the 505(b)(2) NDA or ANDA sponsor certifies that the Orange Book listed patents for the reference listed drug are invalid or will not be infringed upon by the manufacture, use or sale of the drug product for which the application is submitted. This later certification is called a paragraph IV certification. If the ANDA or 505(b)(2) NDA applicant has made a paragraph IV certification, following notice to the NDA and patent holders, the NDA and patent holders may then initiate a patent infringement lawsuit. If a lawsuit is brought,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Congress and U.S. federal administrative agencies have taken certain measures to increase drug competition and thus decrease drug prices, including by facilitating 505(b)(2) NDAs and ANDAs, and by introducing additional products into the U.S. market. For example, the FDA finalized a rule and a guidance to facilitate drug importation. Congress also passed a bill requiring sponsors of NDA products to provide sufficient quantities of drug product on commercially reasonable market-based terms to entities developing generic and 505(b)(2) products. This bill also included provisions on shared and individual REMS for generic drug products.</w:t>
      </w:r>
    </w:p>
    <w:p>
      <w:pPr>
        <w:spacing w:after="0" w:line="183"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231F20"/>
        </w:rPr>
        <w:t>Under the Drug Price Competition and Patent Term Restoration Act of 1984, a sponsor may obtain marketing exclusivity for a specified period of time following FDA approval of certain drug applications. For example, new drugs containing new chemical entities that have not been previously approved by the FDA may obtain five years of exclusivity.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This exclusivity is not absolute. For instance, it will not delay the submission or approval of a full NDA; though, an applicant submitting a full NDA would be required to conduct or obtain a right of reference to all of the preclinical studies and adequate and well-controlled clinical trials necessary to demonstrate safety and efficacy.</w:t>
      </w:r>
    </w:p>
    <w:p>
      <w:pPr>
        <w:spacing w:after="0" w:line="17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231F20"/>
        </w:rPr>
        <w:t>Following NDA approval, a patent owner may obtain an extension of a single unexpired patent that has not previously been extended for a period equal to one-half the period of time elapsed between the filing of an IND and the filing of the corresponding NDA plus the period of time between the filing of the NDA and FDA approval, with a five year maximum patent extension. The total patent life of the product with the extension cannot exceed fourteen years from the product’s approval date. The period of patent extension may also be reduced for any time that the applicant did not act with due diligence. We cannot be certain that we will be able to take advantage of either the patent term extension or marketing exclusivity provisions of these laws or that, if received, they will adequately protect any approved products from competition.</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231F20"/>
        </w:rPr>
        <w:t>The Best Pharmaceuticals for Children Act (BPCA) was reauthorized and amended by the FDA Amendments Act of 2007 (FDAAA). The reauthorization of BPCA adds an additional six months of marketing exclusivity and patent protection to unexpired exclusivities and unexpired patents listed with the FDA for NDA applicants that conduct acceptable pediatric studies of new and currently marketed drug products for which pediatric information would be beneficial, as identified by the FDA in a Pediatric Written Request. The data do not need to show the product to be effective in the pediatric population studied; rather, if the clinical trial is deemed to fairly address the agreement between the sponsor and the FDA in the Pediatric Written Request, the additional protection is granted.</w:t>
      </w:r>
    </w:p>
    <w:p>
      <w:pPr>
        <w:spacing w:after="0" w:line="187"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The Pediatric Research Equity Act (PREA) also was reauthorized and amended by the FDAAA. The reauthorization of PREA requires that most applications for drugs include a pediatric assessment (unless waived or deferred) to ensure the drugs’ safety and effectiveness in children. Such pediatric assessment must contain data, gathered using appropriate formulations for each age group for which the assessment is required, that are adequate to assess the safety and effectiveness of the drug product for the claimed indications in all relevant pediatric subpopulations, and to support dosing and administration for each pediatric subpopulation for which the drug product is safe and effective. The pediatric assessments can only be deferred provided there is a timeline for the completion of such studies. The FDA may waive (partially or fully) the pediatric assessment requirement for several reasons, including if the applicant can demonstrate that reasonable attempts to produce a pediatric formulation necessary for that age group have failed. Orphan products are also exempt from the PREA requirements. The Food and Drug Administration Safety and Innovation Act signed into law on July 9, 2012, permanently renewed and strengthened BPCA and PREA.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Under the FDA Reauthorization Act of 2017, sponsors submitting original applications on or after August 18, 2020, for product candidates intended for the treatment of adult cancer which are directed at molecular targets that the FDA determines to be substantially relevant to the growth or progression of pediatric cancer must submit, prior to marketing application submission, an initial Pediatric Study Plan for FDA agreement, and with the application, reports from molecularly targeted pediatric cancer clinical investigations designed to yield clinically meaningful pediatric study data, using appropriate pediatric formulations, to inform potential pediatric labeling. While orphan products are not exempt from this requirement, the FDA may grant full or partial waivers, or deferrals, for submission of data.</w:t>
      </w:r>
    </w:p>
    <w:p>
      <w:pPr>
        <w:spacing w:after="0" w:line="18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231F20"/>
        </w:rPr>
        <w:t>Under the Orphan Drug Act, the FDA may grant orphan drug designation to drugs intended to treat a rare disease or condition, which generally is a disease or condition that affects fewer than 200,000 individuals in the U.S. Additionally, sponsors must present a plausible hypothesis for clinical superiority to obtain orphan drug designation if there is a product already approved by the FDA that is considered by the FDA to be the same as the already approved product and is intended for the same indication. Orphan drug designation does not convey any advantage in, or shorten the duration of, the regulatory review and approval process. Orphan drug designation does, however, entitle a party to financial incentives such as opportunities for grant funding towards clinical study costs, tax advantages, and certain user-fee waivers. The tax advantages, however, were limited in the 2017 Tax Cuts and Jobs Act.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except in limited circumstances. By example, if there is already a product approved by the FDA that is the same product for the same indication, the orphan designated product will only receive orphan drug exclusivity if the prior hypothesis of clinical superiority is demonstrated. Competitors may also be able to receive approval for different drugs for the indication for which the orphan product has exclusivity or the same drug for a different indication.</w:t>
      </w:r>
    </w:p>
    <w:p>
      <w:pPr>
        <w:spacing w:after="0" w:line="1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Notably, the exact scope of any period of orphan drug exclusivity may change. Specifically, 2021 judicial decision, </w:t>
      </w:r>
      <w:r>
        <w:rPr>
          <w:rFonts w:ascii="Times New Roman" w:cs="Times New Roman" w:eastAsia="Times New Roman" w:hAnsi="Times New Roman"/>
          <w:sz w:val="18"/>
          <w:szCs w:val="18"/>
          <w:i w:val="1"/>
          <w:iCs w:val="1"/>
          <w:color w:val="auto"/>
        </w:rPr>
        <w:t>Catalyst Pharms.,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Becerra</w:t>
      </w:r>
      <w:r>
        <w:rPr>
          <w:rFonts w:ascii="Times New Roman" w:cs="Times New Roman" w:eastAsia="Times New Roman" w:hAnsi="Times New Roman"/>
          <w:sz w:val="18"/>
          <w:szCs w:val="18"/>
          <w:color w:val="auto"/>
        </w:rPr>
        <w:t>, challenged and reversed an FDA decision on the scope of orphan product exclusivity for the drug, Firdapse. Under this decision, orphan drug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exclusivity for Firdapse blocked approval of another company’s application for the same drug for the entire disease or condition for which orphan drug designation was granted, not just the disease or condition for which approval was received. In a January 2023 Federal Register notice, however, the FDA stated that it intends to continue to apply its regulations tying the scope of orphan-drug exclusivity to the uses or indications for which a drug is approved. The exact scope of orphan drug exclusivity will likely be an evolving area.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Pharmaceutical Coverage, Pricing and Reimbursement &amp; Healthcare Reform</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231F20"/>
        </w:rPr>
        <w:t>In addition, future sales of our products, if approved for marketing, will depend, in part, on the availability and extent of coverage and reimbursement by third-party payors, such as government health programs, including Medicare and Medicaid, commercial insurance, and managed healthcare organizations. These third-party payors are increasingly challenging the price and limiting the coverage and reimbursement amounts for medical products and services. There may be significant delays in obtaining coverage and reimbursement for approved products, and coverage may be more limited than the purposes for which the product is approved by the FDA or regulatory authority in other countries. It is time-consuming and expensive to seek reimbursement from third- party payors. Moreover, eligibility for reimbursement does not imply that any product will be paid for in all cases or at a rate that covers our costs, including research, development, manufacture, sale and distribution. In the United States, third-party payors often rely upon Medicare coverage policy and payment limitations in setting their own reimbursement policies, but they also have their own methods and approval process apart from Medicare coverage and reimbursement determinations.</w:t>
      </w:r>
    </w:p>
    <w:p>
      <w:pPr>
        <w:spacing w:after="0" w:line="18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231F20"/>
        </w:rPr>
        <w:t>In addition, the containment of healthcare costs has become a priority for federal and state governments, and the prices of drugs have been a focus in this effort. The U.S. government, state legislatures and foreign governments have shown significant interest in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the product candidate and have a material adverse effect on our sales, results of operations and financial condition. 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drug price transparency measures, and, in some cases, designed to encourage importation from other countries and bulk purchasing. On August 16, 2022, President Biden signed into the law the Inflation Reduction Act of 2022, or the IRA. Among other things, the IRA</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has multiple provisions that may impact the prices of drug products, such as negotiated ceiling prices and penalties for price increases that exceed the rate of inflation, that are both sold into the Medicare program and throughout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Foreign Regulatory Requirements</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231F20"/>
        </w:rPr>
        <w:t>Outside the U.S., our ability to market our products will also be contingent upon receiving marketing authorizations from the appropriate regulatory authorities and compliance with applicable post-approval regulatory requirements. Although the specific requirements and restrictions vary from country to country, as a general matter, foreign regulatory systems include risks similar to those associated with the FDA’s regulations, described above.</w:t>
      </w:r>
    </w:p>
    <w:p>
      <w:pPr>
        <w:spacing w:after="0" w:line="17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Under European Union (European Union) regulatory systems, marketing authorizations may be submitted either under a centralized or a decentralized procedure (DCP). Under the centralized procedure, a single application to the European Medicines Agency (EMA) leads to an approval granted by the European Commission which permits the marketing of the product throughout the EU. The centralized procedure is mandatory for certain classes of medicinal products such as new substances for the treatment of oncology. In addition, all medicinal products developed by certain biotechnological means, and those developed for cancer and other specified diseases and disorders, must be authorized via the centralized procedure. The centralized procedure will apply to any of our products that are developed by means of a biotechnology process or are intended for treatment of cancer. The DCP is used for products that are not eligible or not required to be authorized by the centralized procedure. The centralized procedure is optional for certain other products. Since the exit of the UK from the European Union, the UK has been excluded from the centralized procedure. It will be necessary for applicants to make a separate application to the UK Medicines and Healthcare products Regulatory Agency (MHRA) for a UK marketing authorization. There is currently no procedure for mutual EU/UK recognition of new medicinal products although there is an expedited review procedure (the EC Decision Reliance Procedure) for approval in the UK of EU approved products which is currently to run to December 31, 2023. Thereafter a new international recognition framework will be in place, which will have regard to decisions already made by the EMA. This means applications with a positive opinion from the Committee for Medicaid Products for Human Use (CHMP) received after December 31, 2023 will be eligible.</w:t>
      </w:r>
    </w:p>
    <w:p>
      <w:pPr>
        <w:spacing w:after="0" w:line="187" w:lineRule="exact"/>
        <w:rPr>
          <w:sz w:val="20"/>
          <w:szCs w:val="20"/>
          <w:color w:val="auto"/>
        </w:rPr>
      </w:pPr>
    </w:p>
    <w:p>
      <w:pPr>
        <w:jc w:val="both"/>
        <w:ind w:right="120" w:firstLine="509"/>
        <w:spacing w:after="0" w:line="289" w:lineRule="auto"/>
        <w:rPr>
          <w:sz w:val="20"/>
          <w:szCs w:val="20"/>
          <w:color w:val="auto"/>
        </w:rPr>
      </w:pPr>
      <w:r>
        <w:rPr>
          <w:rFonts w:ascii="Times New Roman" w:cs="Times New Roman" w:eastAsia="Times New Roman" w:hAnsi="Times New Roman"/>
          <w:sz w:val="17"/>
          <w:szCs w:val="17"/>
          <w:color w:val="231F20"/>
        </w:rPr>
        <w:t>As with FDA approval, we may not be able to secure regulatory approvals in the EU in a timely manner, if at all. Additionally, as in the U.S., post-approval regulatory requirements, such as those regarding product manufacture, marketing, or distribution, would apply to any product that is approved in the EU, and failure to comply with such obligations could have a material adverse effect on our ability to successfully commercialize any product.</w:t>
      </w:r>
    </w:p>
    <w:p>
      <w:pPr>
        <w:spacing w:after="0" w:line="15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231F20"/>
        </w:rPr>
        <w:t>The conduct of clinical trials in the EU is governed by the European Clinical Trials Regulation (CTR), which was implemented in June 2022. This CTR governs how regulatory bodies in member states control clinical trials. No clinical trial may be started without a clinical trial authorization granted by the national competent authority and favorable ethics approval. Under the Regulation, clinical trial sponsors were able to use the Clinical Trials Information System (CTIS) since January 31, 2022, but are not obliged to use it immediately, in line with a three-year transition period. National regulators in the EU Member States and European Economic Area (EEA) countries could use the CTIS since January 31, 2022. With the exit of the UK from the EU, the UK did not implement the CTR and the UK provisions implementing the previous law as set out in the previous Clinical Trial Directive (which fundamentally covered the same area as the CTR but was far less detailed and predated the CTIS) will continue to apply until amended by the UK.</w:t>
      </w:r>
    </w:p>
    <w:p>
      <w:pPr>
        <w:spacing w:after="0" w:line="1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Accordingly, there is a marked degree of change and uncertainty both in the regulation of clinical trials and in respect of marketing authorizations which we face for our products in the EU.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231F20"/>
        </w:rPr>
        <w:t>We do not have the facilities or capabilities to commercially manufacture any of our drug candidates. We are and expect to continue to be dependent on contract manufacturers for supplying our existing and future candidates for clinical trials and commercial scale manufacturing of our candidates in accordance with regulatory requirements, including cGMP. Contract manufacturers may utilize their own technology, technology developed by us, or technology acquired or licensed from third parties. FDA approval of the manufacturing procedures and the site will be required prior to commercial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As of June 30, 2024, we had 28 employees, 3 of whom hold a Ph.D. or M.D. degree, all of which reside in the United States. Of the 28 </w:t>
      </w:r>
      <w:r>
        <w:rPr>
          <w:rFonts w:ascii="Times New Roman" w:cs="Times New Roman" w:eastAsia="Times New Roman" w:hAnsi="Times New Roman"/>
          <w:sz w:val="18"/>
          <w:szCs w:val="18"/>
          <w:color w:val="000000"/>
        </w:rPr>
        <w:t>employees,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12 were engaged in research and development activities and 16 were engaged in business development, finance, information systems, facilities, human resources or administrative support. </w:t>
      </w:r>
      <w:r>
        <w:rPr>
          <w:rFonts w:ascii="Times New Roman" w:cs="Times New Roman" w:eastAsia="Times New Roman" w:hAnsi="Times New Roman"/>
          <w:sz w:val="18"/>
          <w:szCs w:val="18"/>
          <w:color w:val="231F20"/>
        </w:rPr>
        <w:t>Other personnel resources are used from time to time as consultants or third-party service organizations on an as-needed basis. All members of our senior management team have prior experience with pharmaceutical, biotechnology or medical product companies. We believe that we have been successful in attracting skilled and experienced personnel, but there can be no assurance that we will be able to attract and retain the individuals needed.</w:t>
      </w:r>
    </w:p>
    <w:p>
      <w:pPr>
        <w:sectPr>
          <w:pgSz w:w="11900" w:h="16838" w:orient="portrait"/>
          <w:cols w:equalWidth="0" w:num="1">
            <w:col w:w="11220"/>
          </w:cols>
          <w:pgMar w:left="320" w:top="117"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231F20"/>
        </w:rPr>
        <w:t>Our people are a critical component in our continued success. We strive to create a workplace of choice to attract, retain and develop top talent to achieve our strategic goals. We strive to maximize the potential of our human capital resources by creating a respectful, rewarding, and inclusive work environment that enables our employees to further our mission. We adhere to a philosophy that includes, among other things, commitments to create ongoing job opportunities, pay fair wages, and protect worker health and safety.</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231F20"/>
        </w:rPr>
        <w:t>We invest in our workforce by offering competitive salaries and benefits. We endeavor to foster a strong sense of ownership by offering stock options under our equity incentive plan. We also offer comprehensive and locally relevant benefits for all eligible employees.</w:t>
      </w:r>
    </w:p>
    <w:p>
      <w:pPr>
        <w:spacing w:after="0" w:line="162" w:lineRule="exact"/>
        <w:rPr>
          <w:sz w:val="20"/>
          <w:szCs w:val="20"/>
          <w:color w:val="auto"/>
        </w:rPr>
      </w:pPr>
    </w:p>
    <w:p>
      <w:pPr>
        <w:jc w:val="both"/>
        <w:ind w:right="80" w:firstLine="509"/>
        <w:spacing w:after="0" w:line="313" w:lineRule="auto"/>
        <w:rPr>
          <w:sz w:val="20"/>
          <w:szCs w:val="20"/>
          <w:color w:val="auto"/>
        </w:rPr>
      </w:pPr>
      <w:r>
        <w:rPr>
          <w:rFonts w:ascii="Times New Roman" w:cs="Times New Roman" w:eastAsia="Times New Roman" w:hAnsi="Times New Roman"/>
          <w:sz w:val="18"/>
          <w:szCs w:val="18"/>
          <w:color w:val="231F20"/>
        </w:rPr>
        <w:t>We focus on our culture through a combination of regular training for employees at all levels, policies and practices in support of these goals, and a variety of internal and community-based events and actions that reinforce the power of our values and the unique characteristics of each of our employees.</w:t>
      </w:r>
    </w:p>
    <w:p>
      <w:pPr>
        <w:spacing w:after="0" w:line="162" w:lineRule="exact"/>
        <w:rPr>
          <w:sz w:val="20"/>
          <w:szCs w:val="20"/>
          <w:color w:val="auto"/>
        </w:rPr>
      </w:pPr>
    </w:p>
    <w:p>
      <w:pPr>
        <w:ind w:right="600" w:firstLine="509"/>
        <w:spacing w:after="0" w:line="312" w:lineRule="auto"/>
        <w:rPr>
          <w:sz w:val="20"/>
          <w:szCs w:val="20"/>
          <w:color w:val="auto"/>
        </w:rPr>
      </w:pPr>
      <w:r>
        <w:rPr>
          <w:rFonts w:ascii="Times New Roman" w:cs="Times New Roman" w:eastAsia="Times New Roman" w:hAnsi="Times New Roman"/>
          <w:sz w:val="17"/>
          <w:szCs w:val="17"/>
          <w:color w:val="231F20"/>
        </w:rPr>
        <w:t>None of our employees are represented by a labor union or covered by collective bargaining agreements. We have never experienced a work stoppage and believe our relationship with our employees is good. Management considers our relations with employees to generally be positive.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231F20"/>
        </w:rPr>
        <w:t>Our annual reports on Form 10-K, quarterly reports on Form 10-Q, current reports on Form 8-K, and amendments to those reports filed with or furnished to the SEC pursuant to Section 13(a) or 15(d) of the Securities Exchange Act of 1934, as amended, are available free of charge through our website at www.meipharma.com as soon as reasonably practicable after they are electronically filed with, or furnished to, the SEC. Further, the SEC maintains an internet site that contains reports, proxy and information statements, and other information regarding issuers that file electronically with the SEC and can be found on our EDGAR page at http://www.sec.gov.</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i w:val="1"/>
          <w:iCs w:val="1"/>
          <w:color w:val="auto"/>
        </w:rPr>
        <w:t>Investment in our securities involves a high degree of risk. You should consider carefully the risks described below, together with other information in this Annual Report and other public filings, before making investment decisions regarding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Moreover, the risks described below are not the only ones that we face. Additional risks not presently known to us or that we currently deem immaterial may also affect our business, operating results, prospects or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Review of Strategic Alternatives</w:t>
      </w:r>
    </w:p>
    <w:p>
      <w:pPr>
        <w:spacing w:after="0" w:line="225"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identifying and implementing any potential strategic alternatives in a timely manner, or at all, and any strategic transactions that we may consummate in the future could have negative consequences.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July 2024, we announced that we are undertaking a comprehensive exploration of strategic alternatives focused on maximizing stockholder value. We expect to devote substantial time and resources to exploring strategic alternatives that our Board believes will maximize stockholder value. Despite management devoting significant efforts to identify and evaluate potential strategic alternatives, there can be no assurance that this strategic review process will result in us pursuing any transaction or that we will be able to successfully consummate any particular strategic transaction on attractive terms, on a timely basis, or at all. For example, certain types of strategic transactions may require third-party consents, such as stockholder approval, which could be difficult or costly to obtain. We have not set a timetable for completion of this strategic review process, and our Board has not approved a definitive course of action. Additionally, there can be no assurance that any particular course of action, business arrangement or transaction, or series of transactions, will be pursued, successfully consummated or lead to increased stockholder value or that we will make any cash distributions to our stockholders.</w:t>
      </w:r>
    </w:p>
    <w:p>
      <w:pPr>
        <w:spacing w:after="0" w:line="8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process of continuing to evaluate our strategic alternatives may be costly, time-consuming and complex, and we may incur significant legal, accounting and advisory fees and other expenses, some of which may be incurred regardless of whether we successfully enter into a transaction. We may also incur additional unanticipated expenses in connection with this process. Any such expenses will decrease the remaining cash available for use in our business. Our ability to pursue or consummate strategic transactions also depends upon our ability to retain certain of our employees, the loss of whose services may adversely impact the ability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identify, negotiate and consummate such transaction. If we are unable to successfully retain certain of our key remaining personnel, we are at risk of a disruption to our exploration and consummation of one or more strategic transactions.</w:t>
      </w:r>
    </w:p>
    <w:p>
      <w:pPr>
        <w:spacing w:after="0" w:line="54"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 addition, potential counterparties in a strategic transaction involving us may place minimal or no value on our assets and our public listing. Further, should we resume the development of future drug candidates, such as one or more of the programs in our pipeline for which we halted further development, the development and any potential commercialization of our future drug candidates will require substantial additional cash to fund the costs associated with conducting the necessary preclinical and clinical testing and obtaining regulatory approval. Consequently, any potential counterparty in a strategic transaction involving us may choose not to spend additional resources to resume or continue development of our future drug candidates and may attribute little or no value, in such a transaction, to our future drug candidates.</w:t>
      </w:r>
    </w:p>
    <w:p>
      <w:pPr>
        <w:spacing w:after="0" w:line="7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any strategic transactions that we may pursue could have a variety of negative consequences, and we may enter into a transaction that yields unexpected results that adversely affect our business and decreases the remaining cash available for use in our business.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There can be no assurance that any particular course of action, business arrangement or transaction, or series of transactions, will be pursued, successfully consummated, lead to increased stockholder value, or achieve the anticipated results.</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If we are not successful in setting forth a new strategic path for us,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us could cause our stock price to fluctuate significantly.</w:t>
      </w:r>
    </w:p>
    <w:p>
      <w:pPr>
        <w:spacing w:after="0" w:line="17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consummate any strategic transaction, or series of transactions, from our strategic assessment, we may fail to realize all or any of the anticipated benefits of any such transaction, such benefits may take longer to realize than expected, we may encounter integration difficulties or we may be exposed to other operational and financial risks.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ability to realize the anticipated benefits of any potential strategic transaction will depend on a number of factors, including our ability to integrate with any future business partner, our ability to obtain value for portions of our business, if divested, and our ability to generate future stockholder value. The process may be disruptive to our business, and the expected benefits may not be achieved within the anticipated time frame, or at all. The failure to overcome the challenges involved and to realize the anticipated benefits of any potential transaction could adversely affect our business and financial condition. The negotiation and consummation of any potential strategic transaction will require significant time on the part of our management, and the diversion of management’s attention may disrupt our business.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negotiation and consummation of any such transaction may also require more time or greater cash resources than we anticipate and expose us to other operational and financial risks, including, but not limited to, increased near-term and long-term expenditures, exposure to unknown liabilities, higher than expected acquisition or integration costs, incurrence of substantial debt or dilutive issuances of equity securities to fund future operations, including financings in connection with a strategic transaction, write-downs of assets or goodwill or incurrence of non-recurring, impairment or other charges, increased amortization expenses, difficulty and cost in combining the operations and personnel of any acquired or acquiring business with our operations and personnel, impairment of relationships with key suppliers or customers of any acquired or acquiring business due to changes in management and ownership, inability to retain our key employees or any acquired or acquiring business and possibility of future litigation. Any of the foregoing risks could have a material adverse effect on our business, financial condition and prospects.</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strategic transaction is not consummated, our Board may decide to pursue a dissolution and liquidation. In such an event, the amount of cash available for distribution to our stockholders will depend significantly on the timing of such liquidation as well as the amount of cash that may need to be reserved for commitments and contingent liabilities.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we do not successfully consummate a strategic transaction, our Board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in consultation with our advisors, would need to evaluate these matters and make a determination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about a reasonable amount to reserve. Accordingly, holders of our common stock could lose all or a significant portion of their investment in the event of a liquidation, dissolution or winding up.</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to stockholders in the event of a strategic transaction or dissolution may depend on the extent to which we will be able to successfully satisfy our existing contractual obligations to third parties and regulatory commitments on favorable terms, which may include the outcome of our negotiations to reduce or terminate such commitments.</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currently subject to certain contractual and regulatory obligations and commitments. In connection with our comprehensive exploration of strategic alternatives, we may seek to negotiate with third parties in order to reduce or eliminate such obligations and commitments. Our ability to successfully negotiate such obligations or commitments on favorable terms, or at all, or our ability to satisfy any such obligations may impact our ability to pursue a strategic transaction on terms favorable to us, the resulting value to stockholders in a strategic transaction or the cash available for distribution to our stockholders in the event of our dissolution. We may also incur substantial costs in connection with or as a result of such negotiations or termination of any of our commitments. There can be no assurance that we will be successful in negotiating to reduce or eliminate any of our existing contractual or regulatory obligations and commitments, or that we will be able to satisfy any such obligations on a timetable that will allow us to maximize potential value to our stockholders.</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securities class action litigation, that could divert our management’s attention and harm our business, and insurance coverage may not be sufficient to cover all costs and damages.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past, litigation, including securities class action litigation, has often followed certain significant business transactions, such as the sale of a company or announcement of any other strategic transaction, or the announcement of negative events. These events may also result in investigations by the SEC.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 may not achieve our intended outcome and may result in significant adverse consequences.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July 2024, in connection with our evaluation of strategic alternatives, our Board approved a reduction-in-force to continue in stages as our operational and strategic direction evolves. This reduction-in-force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reduction-in-force. In addition, while positions have been eliminated, certain functions necessary to our operations remain, and we may be unsuccessful in distributing the duties and obligations of departed employees among our remaining employees. The reduction-in-force could also make it difficult for us to pursue, or prevent us from pursuing, new opportunities and initiatives due to insufficient personnel, or require us to incur additional and unanticipated costs to hire new personnel to pursue such opportunities or initiatives, including any potential strategic alternatives. If we are unable to realize the anticipated benefits from the reduction-in-force, or if we experience significant adverse consequences from the reduction-in-force, our business, financial condition, and results of operations may be materially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from our inception, and we anticipate that we may incur losses in the foreseeable future.</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are a clinical-stage pharmaceutical company. Until recently, we had focused our efforts primarily on developing voruciclib, a selective orally administered CDK9 inhibitor, and ME-344, an intravenous small molecule mitochondrial inhibitor targeting the oxidative phosphorylation pathway, with the goal of achieving regulatory approval. In connection with our decision to undertake a comprehensive exploration of strategic alternatives, we have discontinued our clinical programs involving voruciclib and ME-344.</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During the fiscal year ended June 30, 2024, we had net income of $17.8 million, while during the fiscal year ended June 30, 2023, we incurred a net loss of $31.8 million. As of June 30, 2024, we have an accumulated deficit of $388.2 million. In connection with the termination of all ongoing clinical programs noted above, our research and development expenses have decreased. We expect to continue to incur costs and expenditures in connection with the process of evaluating our strategic alternatives.</w:t>
      </w:r>
    </w:p>
    <w:p>
      <w:pPr>
        <w:spacing w:after="0" w:line="7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activities in the future, we expect that research and development costs would increase significantly and we would continue to incur significant expenses and operating and net losses, as we develop and seek regulatory approval for such drug candidates.</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financial results may fluctuate significantly from year to year, depending on whether we resume development of our drug candidates or any future drug candidates, the timing of any clinical trials, the receipt of payments under any future agreements we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enter into, and our expenditures on other research and development (R&amp;D) activities as well as any payments owed under the License Agreement with Presage and any future similar agreements.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we resume the development activities in the future, we expect we would to continue to incur significant losses for the foreseeable future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development of any drug candidate;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drug candidate that successfully completes clinical trials;</w:t>
      </w:r>
    </w:p>
    <w:p>
      <w:pPr>
        <w:spacing w:after="0" w:line="9" w:lineRule="exact"/>
        <w:rPr>
          <w:rFonts w:ascii="Times New Roman" w:cs="Times New Roman" w:eastAsia="Times New Roman" w:hAnsi="Times New Roman"/>
          <w:sz w:val="18"/>
          <w:szCs w:val="18"/>
          <w:color w:val="auto"/>
        </w:rPr>
      </w:pPr>
    </w:p>
    <w:p>
      <w:pPr>
        <w:ind w:left="1020" w:right="90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in the United States and scale up external manufacturing capabilities to commercialize any drugs for which we may obtain regulatory approval;</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global intellectual property portfolio;</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9" w:lineRule="exact"/>
        <w:rPr>
          <w:rFonts w:ascii="Times New Roman" w:cs="Times New Roman" w:eastAsia="Times New Roman" w:hAnsi="Times New Roman"/>
          <w:sz w:val="18"/>
          <w:szCs w:val="18"/>
          <w:color w:val="auto"/>
        </w:rPr>
      </w:pPr>
    </w:p>
    <w:p>
      <w:pPr>
        <w:ind w:left="1020" w:right="340" w:hanging="503"/>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potential future commercialization efforts.</w:t>
      </w:r>
    </w:p>
    <w:p>
      <w:pPr>
        <w:spacing w:after="0" w:line="7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drug development, we are unable to accurately predict the timing or amount of increased expenses or when, or if, we will be able to achieve profitability. If we are required by the FDA or foreign regulatory authorities, to perform studies in addition to those currently expected, or if there are any delays in completing our clinical trials or the development of our drug candidate, our expenses could increase.</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resume development of our drug candidate or any future drug candidate, we will need additional funding and may be unable to raise capital when needed, which would force us to delay, reduce or eliminate our drug development programs.</w:t>
      </w:r>
    </w:p>
    <w:p>
      <w:pPr>
        <w:spacing w:after="0" w:line="51"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drugs and drug candidates is expensive. If we resume development of our drug candidates or any future drug candidate, we will need to raise additional capital to continue such development.</w:t>
      </w:r>
    </w:p>
    <w:p>
      <w:pPr>
        <w:spacing w:after="0" w:line="68"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In July 2024, we discontinued the clinical program in our pipeline in connection with our undertaking a comprehensive exploration of strategic alternatives focused on maximizing stockholder value. In connection with our streamlined operating plan, we commenced a reduction-in-force.</w:t>
      </w:r>
    </w:p>
    <w:p>
      <w:pPr>
        <w:spacing w:after="0" w:line="54"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After taking into account the discontinuation of our clinical development programs, reduction-in-force and comprehensive exploration of strategic alternatives, we expect that our current unrestricted cash and cash equivalents and short-term investments will be sufficient to fund our currently anticipated operating plan for at least the next 12 months. In connection with the termination of all ongoing clinical programs, our research and development expenses have decreased. We expect to continue to incur costs and expenditures in connection with the process of evaluating our strategic alternatives. Should we resume development activities in the future, we expect that research and development costs would increase significantly. It is possible that the assumptions upon which we have based this estimate may prove to be wrong, and we could use our capital resources sooner than we presently expect.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discontinuation of the clinical programs in our pipeline;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exploration of strategic alternatives to maximize shareholder value;</w:t>
      </w:r>
    </w:p>
    <w:p>
      <w:pPr>
        <w:spacing w:after="0" w:line="9" w:lineRule="exact"/>
        <w:rPr>
          <w:rFonts w:ascii="Times New Roman" w:cs="Times New Roman" w:eastAsia="Times New Roman" w:hAnsi="Times New Roman"/>
          <w:sz w:val="18"/>
          <w:szCs w:val="18"/>
          <w:color w:val="auto"/>
        </w:rPr>
      </w:pPr>
    </w:p>
    <w:p>
      <w:pPr>
        <w:ind w:left="1020" w:right="60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resume development activities in the future, the rate of progress and costs related to development of and any trials for drug candidates;</w:t>
      </w:r>
    </w:p>
    <w:p>
      <w:pPr>
        <w:ind w:left="1020" w:right="5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resume development activities in the future, the rate of progress and costs for any drug candidates that we may in-license or acquire in the future;</w:t>
      </w:r>
    </w:p>
    <w:p>
      <w:pPr>
        <w:ind w:left="1020" w:right="38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any drug candidate, including any such costs we may be required to expend if our licensors are unwilling or unable to do so;</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co-promotion or other arrangements that we may establish.</w:t>
      </w:r>
    </w:p>
    <w:p>
      <w:pPr>
        <w:spacing w:after="0" w:line="9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complementary businesses, products and technologies. Until we can generate a sufficient amount of product revenue, if ever, we may seek to finance future cash needs through public or private equity offerings, debt financings, milestone and royalty payments from corporate collaboration and licensing arrangements, as well as through interest income earned on cash and investment balances. We cannot be certain that additional funding will be available on acceptable terms, or at all, and our ability to raise additional capital may be adversely impacted by potential worsening global economic conditions, including high rates of inflation and interest rates, the continuing disruptions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volatility in the credit and financial markets in the United States and worldwide, including resulting from the ongoing conflicts between Russia and the Ukraine, conflicts in the Middle East, and increasing tensions between China and Taiwan.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Any Future Development and Commercialization of Our Drug and Potential Drug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Should we resume development of our drug candidate or future drug candidates, if we are unable to successfully complete clinical development, obtain regulatory approvals and commercialize our drug candidate or future drug candidates, or experience significant delays in doing so, our business will be materially harmed.</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July 2024, we discontinued the clinical programs in our pipeline in connection with our undertaking a comprehensive exploration of strategic alternatives. Should we resume development activities in the future, we cannot be certain that any such drug candidates will be successful in clinical trials or receive regulatory approval. Regulatory authorities may interpret our data differently than we do. We are not permitted to market or promote any of our drug candidates before we receive regulatory approval from the FDA or comparable foreign regulatory authorities; should we resume development activities in the future we may never receive such regulatory approval for voruciclib or any future drug candidates.</w:t>
      </w:r>
    </w:p>
    <w:p>
      <w:pPr>
        <w:spacing w:after="0" w:line="7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Should we resume development of our drug candidate or any future drug candidates, the success of such drug candidates will depend on many factors, including but not limited to:</w:t>
      </w:r>
    </w:p>
    <w:p>
      <w:pPr>
        <w:spacing w:after="0" w:line="54" w:lineRule="exact"/>
        <w:rPr>
          <w:sz w:val="20"/>
          <w:szCs w:val="20"/>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 as well as completion of preclinical studies;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efficacy and acceptable safety data from our clinical trials and other studies;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additional regulatory approvals;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reliance on sole-source third parties such as our third-party vendors, suppliers, and manufacturers;</w:t>
      </w:r>
    </w:p>
    <w:p>
      <w:pPr>
        <w:spacing w:after="0" w:line="117" w:lineRule="exact"/>
        <w:rPr>
          <w:rFonts w:ascii="Times New Roman" w:cs="Times New Roman" w:eastAsia="Times New Roman" w:hAnsi="Times New Roman"/>
          <w:sz w:val="18"/>
          <w:szCs w:val="18"/>
          <w:color w:val="auto"/>
        </w:rPr>
      </w:pPr>
    </w:p>
    <w:p>
      <w:pPr>
        <w:ind w:left="780" w:right="40" w:hanging="263"/>
        <w:spacing w:after="0" w:line="282" w:lineRule="auto"/>
        <w:tabs>
          <w:tab w:leader="none" w:pos="8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CROs or other third parties and consultants we may retain of their duties to us in a manner that complies with our protocols and applicable laws and that protects the integrity of the resulting data;</w:t>
      </w:r>
    </w:p>
    <w:p>
      <w:pPr>
        <w:spacing w:after="0" w:line="53"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780" w:right="520" w:hanging="263"/>
        <w:spacing w:after="0" w:line="282" w:lineRule="auto"/>
        <w:tabs>
          <w:tab w:leader="none" w:pos="8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we do not infringe, misappropriate or otherwise violate the valid patent, trade secret or other intellectual property rights of third parties;</w:t>
      </w:r>
    </w:p>
    <w:p>
      <w:pPr>
        <w:spacing w:after="0" w:line="53"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either alone or with a commercial partner, any drug candidate for which regulatory approval is received;</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favorable reimbursement from third-party payers and governments for drugs and drug candidates;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drugs;</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commitments, if any, to regulatory agencies following regulatory approval of any drug candidate;</w:t>
      </w:r>
    </w:p>
    <w:p>
      <w:pPr>
        <w:spacing w:after="0" w:line="117"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following regulatory approval; and</w:t>
      </w:r>
    </w:p>
    <w:p>
      <w:pPr>
        <w:spacing w:after="0" w:line="117" w:lineRule="exact"/>
        <w:rPr>
          <w:rFonts w:ascii="Times New Roman" w:cs="Times New Roman" w:eastAsia="Times New Roman" w:hAnsi="Times New Roman"/>
          <w:sz w:val="18"/>
          <w:szCs w:val="18"/>
          <w:color w:val="auto"/>
        </w:rPr>
      </w:pPr>
    </w:p>
    <w:p>
      <w:pPr>
        <w:ind w:left="780" w:right="20" w:hanging="263"/>
        <w:spacing w:after="0" w:line="282" w:lineRule="auto"/>
        <w:tabs>
          <w:tab w:leader="none" w:pos="8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obtaining sufficient supplies of our drugs and any drug candidate that may be necessary for use in clinical trials for evaluation of any drug candidate and commercialization of any approved drug.</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If we do not achieve and maintain one or more of these factors in a timely manner or at all, we could experience significant delays in our ability to, or be unable to obtain regulatory approvals for, and/or to successfully commercialize any drugs or drug candidates, which would materially harm our business and we may not be able to generate sufficient revenues and cash flows to continue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value of our intellectual property is dependent, in part, on obtaining and maintaining patent protection and preserving trade secrets, which cannot be guaranteed.</w:t>
      </w:r>
    </w:p>
    <w:p>
      <w:pPr>
        <w:spacing w:after="0" w:line="51"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Patent protection and trade secret protection are important to our business and our future will depend, in part on our ability to maintain trade secret protection, obtain patents and operate without infringing the proprietary rights of others both in the U.S. and abroad. Litigation or other legal proceedings may be necessary to defend against claims of infringement, to enforce our patents or to protect our trade secrets. Such litigation could result in substantial costs and diversion of our management’s attention.</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We acquired patents and patent applications related to voruciclib from Presage in 2017, and acquired both issued patents and pending patent applications related to ME-344 from Novogen in relation to its Isoflavone-based compounds, which we previously licensed from Novogen, in 2011. Additionally, Novogen had previously applied for patents in a number of countries with</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respect to the use of their isoflavone compounds, including ME-344. Finally, in September 2013, we acquired patents and patent applications related to zandelisib from Pathway Therapeutics, Inc.</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patent applications may not proceed to grant or may be amended to reduce the scope of protection of any patent granted. The applications and patents may also be opposed or challenged by third parties. Should we resume development of our drug candidate or any future drug candidates, our commercial success will depend, in part, on our ability to obtain and maintain effective patent protection for our compounds and their use in treating, preventing, or curing cancer, and to successfully defend patent rights in those technologies against third-party challenges. As patent applications in the U.S. are maintained in secrecy until published or issued and as publication of discoveries in the scientific or patent literature often lag behind the actual discoveries, we cannot be certain that we or Presage were the first to make the inventions covered by the pending patent applications or issued patents referred to above or that we or they were the first to file patent applications for such inventions. Additionally, the breadth of claims allowed in biotechnology and pharmaceutical patents or their enforceability cannot be predicted. We cannot be sure that, should any patents issue, we will be provided with adequate protection against potentially competitive products. Furthermore, we cannot be sure that should patents issue, they will be of commercial value to us, or that private parties, including competitors, will not successfully challenge our patents or circumvent our patent position in the U.S. or abroad.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Risks</w:t>
      </w:r>
    </w:p>
    <w:p>
      <w:pPr>
        <w:spacing w:after="0" w:line="225"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2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(FCA), case against us even if the government considers the claim unmeritorious and declines to intervene, which could require us to incur costs defending against such a claim. Further, due to the risk that a judgment in an FCA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candidate development and, if such drug candidates are approved commercialization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regulatory enforcement actions, and the further development of any of our drug candidates could be delayed.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will be seriously jeopardized if we are unable to retain and attract key employees.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success depends on the continued contributions of our principal management, development and scientific personnel. We face competition for such personnel, and we believe that risks and uncertainties related to our business, including the timing and risk associated with research and development, our available and anticipated cash resources, and the volatility of our stock price, may impact our ability to hire and retain key and other personnel. The loss of services of our Acting Chief Executive Officer, Chief Financial Officer or other key employees could adversely impact our operations and ability to generate or raise additional capital.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U.S. and global economic conditions may pose challenges to our business strategy, which relies on funding from the financial markets or collaborators.</w:t>
      </w:r>
    </w:p>
    <w:p>
      <w:pPr>
        <w:spacing w:after="0" w:line="5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Negative conditions in the U.S. or global economy, including financial markets, may adversely affect our business and the business of current and prospective vendors, licensees and collaborators, and others with whom we do or may conduct business. The duration and severity of these conditions is uncertain. If negative economic conditions occur, we may be unable to secure funding on terms satisfactory to us to sustain our operations or to find suitable collaborators to advance our internal programs, even if we achieve positive results from our drug development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rules and regulations relating to public companies may be costly and impact our ability to attract and retain directors and executive officers.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Laws and regulations affecting public companies, including rules adopted by the SEC and by Nasdaq, may result in increased costs to us. These laws, rules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on our board committees or as executive officers. We cannot estimate accurately the amount or timing of additional costs we may incur to respond to these laws, rules and regulations.</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privacy issues could compromise our information and expose us to liability, which would cause our business and reputation to suffer.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third-party providers possess certain of our sensitive protected health data. The secure maintenance of this information is critical to our operations and business strategy. Despite our reasonable security measures, our information technology and infrastructure may be vulnerable to cyber-attacks or breached due to employee error, malfeasance or other disruptions. Cyber-attacks and other security incidents are increasing in their frequency, levels of persistence, sophistication and intensity, and are being conducted by sophisticated and organized groups and individuals with a wide range of motives and expertise.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and such systems, controls and processes may not be successful in preventing a breach or other incident. Any such security incident could compromise our networks and the information stored there could be accessed, publicly disclosed, encrypted, lost or stolen. We could be required to expend significant amounts of money and other resources to repair or replace information systems or networks. In addition, our liability insurance may not be sufficient in type or amount to cover us against claims related to security breaches, cyber-attacks and other related security incidents.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compliance with the Health Insurance Portability and Accountability Act of 1996 and state laws requiring security breach notification. The collection and use of personal health data of individuals in the European Union is also governed by strict data protection laws. In addition to existing laws, since May 25, 2018, the General Data Protection Regulation (GDPR) has imposed obligations with respect to European Union data and substantial fines for breaches of the data protection rules. The GDPR increased our responsibility and potential liability in relation to personal data that we process, and we were required to implement additional mechanisms to comply with the GDPR and related European Union data protection rules. Enforcement uncertainty and the costs associated with ensuring GDPR compliance may be onerous and adversely affect our business, operating results, prospects and financial condition.</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continue to evaluate the legal issues that arise concerning transfer of personal data of residents of the European Economic Area (EEA) member states or the U.K. to the U.S. or other jurisdictions that are not deemed adequate by the European Commission. Among other steps, we are implementing the new standard contractual clauses issued on June 4, 2021 by the European Commission. It remains uncertain how these standard contractual clauses will be implemented by the data exporters and data importers and whether they will ultimately be deemed sufficient by European courts. MEI Pharma observes the developments and will agree to the appropriate data transfer mechanism. In addition to standard contractual clauses, we may rely on individual contents of the patients where appropriate and necessary to safeguard the data flow from the EU to the U.S. Present solutions to legitimize transfers of personal data from the EEA may be challenged or deemed insufficient. We may, in addition to other impacts, experience additional costs associated with increased compliance burdens, and we and our customers face the potential for regulators in the EEA or U.K. to apply different standards to the transfer of personal data from the EEA/U.K. to the U.S., and to block, or require ad hoc verification of measures taken with respect to, certain data flows from the EEA or U.K. to the U.S. We also may be required to engage in new contract negotiations with third parties that aid in processing data on our behalf. We may experience reluctance or refusal by current or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prospective European clinical trial sites and CROs to use our products, and we may find it necessary or desirable to make further changes to our processing of personal data of EEA or U.K. data subjects.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Additionally, California has the California Consumer Privacy Act (CCPA), which creates individual privacy rights for consumers (as that word is broadly defined in the law) and places increased privacy and security obligations on entities handling personal data of consumers or households. The CCPA may significantly impact our business activities and require substantial compliance costs that adversely affect business, operating results, prospects and financial condition. Amendments to the CCPA mandated by the California Privacy Rights Act (CPRA) will impose additional privacy requirements, effective on January 1, 2023. Similarly comprehensive state consumer privacy laws in other states, such as Virginia, Utah, Connecticut and Colorado will also become effective in 2023. These new state privacy measures may reflect the start of a movement in other state legislatures to enact more comprehensive privacy laws, which would create a more complex privacy regulatory landscape for our business in the U.S. In addition, there is privacy legislation and rule making efforts at the federal level which may increase our privacy obligations in the U.S.</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Thus, any access, disclosure or other loss of information, including our data being breached at our partners or third-party providers, along with violations of privacy laws that exist and are increasing around the world, could result in legal claims or proceedings and liability under laws that protect the privacy of personal information, disrupt our operations and damage our reputation, which could adversely affect our business.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Even if we contract with third parties for the disposal of these materials and waste,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Events outside of our control, including natural disasters and public health emergencies, could severely disrupt our operations and have a material adverse effect on our business, operating results, prospects or financial condition. If a natural disaster, or public health emergency such as COVID-19, power outage or other event occurred that prevented us from conducting our clinical trials, including by damaging our critical infrastructure, such as third-party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operating results, prospects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deductibility of net operating losses could adversely affect our business and financial condition.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 history of net operating losses. In December 2017, the U.S. government enacted comprehensive tax legislation commonly referred to as the Tax Cuts and Jobs Act (the Tax Act). The Tax Act limits the deduction of net operating losses to 80% of current year taxable income. The limitations on the net operating loss deduction, as well other changes in tax policy, may subject us to additional taxation, adversely affecting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Securities Markets and Investment in our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capital markets disruption and economic uncertainty.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231F20"/>
        </w:rPr>
        <w:t xml:space="preserve">The U.S. capital markets </w:t>
      </w:r>
      <w:r>
        <w:rPr>
          <w:rFonts w:ascii="Times New Roman" w:cs="Times New Roman" w:eastAsia="Times New Roman" w:hAnsi="Times New Roman"/>
          <w:sz w:val="18"/>
          <w:szCs w:val="18"/>
          <w:color w:val="000000"/>
        </w:rPr>
        <w:t>are currently experiencing extreme volatility and disruption following the global outbreak of COVID-19, high inflation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government response thereto, potential economic downturn, publicized failures in the regional banking</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sector, the war in Ukraine, the upcoming U.S. presidential election, and other global events. Disruptions in the capital markets in the past have resulted in illiquidity in parts of the capital markets.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should that become required for us to fund ongoing operations. These events have limited and could continue to limit our capital investment considerations, limit our abilit</w:t>
      </w:r>
      <w:r>
        <w:rPr>
          <w:rFonts w:ascii="Times New Roman" w:cs="Times New Roman" w:eastAsia="Times New Roman" w:hAnsi="Times New Roman"/>
          <w:sz w:val="18"/>
          <w:szCs w:val="18"/>
          <w:color w:val="231F20"/>
        </w:rPr>
        <w:t>y to fund further clinical development, limit our ability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identify and implement any potential strategic alternatives and have a material negative impact on our operating results.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standards of the Nasdaq Capital Market, we may be delisted and the price of our common stock, our ability to access the capital markets and our financial condition could be negatively impacted.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MEIP. To maintain the listing of our common stock on the Nasdaq Capital Market, we are required to meet certain listing requirements, including, among others, maintaining a minimum closing bid price of $1.00 per share. As we continue to explore strategic alternatives, we intend to actively monitor the bid price of our common stock and its compliance with the listing requirement. If we fail to comply with the continued listing standards and the Nasdaq Capital Market delists our securities from trading on its exchange, we and our stockholders could face significant negative consequences including: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as a result of any future activism campaigns by Anson Advisors Inc. and Cable Car Capital LLC and other activist investors.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Anson Advisors Inc. holds approximately 16.4% of our outstanding common stock and Cable Car Capital LLC holds approximately 9.2% of our outstanding common stock, and each have sought to exert influence on our business operations and Board, and we expect that each will or may continue to do so.</w:t>
      </w:r>
    </w:p>
    <w:p>
      <w:pPr>
        <w:spacing w:after="0" w:line="68"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 xml:space="preserve">In July 2023, Anson Advisors Inc. and Cable Car Capital LLC initiated a consent solicitation to seek the consent of our stockholders holding at least a majority of our outstanding shares of common stock to, among other things, remove and replace all members of our Board. </w:t>
      </w:r>
      <w:r>
        <w:rPr>
          <w:rFonts w:ascii="Times New Roman" w:cs="Times New Roman" w:eastAsia="Times New Roman" w:hAnsi="Times New Roman"/>
          <w:sz w:val="18"/>
          <w:szCs w:val="18"/>
          <w:color w:val="231F20"/>
        </w:rPr>
        <w:t>On September 18,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we filed our definitive consent revocation statement urging stockholders to revoke their consents and reject the Consent Solicitation.</w:t>
      </w:r>
    </w:p>
    <w:p>
      <w:pPr>
        <w:spacing w:after="0" w:line="68" w:lineRule="exact"/>
        <w:rPr>
          <w:sz w:val="20"/>
          <w:szCs w:val="20"/>
          <w:color w:val="auto"/>
        </w:rPr>
      </w:pPr>
    </w:p>
    <w:p>
      <w:pPr>
        <w:ind w:right="100" w:firstLine="545"/>
        <w:spacing w:after="0" w:line="266" w:lineRule="auto"/>
        <w:rPr>
          <w:sz w:val="20"/>
          <w:szCs w:val="20"/>
          <w:color w:val="auto"/>
        </w:rPr>
      </w:pPr>
      <w:r>
        <w:rPr>
          <w:rFonts w:ascii="Times New Roman" w:cs="Times New Roman" w:eastAsia="Times New Roman" w:hAnsi="Times New Roman"/>
          <w:sz w:val="18"/>
          <w:szCs w:val="18"/>
          <w:color w:val="auto"/>
        </w:rPr>
        <w:t>The Consent Solicitation and our response to it resulted in significant distraction for management and additional capital outlays by us. Continued pursuit or further activities by Anson Advisors Inc. and Cable Car Capital LLC, or by other activist shareholders, could result in yet additional distractions and costs and could lead to a materially adverse impact on our business or operating results.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highly volatile and could decline in value and we may incur significant costs from class action litigation.</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could be highly volatile in response to various factors, many of which are beyond our control, including, but not limited to, the following:</w:t>
      </w:r>
    </w:p>
    <w:p>
      <w:pPr>
        <w:spacing w:after="0" w:line="54"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results and timing of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or announced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licenses, research contracts or other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regulatory climate and the biotechnology, pharmaceutical and genomics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stock market as a result of current or future domestic and global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any market for our securities;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delisting of our common stock from a national stock exchange.</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Equity markets in general, and the market for biotechnology and life sciences companies in particular, have experienced substantial price and volume fluctuations that have often been unrelated or disproportionate to the operating performance of companies traded in those markets. In addition, changes in economic conditions in the U.S., the Europe or globally, particularly in the context of current global events, could impact upon our ability to grow profitably. Adverse economic changes are outside our control and may result in material adverse impacts on our business or our results of operations. These broad market and industry factors may materially affect the market price of shares of our common stock, regardless of our development and operating performance. In the past, following periods of volatility in the market price of a company’s securities, securities class-action litigation has often been instituted against that company. Such litigation, if instituted against us, could cause us to incur substantial costs and divert management’s attention and resources.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common stock issued upon exercise of outstanding warrants or options, may depress the market price of our common stock and cause stockholders to experience dilution.</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market price of our common stock could decline as a result of sales of substantial amounts of our common stock in the public market, including upon exercise of outstanding warrants or stock options, and any subsequent sales of such shares. As of June 30, 2024, we had outstanding warrants exercisable to purchase 102,513 shares of common stock at an exercise price of $6.80 per share, which expire in </w:t>
      </w:r>
      <w:r>
        <w:rPr>
          <w:rFonts w:ascii="Times New Roman" w:cs="Times New Roman" w:eastAsia="Times New Roman" w:hAnsi="Times New Roman"/>
          <w:sz w:val="18"/>
          <w:szCs w:val="18"/>
          <w:color w:val="231F20"/>
        </w:rPr>
        <w:t>October 2027.</w:t>
      </w:r>
      <w:r>
        <w:rPr>
          <w:rFonts w:ascii="Times New Roman" w:cs="Times New Roman" w:eastAsia="Times New Roman" w:hAnsi="Times New Roman"/>
          <w:sz w:val="18"/>
          <w:szCs w:val="18"/>
          <w:color w:val="auto"/>
        </w:rPr>
        <w:t xml:space="preserve"> We also have outstanding options to purchase 1,357,213 shares of common stock . We may seek additional capital through one or more additional equity transactions in the future; however, such transactions will be subject to market conditions and there can be no assurance any such transactions will be completed. If we sell shares in the future, the prices at which we sell these future shares will vary, and these variations may be significant. Stockholders will experience significant dilution if we sell these future shares at prices significantly below the price at which such previous stockholders invested.</w:t>
      </w:r>
    </w:p>
    <w:p>
      <w:pPr>
        <w:spacing w:after="0" w:line="185"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than as described below or in connection with a strategic transaction we do not intend to pay, and we have not paid, any cash dividends on our shares of common stock. Our stockholders will not be able to receive a return on their shares unless the value of our common stock appreciates and they sell their shares.</w:t>
      </w:r>
    </w:p>
    <w:p>
      <w:pPr>
        <w:spacing w:after="0" w:line="6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1D2228"/>
        </w:rPr>
        <w:t>Other than the Capital Return, w</w:t>
      </w:r>
      <w:r>
        <w:rPr>
          <w:rFonts w:ascii="Times New Roman" w:cs="Times New Roman" w:eastAsia="Times New Roman" w:hAnsi="Times New Roman"/>
          <w:sz w:val="18"/>
          <w:szCs w:val="18"/>
          <w:color w:val="000000"/>
        </w:rPr>
        <w:t>e have never paid or declared any cash dividends on our common stock, and we intend to retain any future earnings</w:t>
      </w:r>
      <w:r>
        <w:rPr>
          <w:rFonts w:ascii="Times New Roman" w:cs="Times New Roman" w:eastAsia="Times New Roman" w:hAnsi="Times New Roman"/>
          <w:sz w:val="18"/>
          <w:szCs w:val="18"/>
          <w:color w:val="1D2228"/>
        </w:rPr>
        <w:t xml:space="preserve"> </w:t>
      </w:r>
      <w:r>
        <w:rPr>
          <w:rFonts w:ascii="Times New Roman" w:cs="Times New Roman" w:eastAsia="Times New Roman" w:hAnsi="Times New Roman"/>
          <w:sz w:val="18"/>
          <w:szCs w:val="18"/>
          <w:color w:val="000000"/>
        </w:rPr>
        <w:t>to finance the development and expansion of our business. We do not anticipate paying any cash dividends on our common stock in the foreseeable future other than in connection with a strategic transaction. Therefore, our stockholders will not be able to receive a return on their investment unless a strategic transaction that requires a dividend is successful or the value of our common stock appreciates and they sell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the net proceeds from any exercise of outstanding warrants and options.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will have broad discretion to use the net proceeds to us upon any exercise of outstanding warrants and options, and investors in our stock will be relying on the judgment of our Board and management regarding the application of these proceeds. Although we expect to use a substantial portion of the net proceeds from any exercise of the warrants and options for general corporate purposes and progression of our clinical trial programs, we have not allocated these net proceeds for specific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authorized to issue blank check preferred stock, which could adversely affect the holders of our common stock.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allows us to issue blank check preferred stock with rights potentially senior to those of our common stock without any further vote or action by the holders of our common stock. The issuance of a class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shares or making a change in control of the company more difficult.</w:t>
      </w:r>
    </w:p>
    <w:p>
      <w:pPr>
        <w:spacing w:after="0" w:line="179"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sixth amended and restated bylaws, as well as provisions of Delaware law, could impair a takeover attempt.</w:t>
      </w:r>
    </w:p>
    <w:p>
      <w:pPr>
        <w:spacing w:after="0" w:line="5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sixth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3"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providing for three classes of directors, which limits the ability of a stockholder or group to gain control of our board;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020" w:right="480" w:hanging="503"/>
        <w:spacing w:after="0" w:line="26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 and</w:t>
      </w:r>
    </w:p>
    <w:p>
      <w:pPr>
        <w:ind w:left="1020" w:right="60" w:hanging="503"/>
        <w:spacing w:after="0" w:line="255"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8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sixth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Our sixth amended and restated bylaws provide that, unless we consent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director, officer or other employee of ours to us or our stockholders, (iii) any action asserting a claim pursuant to any provision of the Delaware General Corporation Law, or (iv) any action asserting a claim governed by the internal affairs doctrine, and, if brought outside of Delaware, the stockholder bringing the suit will be deemed to have consented to service of process on such stockholder’s counsel, provided, however, that, in each case, if the Court of Chancery does not have jurisdiction, the forum for such action shall be another state court located within the State of Delaware or, if no state court located within the State of Delaware has jurisdiction, the federal district court for the District of Delaware, in all cases subject to the court having personal jurisdiction over the indispensable parties named as defendants therein.</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our shares of capital stock shall be deemed to have notice of and consented to such provisions.</w:t>
      </w:r>
    </w:p>
    <w:p>
      <w:pPr>
        <w:spacing w:after="0" w:line="54"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forum selection provision of our sixth amended and restated bylaws will not apply to suits brought to enforce any liability or duty created by the federal securities laws or any other claim for which the federal district courts of the U.S. of America shall be the sole and exclusive forum.</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sixth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may sell shares of their stock, and these sales could adversely affect our stock price.</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Sales of our stock by our executive officers and directors, or the perception that such sales may occur, could cause the market price of our common stock to decline or could make it more difficult for us to raise funds through the sale of equity in the future, either as part, or outside, of trading plans under Rule 10b5-1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recognize the importance cybersecurity has to the success of our business, as well as recognize the need to continually assess cybersecurity risks and evolve our responses in the face of a rapidly and ever-changing environment. Accordingly, we aim to protect our business operations, records and information against known and evolving cybersecurity threats.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within these systems.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firstLine="554"/>
        <w:spacing w:after="0" w:line="261"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2" w:lineRule="exact"/>
        <w:rPr>
          <w:sz w:val="20"/>
          <w:szCs w:val="20"/>
          <w:color w:val="auto"/>
        </w:rPr>
      </w:pPr>
    </w:p>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reasonably address any identified gaps in existing safeguards, and regularly monitor the effectiveness of our safeguards. Primary responsibility for assessing, monitoring and managing our cybersecurity risks rests with the Vice President of Information Technology who reports to our Acting Chief Executive Officer, Chief Financial Officer to manage the risk assessment and mitigation process.</w:t>
      </w:r>
    </w:p>
    <w:p>
      <w:pPr>
        <w:spacing w:after="0" w:line="72" w:lineRule="exact"/>
        <w:rPr>
          <w:sz w:val="20"/>
          <w:szCs w:val="20"/>
          <w:color w:val="auto"/>
        </w:rPr>
      </w:pPr>
    </w:p>
    <w:p>
      <w:pPr>
        <w:jc w:val="both"/>
        <w:ind w:right="220" w:firstLine="554"/>
        <w:spacing w:after="0" w:line="266" w:lineRule="auto"/>
        <w:rPr>
          <w:sz w:val="20"/>
          <w:szCs w:val="20"/>
          <w:color w:val="auto"/>
        </w:rPr>
      </w:pPr>
      <w:r>
        <w:rPr>
          <w:rFonts w:ascii="Times New Roman" w:cs="Times New Roman" w:eastAsia="Times New Roman" w:hAnsi="Times New Roman"/>
          <w:sz w:val="18"/>
          <w:szCs w:val="18"/>
          <w:color w:val="auto"/>
        </w:rPr>
        <w:t>As part of our overall risk management system, we monitor and test our safeguards and train our employees on these safeguards, in collaboration with our Information Technology department. Personnel at all levels and departments are made aware of our cybersecurity policies through trainings and internal communications.</w:t>
      </w:r>
    </w:p>
    <w:p>
      <w:pPr>
        <w:spacing w:after="0" w:line="68" w:lineRule="exact"/>
        <w:rPr>
          <w:sz w:val="20"/>
          <w:szCs w:val="20"/>
          <w:color w:val="auto"/>
        </w:rPr>
      </w:pPr>
    </w:p>
    <w:p>
      <w:pPr>
        <w:ind w:right="120" w:firstLine="554"/>
        <w:spacing w:after="0" w:line="261" w:lineRule="auto"/>
        <w:rPr>
          <w:sz w:val="20"/>
          <w:szCs w:val="20"/>
          <w:color w:val="auto"/>
        </w:rPr>
      </w:pPr>
      <w:r>
        <w:rPr>
          <w:rFonts w:ascii="Times New Roman" w:cs="Times New Roman" w:eastAsia="Times New Roman" w:hAnsi="Times New Roman"/>
          <w:sz w:val="18"/>
          <w:szCs w:val="18"/>
          <w:color w:val="auto"/>
        </w:rPr>
        <w:t>If required, we engage consultants, or other third parties in connection with our risk assessment processes. These service providers, where appropriate, assist us in the assessment, testing or other aspects of our security controls to help identify material cybersecurity risks to our critical systems, information, products, services, and our broader enterprise IT environment, as well as assist us in designing and implementing our cybersecurity policies and procedures.</w:t>
      </w:r>
    </w:p>
    <w:p>
      <w:pPr>
        <w:spacing w:after="0" w:line="72" w:lineRule="exact"/>
        <w:rPr>
          <w:sz w:val="20"/>
          <w:szCs w:val="20"/>
          <w:color w:val="auto"/>
        </w:rPr>
      </w:pPr>
    </w:p>
    <w:p>
      <w:pPr>
        <w:ind w:right="280" w:firstLine="554"/>
        <w:spacing w:after="0" w:line="282" w:lineRule="auto"/>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operations or financial standing. For additional information regarding risks from cybersecurity threats, please refer to Item 1A, “Risk Factors,” in this annual report on Form 10-K.</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oversight of cybersecurity and other information technology risks to the Audit Committee. The Audit Committee oversees management’s implementation of our cybersecurity risk management program and is responsible for monitoring and assessing strategic risk exposure, while our management team is responsible for the day-to-day operations over the material risks we face. Our management team, including our Acting Chief Executive Officer, Chief Financial Officer and Vice President of Information Technology, provide periodic briefings to the Audit Committee regarding our cybersecurity risks and activities, including any recent cybersecurity incidents and related responses, if applicable.</w:t>
      </w:r>
    </w:p>
    <w:p>
      <w:pPr>
        <w:spacing w:after="0" w:line="79" w:lineRule="exact"/>
        <w:rPr>
          <w:sz w:val="20"/>
          <w:szCs w:val="20"/>
          <w:color w:val="auto"/>
        </w:rPr>
      </w:pPr>
    </w:p>
    <w:p>
      <w:pPr>
        <w:ind w:right="40" w:firstLine="554"/>
        <w:spacing w:after="0" w:line="282" w:lineRule="auto"/>
        <w:rPr>
          <w:sz w:val="20"/>
          <w:szCs w:val="20"/>
          <w:color w:val="auto"/>
        </w:rPr>
      </w:pPr>
      <w:r>
        <w:rPr>
          <w:rFonts w:ascii="Times New Roman" w:cs="Times New Roman" w:eastAsia="Times New Roman" w:hAnsi="Times New Roman"/>
          <w:sz w:val="18"/>
          <w:szCs w:val="18"/>
          <w:color w:val="auto"/>
        </w:rPr>
        <w:t>The Audit Committee receives annual reports from management on our cybersecurity risks. In addition, management updates the Audit Committee, as necessary, regarding any material cybersecurity incidents, as well as any incidents with lesser impact potential.</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reports to the full Board regarding its activities, including those related to cybersecurity. The full Board also receives briefings from management on our cyber risk management program, in the discretion of the Board and management. Board members may receive presentations on cybersecurity topics from external experts as part of the Board’s continuing education on topics that impact public companies.</w:t>
      </w:r>
    </w:p>
    <w:p>
      <w:pPr>
        <w:spacing w:after="0" w:line="68" w:lineRule="exact"/>
        <w:rPr>
          <w:sz w:val="20"/>
          <w:szCs w:val="20"/>
          <w:color w:val="auto"/>
        </w:rPr>
      </w:pPr>
    </w:p>
    <w:p>
      <w:pPr>
        <w:ind w:right="160" w:firstLine="554"/>
        <w:spacing w:after="0" w:line="261" w:lineRule="auto"/>
        <w:rPr>
          <w:sz w:val="20"/>
          <w:szCs w:val="20"/>
          <w:color w:val="auto"/>
        </w:rPr>
      </w:pPr>
      <w:r>
        <w:rPr>
          <w:rFonts w:ascii="Times New Roman" w:cs="Times New Roman" w:eastAsia="Times New Roman" w:hAnsi="Times New Roman"/>
          <w:sz w:val="18"/>
          <w:szCs w:val="18"/>
          <w:color w:val="auto"/>
        </w:rPr>
        <w:t>Our Acting Chief Executive Officer, CFO and Vice President of Information Technology, are responsible for assessing and managing our material risks from cybersecurity threats and have decades of experience in overseeing operations, including information technology functions, in the public company environment. The team has primary responsibility for our overall cybersecurity risk management program and supervises our retained external cybersecurity consultants as needed.</w:t>
      </w:r>
    </w:p>
    <w:p>
      <w:pPr>
        <w:spacing w:after="0" w:line="72" w:lineRule="exact"/>
        <w:rPr>
          <w:sz w:val="20"/>
          <w:szCs w:val="20"/>
          <w:color w:val="auto"/>
        </w:rPr>
      </w:pPr>
    </w:p>
    <w:p>
      <w:pPr>
        <w:ind w:right="120" w:firstLine="554"/>
        <w:spacing w:after="0" w:line="258" w:lineRule="auto"/>
        <w:rPr>
          <w:sz w:val="20"/>
          <w:szCs w:val="20"/>
          <w:color w:val="auto"/>
        </w:rPr>
      </w:pPr>
      <w:r>
        <w:rPr>
          <w:rFonts w:ascii="Times New Roman" w:cs="Times New Roman" w:eastAsia="Times New Roman" w:hAnsi="Times New Roman"/>
          <w:sz w:val="18"/>
          <w:szCs w:val="18"/>
          <w:color w:val="auto"/>
        </w:rPr>
        <w:t>Our management team supervises cybersecurity risk management efforts to prevent, detect, mitigate, and remediate cybersecurity risks and incidents through various means, which may include briefings from external consultants engaged by us; threat intelligence and other information obtained from governmental, public or private sources; and alerts and reports produced by security tools deployed in the IT environment. The cybersecurity risk management program also includes tools and activities to prevent, detect, and analyze current and emerging cybersecurity threats, and plans and strategies to address threats and incidents.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occupy approximately 45,100 square feet of office space in San Diego, California under a lease that expires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party to a material legal proceeding that we believe will have a material adverse effect on our business or financial conditions.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September 13, 2024, there were 6,662,857 shares of our common stock outstanding and 321 holders of record of our common stock. This number was derived from our stockholder records and does not include beneficial owners of our common stock whose shares are held in the name of various dealers, clearing agencies, banks, brokers and other fiduciaries.</w:t>
      </w:r>
    </w:p>
    <w:p>
      <w:pPr>
        <w:spacing w:after="0" w:line="66" w:lineRule="exact"/>
        <w:rPr>
          <w:sz w:val="20"/>
          <w:szCs w:val="20"/>
          <w:color w:val="auto"/>
        </w:rPr>
      </w:pPr>
    </w:p>
    <w:p>
      <w:pPr>
        <w:ind w:right="2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outstanding warrants and other securities exercisable for or convertible into shares of our common stock, see </w:t>
      </w:r>
      <w:r>
        <w:rPr>
          <w:rFonts w:ascii="Times New Roman" w:cs="Times New Roman" w:eastAsia="Times New Roman" w:hAnsi="Times New Roman"/>
          <w:sz w:val="18"/>
          <w:szCs w:val="18"/>
          <w:i w:val="1"/>
          <w:iCs w:val="1"/>
          <w:u w:val="single" w:color="auto"/>
          <w:color w:val="0000FF"/>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Stockholders' Equity</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11 - Share-based Compensation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under</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Item 8 Consolidated Financial Statements and Supplementary Data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in this Annual</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-313690</wp:posOffset>
            </wp:positionV>
            <wp:extent cx="4533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33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6275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50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The total dividend of $11.7 million was paid on December 6, 2023, and was recorded as a reduction of additional paid-in capital in the consolidated statements of stockholders' equity, as we have an accumulated deficit, rather than retained earnings. We do not anticipate paying additional cash dividends in the foreseeable future other than in connection with a strategic transaction which requires it, and currently intend to retain all available funds and future earnings, if any, to support operations. Any future determination related to our dividend policy will be made at the discretion of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table below shows, as of June 30, 2024, information for equity compensation plans previously approved by stockholders and for compensation plans not previously approved by stockholders.</w:t>
      </w: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200" w:type="dxa"/>
            <w:vAlign w:val="bottom"/>
          </w:tcPr>
          <w:p>
            <w:pPr>
              <w:spacing w:after="0"/>
              <w:rPr>
                <w:sz w:val="18"/>
                <w:szCs w:val="18"/>
                <w:color w:val="auto"/>
              </w:rPr>
            </w:pP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remaining available for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w:t>
            </w:r>
          </w:p>
        </w:tc>
        <w:tc>
          <w:tcPr>
            <w:tcW w:w="2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under equity</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compensation plans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2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2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 (a))</w:t>
            </w:r>
          </w:p>
        </w:tc>
        <w:tc>
          <w:tcPr>
            <w:tcW w:w="0" w:type="dxa"/>
            <w:vAlign w:val="bottom"/>
          </w:tcPr>
          <w:p>
            <w:pPr>
              <w:spacing w:after="0"/>
              <w:rPr>
                <w:sz w:val="1"/>
                <w:szCs w:val="1"/>
                <w:color w:val="auto"/>
              </w:rPr>
            </w:pPr>
          </w:p>
        </w:tc>
      </w:tr>
      <w:tr>
        <w:trPr>
          <w:trHeight w:val="211"/>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18"/>
                <w:szCs w:val="18"/>
                <w:color w:val="auto"/>
              </w:rPr>
            </w:pP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680" w:type="dxa"/>
            <w:vAlign w:val="bottom"/>
            <w:gridSpan w:val="2"/>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holders (1)</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1,270,950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465,633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86,263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0" w:type="dxa"/>
            <w:vAlign w:val="bottom"/>
            <w:vMerge w:val="restart"/>
          </w:tcPr>
          <w:p>
            <w:pPr>
              <w:spacing w:after="0"/>
              <w:rPr>
                <w:sz w:val="18"/>
                <w:szCs w:val="18"/>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holders (2)</w:t>
            </w:r>
          </w:p>
        </w:tc>
        <w:tc>
          <w:tcPr>
            <w:tcW w:w="160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68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1,357,213</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tcBorders>
              <w:bottom w:val="single" w:sz="8" w:color="CFF0FC"/>
            </w:tcBorders>
            <w:shd w:val="clear" w:color="auto" w:fill="CFF0FC"/>
          </w:tcPr>
          <w:p>
            <w:pPr>
              <w:spacing w:after="0"/>
              <w:rPr>
                <w:sz w:val="23"/>
                <w:szCs w:val="23"/>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596,370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1020" w:right="60" w:hanging="503"/>
        <w:spacing w:after="0" w:line="258"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1,270,950 shares of common stock issuable upon exercise of options granted under the MEI Pharma, Inc. Amended and Restated 2008 Stock Omnibus Equity Compensation Plan (Omnibus Plan), under which 1,850,739 shares of common stock are authorized for issuance. The Omnibus Plan provides for the grant of options and/or other stock-based or stock-denominated awards to our non-employee directors, officers, employees and advisors. The weighted-average exercise price presented is the weighted-average exercise price of vested and unvested options.</w:t>
      </w:r>
    </w:p>
    <w:p>
      <w:pPr>
        <w:spacing w:after="0" w:line="75"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86,263 shares of common stock issuable upon exercise of options granted under the MEI Pharma, Inc. 2021 Inducement Plan (Inducement Plan), under which 217,000 shares of common stock are authorized for issuance. The Inducement Plan provides for the grant of options and/or other stock-based or stock-denominated awards to attract and retain selected individuals to serve as employees. The weighted-average exercise price presented is the weighted-average exercise price of vested and unvested options.</w:t>
      </w:r>
    </w:p>
    <w:p>
      <w:pPr>
        <w:sectPr>
          <w:pgSz w:w="11900" w:h="16838" w:orient="portrait"/>
          <w:cols w:equalWidth="0" w:num="1">
            <w:col w:w="11220"/>
          </w:cols>
          <w:pgMar w:left="320" w:top="117"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following discussion and analysis should be read in conjunction with </w:t>
      </w:r>
      <w:r>
        <w:rPr>
          <w:rFonts w:ascii="Times New Roman" w:cs="Times New Roman" w:eastAsia="Times New Roman" w:hAnsi="Times New Roman"/>
          <w:sz w:val="18"/>
          <w:szCs w:val="18"/>
          <w:i w:val="1"/>
          <w:iCs w:val="1"/>
          <w:u w:val="single" w:color="auto"/>
          <w:color w:val="0000FF"/>
        </w:rPr>
        <w:t>Item 8. Consolidated Financial Statements and Supplementary Data</w:t>
      </w:r>
      <w:r>
        <w:rPr>
          <w:rFonts w:ascii="Times New Roman" w:cs="Times New Roman" w:eastAsia="Times New Roman" w:hAnsi="Times New Roman"/>
          <w:sz w:val="18"/>
          <w:szCs w:val="18"/>
          <w:color w:val="auto"/>
        </w:rPr>
        <w:t xml:space="preserve"> included below in this Annual Report. Operating results are not necessarily indicative of results that may occur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-186055</wp:posOffset>
            </wp:positionV>
            <wp:extent cx="31222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3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discussion and analysis contains forward-looking statements that involve a number of risks, uncertainties and assumptions. Actual results may differ materially from those anticipated in the forward-looking statements as a result of many factors including, but not limited to, those set forth under Cautionary Statement About Forward-Looking Statements and Risk Factors in </w:t>
      </w:r>
      <w:r>
        <w:rPr>
          <w:rFonts w:ascii="Times New Roman" w:cs="Times New Roman" w:eastAsia="Times New Roman" w:hAnsi="Times New Roman"/>
          <w:sz w:val="18"/>
          <w:szCs w:val="18"/>
          <w:i w:val="1"/>
          <w:iCs w:val="1"/>
          <w:u w:val="single" w:color="auto"/>
          <w:color w:val="0000FF"/>
        </w:rPr>
        <w:t>Item 1A. Risk Factors</w:t>
      </w:r>
      <w:r>
        <w:rPr>
          <w:rFonts w:ascii="Times New Roman" w:cs="Times New Roman" w:eastAsia="Times New Roman" w:hAnsi="Times New Roman"/>
          <w:sz w:val="18"/>
          <w:szCs w:val="18"/>
          <w:color w:val="auto"/>
        </w:rPr>
        <w:t xml:space="preserve"> included above in this Annual Report. All forward-looking statements included in this Annual Report are based on the information available to us as of the time we file this Annual Report, and except as required by law, we undertake no obligation to update publicly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-308610</wp:posOffset>
            </wp:positionV>
            <wp:extent cx="9963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96315"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MEI Pharma, Inc. (Nasdaq: MEIP) is a </w:t>
      </w:r>
      <w:r>
        <w:rPr>
          <w:rFonts w:ascii="Times New Roman" w:cs="Times New Roman" w:eastAsia="Times New Roman" w:hAnsi="Times New Roman"/>
          <w:sz w:val="18"/>
          <w:szCs w:val="18"/>
          <w:color w:val="000000"/>
        </w:rPr>
        <w:t>pharmaceutical company that has been developing novel and differentiated cancer therapies. We</w:t>
      </w:r>
      <w:r>
        <w:rPr>
          <w:rFonts w:ascii="Times New Roman" w:cs="Times New Roman" w:eastAsia="Times New Roman" w:hAnsi="Times New Roman"/>
          <w:sz w:val="18"/>
          <w:szCs w:val="18"/>
          <w:color w:val="231F20"/>
        </w:rPr>
        <w:t xml:space="preserve"> built our pipeline by acquiring promising cancer agents and creating value in 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 development has been to evaluate our drug candidates in combinations with standard-of-care therapies to overcome known resistance mechanisms and address clear medical needs to provide improved patient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drug candidate pipeline includes voruciclib, an oral cyclin-dependent kinase 9 (CDK9) inhibitor and ME-344, an intravenous small molecule mitochondrial inhibitor targeting the oxidative phosphorylation pathway.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For a more complete discussion of our business, see the section of this Annual Report </w:t>
      </w:r>
      <w:r>
        <w:rPr>
          <w:rFonts w:ascii="Times New Roman" w:cs="Times New Roman" w:eastAsia="Times New Roman" w:hAnsi="Times New Roman"/>
          <w:sz w:val="18"/>
          <w:szCs w:val="18"/>
          <w:i w:val="1"/>
          <w:iCs w:val="1"/>
          <w:u w:val="single" w:color="auto"/>
          <w:color w:val="0000FF"/>
        </w:rPr>
        <w:t>Item 1. Business</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-6350</wp:posOffset>
            </wp:positionV>
            <wp:extent cx="7454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Notification of Strategic Alternatives Evaluation</w:t>
      </w:r>
    </w:p>
    <w:p>
      <w:pPr>
        <w:spacing w:after="0" w:line="119"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On July 22, 2024, we announced that our Board had determined unanimously to begin the evaluation of our strategic alternatives, including potential transactions as well as an orderly wind down of operations, if appropriate, to maximize the value of our assets for our stockholders. We commenced a reduction-in-force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 Consistent with our intention to preserve cash, David M. Urso, our President and Chief Executive Officer, and Richard Ghalie, MD, our Chief Medical Officer, have stepped down effective August 1, 2024. Mr. Urso also left the Board at that date. We have entered into consulting agreements with both Mr. Urso and Dr. Ghalie under which they will remain available to assist us in our strategic efforts. Charles V. Baltic III, the Chairperson of the Board, also stepped down from the Board contemporaneously with the announcement on July 22, 2024. Our Board has appointed Justin J. File, our current Chief Financial Officer, to assume the position of Acting Chief Executive Officer and has appointed Frederick W. Driscoll as Chairperson of the Board.</w:t>
      </w:r>
    </w:p>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119" w:lineRule="exact"/>
        <w:rPr>
          <w:sz w:val="20"/>
          <w:szCs w:val="20"/>
          <w:color w:val="auto"/>
        </w:rPr>
      </w:pPr>
    </w:p>
    <w:p>
      <w:pPr>
        <w:ind w:right="160" w:firstLine="554"/>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(Cooperation Agreement) with Anson Funds Management LP and Cable Car Capital LLC (Anson and Cable Car, respectively), which, among other non-financial related items provided for a capital return to stockholders in the form of a dividend in the amount of $1.75 per share of common stock, as further discussed below. Additionally, the Cooperation Agreement contemplated a potential second return of capital not to exceed $9.33 million (Potential Second Return of Capital) if authorized by Board should our ongoing ME-344 Phase 1b trial fail to meet certain defined endpoints or our Board determines not to proceed with a second cohort.</w:t>
      </w:r>
    </w:p>
    <w:p>
      <w:pPr>
        <w:spacing w:after="0" w:line="75" w:lineRule="exact"/>
        <w:rPr>
          <w:sz w:val="20"/>
          <w:szCs w:val="20"/>
          <w:color w:val="auto"/>
        </w:rPr>
      </w:pPr>
    </w:p>
    <w:p>
      <w:pPr>
        <w:ind w:right="140" w:firstLine="554"/>
        <w:spacing w:after="0" w:line="282" w:lineRule="auto"/>
        <w:rPr>
          <w:sz w:val="20"/>
          <w:szCs w:val="20"/>
          <w:color w:val="auto"/>
        </w:rPr>
      </w:pPr>
      <w:r>
        <w:rPr>
          <w:rFonts w:ascii="Times New Roman" w:cs="Times New Roman" w:eastAsia="Times New Roman" w:hAnsi="Times New Roman"/>
          <w:sz w:val="18"/>
          <w:szCs w:val="18"/>
          <w:color w:val="auto"/>
        </w:rPr>
        <w:t>In April 2024, the Board unanimously determined not to proceed with the Potential Second Return of Capital under the Cooperation Agreement in order to conserve resources and align strategic investment, and thereby extend our operational runway.</w:t>
      </w:r>
    </w:p>
    <w:p>
      <w:pPr>
        <w:spacing w:after="0" w:line="54" w:lineRule="exact"/>
        <w:rPr>
          <w:sz w:val="20"/>
          <w:szCs w:val="20"/>
          <w:color w:val="auto"/>
        </w:rPr>
      </w:pPr>
    </w:p>
    <w:p>
      <w:pPr>
        <w:ind w:right="580" w:firstLine="554"/>
        <w:spacing w:after="0" w:line="282"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Anson's and Cable Car’s fees and expenses related to their engagement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with us as of the date of the Cooperation Agreement in an amount of $1.1 million, which is recorded within general and administrative expenses in the consolidated statements of operations for the fiscal year ended June 30, 2024.</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The total dividend of $11.7 million was paid on December 6, 2023, and was recorded as a reduction of additional paid-in capital in the consolidated statements of stockholders' equity, as we have an accumulated deficit, rather than retained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Shelf Registration Statement) that permits us to sell, from time to time, up to $100.0 million of common stock, preferred stock, warrants rights and units subject to the "Baby Shelf Limitation" described below. The February 2024 Shelf Registration Statement was filed February 20, 2024 and declared effective February 28, 2024.</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with JonesTrading Institutional Services LLC, pursuant to which we can offer and sell shares having an aggregate offering price of up to $25.0 million (ATM Program). In no event will we sell securities registered on this registration statement in a public primary offering with a value exceeding more than one-third of our public float in any 12-month period so long as our public float remains below $75 million (Baby Shelf Limitation). As of January 2, 2024, the date used under applicable rules of the Securities and Exchange Commission to determine our public float at the commencement of the offering, one-third of our public float was equal to approximately $9.9 million. As of June 30, 2024, no shares have been issued and sold under our ATM Program.</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May 2023, outstanding warrants to purchase 802,949 shares of our common stock expired. The warrants were fully vested and exercisable at a price of $50.80 per share. Pursuant to the terms of the warrants, we could have been required to settle the warrants in cash in the event of an acquisition of the company and, as a result, the warrants were required, prior to their expiration, to be measured at fair value and reported as a liability in the consolidated balance sheets. As of June 30, 2022, the warrants were valued at $1.6 million. Prior to their expiration, the warrants had been revalued to $0, as of December 31, 2022. All corresponding changes in fair value were recorded as a component of other income (expense) in our consolidated statements of operations. The warrants expired in May 2023.</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we have outstanding warrants to purchase 102,513 shares of our common stock, all issued to Torreya Partners LLC in fiscal year 2023. The warrants are fully vested, exercisable at a price of $6.80 per share and expire in October 2027. No warrants were exercised during the years June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Critical accounting policies are those most important to the portrayal of our financial condition and results of operations and require management’s difficult, subjective, or complex judgment, often as a result of the need to make estimates about the effect of matters that are inherently uncertain and may change in subsequent periods. Certain accounting estimates are particularly sensitive because of their significance to financial statements and because of the possibility future events affecting the estimate may differ significantly from management’s current judgments. We believe the following critical accounting policies involve the most significant estimates and judgments used in the preparation of our consolidated financial statements.</w:t>
      </w:r>
    </w:p>
    <w:p>
      <w:pPr>
        <w:spacing w:after="0" w:line="60"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 xml:space="preserve">Except as provided below, there have been no material changes from the critical accounting estimates identified below nor our significant accounting policies set forth in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-48260</wp:posOffset>
            </wp:positionV>
            <wp:extent cx="23768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76805"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 (Property and Equipment, and Intangible Assets)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accordance with the authoritative guidance for impairment or disposal of long-lived assets Accounting Standards Codification (ASC) Topic 360, Property, Plant and Equipment (ASC 360), we assess potential impairments to our long-lived assets, including property, equipment and right-of-use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Assumptions and estimates used in evaluating our long-lived assets future values and remaining useful lives are complex and often subjective. They can be affected by a variety of factors, including external factors such as industry and economic trends, and internal factors such as changes in our business strategy, internal forecasts and clinical trial results. For example, if we experience a sustained decline in our market capitalization determined to be indicative of a reduction in fair value of our enterprise, we may be required to record future impairment charges for our acquired technology intangible assets with finite lives.</w:t>
      </w:r>
    </w:p>
    <w:p>
      <w:pPr>
        <w:spacing w:after="0" w:line="86"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 xml:space="preserve">Impairment charges could materially decrease our future net income and result in lower asset values on our balance sheet. Key assumptions include, but are not limited to, future cash flows, operating margins, capital expenditures, terminal growth rates and discount rates. We also consider our market capitalization as a part of our analysis. During the fiscal year ended June 30, 2024, we recorded long-lived asset impairment charges of $10.9 million. During the fiscal year ended June 30, 2023, we had no similar charge. For additional details regarding our intangible assets and related impairments see </w:t>
      </w:r>
      <w:r>
        <w:rPr>
          <w:rFonts w:ascii="Times New Roman" w:cs="Times New Roman" w:eastAsia="Times New Roman" w:hAnsi="Times New Roman"/>
          <w:sz w:val="17"/>
          <w:szCs w:val="17"/>
          <w:i w:val="1"/>
          <w:iCs w:val="1"/>
          <w:u w:val="single" w:color="auto"/>
          <w:color w:val="0000FF"/>
        </w:rPr>
        <w:t>Note 3—Balance Sheet Details</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i w:val="1"/>
          <w:iCs w:val="1"/>
          <w:u w:val="single" w:color="auto"/>
          <w:color w:val="0000FF"/>
        </w:rPr>
        <w:t>Note 9—Leases</w:t>
      </w:r>
      <w:r>
        <w:rPr>
          <w:rFonts w:ascii="Times New Roman" w:cs="Times New Roman" w:eastAsia="Times New Roman" w:hAnsi="Times New Roman"/>
          <w:sz w:val="17"/>
          <w:szCs w:val="17"/>
          <w:color w:val="000000"/>
        </w:rPr>
        <w:t>, to our consolidated financial statements and related notes included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23482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apply the five-step revenue recognition model within the scope of ASC Topic 606, Revenue from Contracts with Customers (ASC 606). Under this model, we: (i) identify the contract, (ii) identify the performance obligations in the contract, (iii) determine the transaction price, (iv) allocate the transaction price to the performance obligations in the contract, and (v) recognize revenue when, or as, a company satisfies a performance obligation. A performance obligation is a promise in a contract to transfer a distinct good or service and is the unit of accounting in ASC 606. A contract’s transaction price is allocated among each distinct performance obligation based on relative standalone selling price and recognized as revenue when, or as, the applicable performance obligation is satisfied.‌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terms of our arrangements include upfront and license fees, research and development services, milestone and other contingent payments for the achievement of defined objectives and certain preclinical, clinical, regulatory and sales-based events, as well as royalties on sales of commercialized products. Agreements with certain upfront payments may require deferral of revenue recognition to a future period until we perform the obligations under these agreements. We use the most likely amount method to estimate variable consideration for event-based milestones and other contingent payments. Given the high degree of uncertainty around the occurrence of such events, the event-based milestones and other contingent payments have been fully constrained until any uncertainty associated with these payments is resolved. Revenue from sales-based milestones and royalty payments is recognized at the later of when or as the sales occur or when the related performance obligation has been satisfied or partially satisfied. We continue to re-evaluate the transaction price in each reporting period as contingencies are resolved and other changes in circumstances occur.‌</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Revenue recognition is subject to uncertainty due to the variable consideration estimates required to be made. These estimates include the level of effort required to satisfy our obligations under our research and development services arrangements. These amounts are estimated at the inception of the services arrangement and are re-evaluated at each reporting period. To accomplish this, we rely on management’s experience, relevant internal data reports and regulatory approvals. The recorded variable consideration is directly sensitive to the estimated inputs made by management used in the calculation. Changes in estimates are accounted for prospectively.‌</w:t>
      </w:r>
    </w:p>
    <w:p>
      <w:pPr>
        <w:spacing w:after="0" w:line="75" w:lineRule="exact"/>
        <w:rPr>
          <w:sz w:val="20"/>
          <w:szCs w:val="20"/>
          <w:color w:val="auto"/>
        </w:rPr>
      </w:pPr>
    </w:p>
    <w:p>
      <w:pPr>
        <w:ind w:right="100" w:firstLine="554"/>
        <w:spacing w:after="0" w:line="258" w:lineRule="auto"/>
        <w:rPr>
          <w:sz w:val="20"/>
          <w:szCs w:val="20"/>
          <w:color w:val="auto"/>
        </w:rPr>
      </w:pPr>
      <w:r>
        <w:rPr>
          <w:rFonts w:ascii="Times New Roman" w:cs="Times New Roman" w:eastAsia="Times New Roman" w:hAnsi="Times New Roman"/>
          <w:sz w:val="18"/>
          <w:szCs w:val="18"/>
          <w:color w:val="auto"/>
        </w:rPr>
        <w:t xml:space="preserve">In response to the discontinuance of zandelisib development with KKC during the fiscal year ended June 30, 2023, we updated our estimated costs to complete each of the performance obligations, which resulted in a higher progress towards completion based on the ratio of costs incurred to date to the total estimated costs and a corresponding decrease in our deferred revenue. Additionally, we recognized revenue related to non-refundable payments for performance obligations that have not commenced and will no longer be initiated. During fiscal year 2024, in regard to the KKC Commercialization Agreement, </w:t>
      </w:r>
      <w:r>
        <w:rPr>
          <w:rFonts w:ascii="Times New Roman" w:cs="Times New Roman" w:eastAsia="Times New Roman" w:hAnsi="Times New Roman"/>
          <w:sz w:val="18"/>
          <w:szCs w:val="18"/>
          <w:color w:val="231F20"/>
        </w:rPr>
        <w:t>all deferred revenue had been recognized</w:t>
      </w:r>
      <w:r>
        <w:rPr>
          <w:rFonts w:ascii="Times New Roman" w:cs="Times New Roman" w:eastAsia="Times New Roman" w:hAnsi="Times New Roman"/>
          <w:sz w:val="18"/>
          <w:szCs w:val="18"/>
          <w:color w:val="auto"/>
        </w:rPr>
        <w:t xml:space="preserve"> and all wind-down activities were completed.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and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licensing of in-process research and development for early-stage products or products that are not commercially viable and ready for use, or have no alternative future use, are charged to expense in the period incurred.</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are required to estimate expenses resulting from obligations under contracts with vendors, clinical research organizations (CROs), consultants and under clinical site agreements relating to conducting clinical trials. The financial terms of these contracts vary and may result in payment flows that do not match the periods over which materials or services are provided under such contracts.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objective is to reflect the appropriate clinical trial expenses in our consolidated financial statements by recording those expenses in the period in which services are performed and efforts are expended. We account for these expenses according to the progress of the clinical trial as measured by patient progression and the timing of various aspects of the trial. Management determines accrual estimates through financial models and discussions with applicable personnel and outside service providers as to the progress of clinical trials.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a clinical trial, we adjust the clinical expense recognition if actual results differ from our estimates. We make estimates of accrued expenses as of each balance sheet date based on the facts and circumstances known at that time. Our clinical trial accruals are partially dependent upon accurate reporting by CROs and other third-party vendors. Our understanding of the status and timing of services performed relative to the actual status and timing of services performed may vary and may result in changes in our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June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235"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4520" w:type="dxa"/>
            <w:vAlign w:val="bottom"/>
          </w:tcPr>
          <w:p>
            <w:pPr>
              <w:spacing w:after="0"/>
              <w:rPr>
                <w:sz w:val="21"/>
                <w:szCs w:val="21"/>
                <w:color w:val="auto"/>
              </w:rPr>
            </w:pPr>
          </w:p>
        </w:tc>
        <w:tc>
          <w:tcPr>
            <w:tcW w:w="27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June 30,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8"/>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2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(35,889 )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(9,835 )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8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-608330</wp:posOffset>
            </wp:positionV>
            <wp:extent cx="648906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89065" cy="15430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-299720</wp:posOffset>
            </wp:positionV>
            <wp:extent cx="648906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89065"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We recognized revenue of $65.3 million for the fiscal year ended June 30, 2024, compared to $48.8 million for the fiscal year ended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30, 2023. The increase in revenue was due to the recognition of all remaining deferred revenue associated with </w:t>
      </w:r>
      <w:r>
        <w:rPr>
          <w:rFonts w:ascii="Times New Roman" w:cs="Times New Roman" w:eastAsia="Times New Roman" w:hAnsi="Times New Roman"/>
          <w:sz w:val="18"/>
          <w:szCs w:val="18"/>
          <w:color w:val="231F20"/>
        </w:rPr>
        <w:t>the KKC Commercialization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Agreement that was terminated in July 2023, offset by a decrease in revenue recognized related to cost sharing from the terminated KKC Commercialization Agreement.</w:t>
      </w:r>
    </w:p>
    <w:p>
      <w:pPr>
        <w:spacing w:after="0" w:line="68" w:lineRule="exact"/>
        <w:rPr>
          <w:sz w:val="20"/>
          <w:szCs w:val="20"/>
          <w:color w:val="auto"/>
        </w:rPr>
      </w:pPr>
    </w:p>
    <w:p>
      <w:pPr>
        <w:ind w:left="5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illustrates the components of our research and development expenses for the years presented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9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560" w:type="dxa"/>
            <w:vAlign w:val="bottom"/>
          </w:tcPr>
          <w:p>
            <w:pPr>
              <w:spacing w:after="0"/>
              <w:rPr>
                <w:sz w:val="21"/>
                <w:szCs w:val="21"/>
                <w:color w:val="auto"/>
              </w:rPr>
            </w:pPr>
          </w:p>
        </w:tc>
        <w:tc>
          <w:tcPr>
            <w:tcW w:w="354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38"/>
        </w:trPr>
        <w:tc>
          <w:tcPr>
            <w:tcW w:w="65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00" w:type="dxa"/>
            <w:vAlign w:val="bottom"/>
          </w:tcPr>
          <w:p>
            <w:pPr>
              <w:spacing w:after="0"/>
              <w:rPr>
                <w:sz w:val="20"/>
                <w:szCs w:val="20"/>
                <w:color w:val="auto"/>
              </w:rPr>
            </w:pPr>
          </w:p>
        </w:tc>
      </w:tr>
      <w:tr>
        <w:trPr>
          <w:trHeight w:val="247"/>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FF0FC"/>
          </w:tcPr>
          <w:p>
            <w:pPr>
              <w:spacing w:after="0"/>
              <w:rPr>
                <w:sz w:val="21"/>
                <w:szCs w:val="21"/>
                <w:color w:val="auto"/>
              </w:rPr>
            </w:pPr>
          </w:p>
        </w:tc>
      </w:tr>
      <w:tr>
        <w:trPr>
          <w:trHeight w:val="23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0"/>
                <w:szCs w:val="20"/>
                <w:color w:val="auto"/>
              </w:rPr>
            </w:pPr>
          </w:p>
        </w:tc>
      </w:tr>
      <w:tr>
        <w:trPr>
          <w:trHeight w:val="243"/>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52,450</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-187960</wp:posOffset>
            </wp:positionV>
            <wp:extent cx="596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right="20" w:firstLine="509"/>
        <w:spacing w:after="0" w:line="256" w:lineRule="auto"/>
        <w:rPr>
          <w:sz w:val="20"/>
          <w:szCs w:val="20"/>
          <w:color w:val="auto"/>
        </w:rPr>
      </w:pPr>
      <w:r>
        <w:rPr>
          <w:rFonts w:ascii="Times New Roman" w:cs="Times New Roman" w:eastAsia="Times New Roman" w:hAnsi="Times New Roman"/>
          <w:sz w:val="18"/>
          <w:szCs w:val="18"/>
          <w:color w:val="auto"/>
        </w:rPr>
        <w:t>Costs related to zandelisib decreased $25.5 million primarily as a result of the discontinuation of the program during fiscal year 2023 with lower costs in fiscal year 2024 associated with wind-down activities. Costs related to voruciclib increased $1.1 million due to higher clinical costs partially offset by lower manufacturing costs. Costs related to ME-344 increased $3.6 million due to higher clinical costs related to the Phase 1b study and manufacturing costs of ME-344 to support clinical and nonclinical studies. Other research and development costs decreased $15.1 million primarily due to a decrease of $14.1 million in personnel costs, including a $2.6 million decrease in one-time employee termination benefits, resulting from our reductions in workforce during fiscal year 2023 and a $0.4 million decrease in noncash stock-based compensation.</w:t>
      </w:r>
    </w:p>
    <w:p>
      <w:pPr>
        <w:spacing w:after="0" w:line="75" w:lineRule="exact"/>
        <w:rPr>
          <w:sz w:val="20"/>
          <w:szCs w:val="20"/>
          <w:color w:val="auto"/>
        </w:rPr>
      </w:pPr>
    </w:p>
    <w:p>
      <w:pPr>
        <w:ind w:lef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$9.8 million to $23.3 million for the fiscal year ended June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$33.1 million for the fiscal year ended June 30, 2023. The net decrease was primarily due to $5.5 million less in personnel costs, which includes $1.7 million resulting from our reduction-in-force and other termination</w:t>
      </w:r>
    </w:p>
    <w:p>
      <w:pPr>
        <w:sectPr>
          <w:pgSz w:w="11900" w:h="16838" w:orient="portrait"/>
          <w:cols w:equalWidth="0" w:num="1">
            <w:col w:w="11200"/>
          </w:cols>
          <w:pgMar w:left="320" w:top="117" w:right="379" w:bottom="1440" w:gutter="0" w:footer="0" w:header="0"/>
        </w:sectPr>
      </w:pP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right="300"/>
        <w:spacing w:after="0" w:line="282" w:lineRule="auto"/>
        <w:rPr>
          <w:sz w:val="20"/>
          <w:szCs w:val="20"/>
          <w:color w:val="auto"/>
        </w:rPr>
      </w:pPr>
      <w:r>
        <w:rPr>
          <w:rFonts w:ascii="Times New Roman" w:cs="Times New Roman" w:eastAsia="Times New Roman" w:hAnsi="Times New Roman"/>
          <w:sz w:val="18"/>
          <w:szCs w:val="18"/>
          <w:color w:val="auto"/>
        </w:rPr>
        <w:t>related benefits, as well as $0.9 million less in noncash stock-based compensation, a $1.7 million decrease in external professional services, $1.5 million decrease in corporate overhead costs and a $0.2 million decrease in legal fees.</w:t>
      </w:r>
    </w:p>
    <w:p>
      <w:pPr>
        <w:spacing w:after="0" w:line="50"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impairment of our long-lived assets of $10.9 million consists of a $10.4 million loss recognized for our right-of-use (ROU) asset, as more fully described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 $0.5 million loss recognized related to the furniture and fixtures we agreed to sell to our landlord, as more fully described in </w:t>
      </w:r>
      <w:r>
        <w:rPr>
          <w:rFonts w:ascii="Times New Roman" w:cs="Times New Roman" w:eastAsia="Times New Roman" w:hAnsi="Times New Roman"/>
          <w:sz w:val="18"/>
          <w:szCs w:val="18"/>
          <w:i w:val="1"/>
          <w:iCs w:val="1"/>
          <w:u w:val="single" w:color="auto"/>
          <w:color w:val="0000FF"/>
        </w:rPr>
        <w:t>Note 3 - Balance Sheet Details</w:t>
      </w:r>
      <w:r>
        <w:rPr>
          <w:rFonts w:ascii="Times New Roman" w:cs="Times New Roman" w:eastAsia="Times New Roman" w:hAnsi="Times New Roman"/>
          <w:sz w:val="18"/>
          <w:szCs w:val="18"/>
          <w:color w:val="auto"/>
        </w:rPr>
        <w:t xml:space="preserve">, recorded in accordance with Accounting Standards Codification 360 -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During the fiscal year ended June 30, 2023, there were no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-310515</wp:posOffset>
            </wp:positionV>
            <wp:extent cx="6692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9290" cy="8890"/>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-173355</wp:posOffset>
            </wp:positionV>
            <wp:extent cx="1405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48" w:lineRule="exact"/>
        <w:rPr>
          <w:sz w:val="20"/>
          <w:szCs w:val="20"/>
          <w:color w:val="auto"/>
        </w:rPr>
      </w:pPr>
    </w:p>
    <w:p>
      <w:pPr>
        <w:ind w:left="52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$1.7 million to $3.2 million for the fiscal year ended June 30, 2024, as compared to $4.9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fiscal year ended June 30, 2023. We recorded a noncash gain of $1.6 million during the fiscal year ended June 30, 2023, due to a change in the fair value of our warrant liability. The warrants expired in May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to the Consolidated Financial Statements included in </w:t>
      </w:r>
      <w:r>
        <w:rPr>
          <w:rFonts w:ascii="Times New Roman" w:cs="Times New Roman" w:eastAsia="Times New Roman" w:hAnsi="Times New Roman"/>
          <w:sz w:val="18"/>
          <w:szCs w:val="18"/>
          <w:i w:val="1"/>
          <w:iCs w:val="1"/>
          <w:u w:val="single" w:color="auto"/>
          <w:color w:val="0000FF"/>
        </w:rPr>
        <w:t>Item 8.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Statements and Supplementary Data</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-186055</wp:posOffset>
            </wp:positionV>
            <wp:extent cx="2376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76805" cy="825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-186055</wp:posOffset>
            </wp:positionV>
            <wp:extent cx="1456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56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1665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have accumulated losses of $388.2 million since inception and expect to incur operating losses and generate negative cash flows from operations for the foreseeable future. As of June 30, 2024, we had $38.3 million in cash, cash equivalents and short-term investments. On July 22, 2024, we announced that our Board had determined unanimously to begin the evaluation of our strategic alternatives, including potential transactions as well as an orderly wind down of operations, if appropriate, to maximize the value of our assets for our stockholders. In connection with the exploration of strategic alternatives, we commenced a reduction-in-force on August 1, 2024 and discontinued the clinical development of voruciclib. As a result of this announcement, we expect our research and development expenses to decrease significantly as we discontinued our clinical research and development activities. We will continue to incur research and development expenses in connection with clinical trial closing costs and the completion of certain ongoing nonclinical activities. We believe our cash balance, including our short-term investments, is sufficient to fund operations for at least the next 12 months.</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and to resume the development of our drug candidates we would require one or more capital transactions, whether through the sale of equity securities, debt financing, license agreements or entry into strategic partnerships at some point in the future. There can be no assurance that we will be able to continue to raise additional capital in the future.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fiscal year ended June 30, 2024, of $50.5 million consisted of our net income of $17.8 million and $84.3 million cash used by operating activities partially offset by $16.0 million for noncash items. Net cash used in in operating activities during the fiscal year ended June 30, 2023, of $52.5 million consisted of our net loss of $31.8 million and $24.9 million cash used in operating activities partially offset by $4.3 million of noncash items.</w:t>
      </w:r>
    </w:p>
    <w:p>
      <w:pPr>
        <w:spacing w:after="0" w:line="7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fiscal year ended June 30, 2024, was $49.1 million compared to $53.7 million for the fiscal year ended June 30, 2023. The decrease in net cash provided by investing activities was due to fewer purchases of short-term investments offset by a lower amount of maturities in short-term investments being utilized to fund ongoing operations during the fiscal year ended June 30, 2024.</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fiscal year ended June 30, 2024, was $11.9 million compared to $40,000 of cash used in financing activities for the fiscal year ended June 30, 2023. The increase from prior year was primarily due to the payment of $11.7 million in dividends agreed to under the Cooperation Agreement and the payment of approximately $0.2 million for issuance costs of our ATM. Cash used in financing activities during fiscal year 2023, was associated with the payment of tax withholdings related to vesting of restricted stock units.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June 18, 2024, we entered into a lease termination agreement (Agreement) with our landlord, for our offices at 11455 El Camino Real, Suite 200 and Suite 250, San Diego, California. Under the Agreement, the lease will be terminated as of September 30, 2024, rather than its scheduled expiration date of November 30, 2029. We paid the landlord a termination fee totaling approximately $11.1 million in addition to prepaying the remaining rent under the Agreement in the amount of approximately $0.2 million (collectively, the Termination Amounts). Prior to June 30, 2024, the Termination Amounts had been paid and we had no further financial obligations under the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0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8—Other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6—Commitments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consolidated financial statements and related notes included elsewhere in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this Annual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the normal course of business with clinical supply manufactures and with vendors for preclinical studies, research supplies and other services and products for operating purposes. These contracts are cancelable and generally provide for termination after a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-1214120</wp:posOffset>
            </wp:positionV>
            <wp:extent cx="1075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7569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-1076960</wp:posOffset>
            </wp:positionV>
            <wp:extent cx="26708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081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decision regarding strategic alternatives;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the Company is not required to provide the information otherwise required by this Item.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14" w:lineRule="exact"/>
        <w:rPr>
          <w:sz w:val="20"/>
          <w:szCs w:val="20"/>
          <w:color w:val="auto"/>
        </w:rPr>
      </w:pPr>
    </w:p>
    <w:tbl>
      <w:tblPr>
        <w:tblLayout w:type="fixed"/>
        <w:tblInd w:w="30" w:type="dxa"/>
        <w:tblCellMar>
          <w:top w:w="0" w:type="dxa"/>
          <w:left w:w="0" w:type="dxa"/>
          <w:bottom w:w="0" w:type="dxa"/>
          <w:right w:w="0" w:type="dxa"/>
        </w:tblCellMar>
      </w:tblPr>
      <w:tr>
        <w:trPr>
          <w:trHeight w:val="184"/>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 (Deloitte and Touche LLP; San Diego, California; PCAOB ID# 34)</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Report of Independent Registered Public Accounting Firm (BDO USA, P.C.; San Diego, California; PCAOB ID# 243)</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19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0"/>
        </w:trPr>
        <w:tc>
          <w:tcPr>
            <w:tcW w:w="25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
        </w:trPr>
        <w:tc>
          <w:tcPr>
            <w:tcW w:w="26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
        </w:trPr>
        <w:tc>
          <w:tcPr>
            <w:tcW w:w="26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9"/>
        </w:trPr>
        <w:tc>
          <w:tcPr>
            <w:tcW w:w="94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MEI Pharma,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MEI Pharma, Inc. and subsidiary (the "Company") as of June 30, 2024, the related consolidated statements of operations, stockholders' equity, and cash flows, for the year ended June 30, 2024, and the related notes (collectively referred to as the "financial statements"). In our opinion, the financial statements present fairly, in all material respects, the financial position of the Company as of June 30, 2024, and the results of its operations and its cash flows for the year ended June 30,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 – Amendment of Lease - Refer to Note 1, Note 2, and Note 9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discussed in Note 1, Note 2, and Note 9 to the consolidated financial statements, on June 18, 2024, the Company agreed to terminate its existing lease agreement with AAT Torrey Plaza, LLC effective September 30, 2024 (“Agreement”), which was originally set to expire on November 30, 2029. In consideration for the early termination, the Company agreed to pay a termination fee of approximately $11.1 million and prepay the remaining monthly rent. The Company determined the Agreement should be accounted for as a modification of an existing lease</w:t>
      </w:r>
    </w:p>
    <w:p>
      <w:pPr>
        <w:spacing w:after="0" w:line="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related to the lease modification constitute a critical audit matter is that there was a moderate degree of auditor judgment and subjectivity in evaluating the determination if the contract results in a lease modification or termination.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accounting treatment and remeasurement of the lease liability and ROU asset included the following, among others:</w:t>
      </w:r>
    </w:p>
    <w:p>
      <w:pPr>
        <w:spacing w:after="0" w:line="225" w:lineRule="exact"/>
        <w:rPr>
          <w:sz w:val="20"/>
          <w:szCs w:val="20"/>
          <w:color w:val="auto"/>
        </w:rPr>
      </w:pPr>
    </w:p>
    <w:p>
      <w:pPr>
        <w:ind w:left="1020" w:right="6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control related to the accounting for lease amendments and considering its design and implementation.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conclusion of the Agreement as a lease modification versus lease termination and associated accounting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corroborated key events through review of board minutes, inspection of the Agreement, and inquiry of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lease accounting, we assessed the accounting treatment of the Agreement. Specifically, our evaluation included that the Agreement should be accounted for as a modification.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 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MEI Pharma, Inc. (the Company) as of June 30, 2023, the related consolidated statements of operations,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June 30, 2023,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2011 to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par value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50"/>
        </w:trPr>
        <w:tc>
          <w:tcPr>
            <w:tcW w:w="70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00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83,787</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0"/>
                <w:szCs w:val="20"/>
                <w:color w:val="auto"/>
              </w:rPr>
            </w:pPr>
          </w:p>
        </w:tc>
      </w:tr>
      <w:tr>
        <w:trPr>
          <w:trHeight w:val="241"/>
        </w:trPr>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107,528</w:t>
            </w:r>
          </w:p>
        </w:tc>
        <w:tc>
          <w:tcPr>
            <w:tcW w:w="100" w:type="dxa"/>
            <w:vAlign w:val="bottom"/>
            <w:shd w:val="clear" w:color="auto" w:fill="CFF0FC"/>
          </w:tcPr>
          <w:p>
            <w:pPr>
              <w:spacing w:after="0"/>
              <w:rPr>
                <w:sz w:val="20"/>
                <w:szCs w:val="20"/>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100" w:type="dxa"/>
            <w:vAlign w:val="bottom"/>
          </w:tcPr>
          <w:p>
            <w:pPr>
              <w:spacing w:after="0"/>
              <w:rPr>
                <w:sz w:val="20"/>
                <w:szCs w:val="20"/>
                <w:color w:val="auto"/>
              </w:rPr>
            </w:pPr>
          </w:p>
        </w:tc>
      </w:tr>
      <w:tr>
        <w:trPr>
          <w:trHeight w:val="243"/>
        </w:trPr>
        <w:tc>
          <w:tcPr>
            <w:tcW w:w="7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w:t>
            </w:r>
          </w:p>
        </w:tc>
        <w:tc>
          <w:tcPr>
            <w:tcW w:w="100" w:type="dxa"/>
            <w:vAlign w:val="bottom"/>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00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0"/>
                <w:szCs w:val="20"/>
                <w:color w:val="auto"/>
              </w:rPr>
            </w:pPr>
          </w:p>
        </w:tc>
      </w:tr>
      <w:tr>
        <w:trPr>
          <w:trHeight w:val="241"/>
        </w:trPr>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00" w:type="dxa"/>
            <w:vAlign w:val="bottom"/>
            <w:shd w:val="clear" w:color="auto" w:fill="CFF0FC"/>
          </w:tcPr>
          <w:p>
            <w:pPr>
              <w:spacing w:after="0"/>
              <w:rPr>
                <w:sz w:val="20"/>
                <w:szCs w:val="20"/>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long-term</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shd w:val="clear" w:color="auto" w:fill="CFF0FC"/>
          </w:tcPr>
          <w:p>
            <w:pPr>
              <w:spacing w:after="0"/>
              <w:rPr>
                <w:sz w:val="21"/>
                <w:szCs w:val="21"/>
                <w:color w:val="auto"/>
              </w:rPr>
            </w:pPr>
          </w:p>
        </w:tc>
      </w:tr>
      <w:tr>
        <w:trPr>
          <w:trHeight w:val="232"/>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96,185</w:t>
            </w:r>
          </w:p>
        </w:tc>
        <w:tc>
          <w:tcPr>
            <w:tcW w:w="100" w:type="dxa"/>
            <w:vAlign w:val="bottom"/>
          </w:tcPr>
          <w:p>
            <w:pPr>
              <w:spacing w:after="0"/>
              <w:rPr>
                <w:sz w:val="20"/>
                <w:szCs w:val="20"/>
                <w:color w:val="auto"/>
              </w:rPr>
            </w:pPr>
          </w:p>
        </w:tc>
      </w:tr>
      <w:tr>
        <w:trPr>
          <w:trHeight w:val="241"/>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June 30, 2024 and June 30, 2023.</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100" w:type="dxa"/>
            <w:vAlign w:val="bottom"/>
            <w:shd w:val="clear" w:color="auto" w:fill="CFF0FC"/>
          </w:tcPr>
          <w:p>
            <w:pPr>
              <w:spacing w:after="0"/>
              <w:rPr>
                <w:sz w:val="21"/>
                <w:szCs w:val="21"/>
                <w:color w:val="auto"/>
              </w:rPr>
            </w:pPr>
          </w:p>
        </w:tc>
      </w:tr>
      <w:tr>
        <w:trPr>
          <w:trHeight w:val="239"/>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(388,219 )</w:t>
            </w:r>
          </w:p>
        </w:tc>
        <w:tc>
          <w:tcPr>
            <w:tcW w:w="2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(405,997 )</w:t>
            </w:r>
          </w:p>
        </w:tc>
      </w:tr>
      <w:tr>
        <w:trPr>
          <w:trHeight w:val="236"/>
        </w:trPr>
        <w:tc>
          <w:tcPr>
            <w:tcW w:w="7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120,809</w:t>
            </w:r>
          </w:p>
        </w:tc>
        <w:tc>
          <w:tcPr>
            <w:tcW w:w="100" w:type="dxa"/>
            <w:vAlign w:val="bottom"/>
          </w:tcPr>
          <w:p>
            <w:pPr>
              <w:spacing w:after="0"/>
              <w:rPr>
                <w:sz w:val="20"/>
                <w:szCs w:val="20"/>
                <w:color w:val="auto"/>
              </w:rPr>
            </w:pPr>
          </w:p>
        </w:tc>
      </w:tr>
      <w:tr>
        <w:trPr>
          <w:trHeight w:val="20"/>
        </w:trPr>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-3325495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-3325495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-1597660</wp:posOffset>
            </wp:positionV>
            <wp:extent cx="93980"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-1597660</wp:posOffset>
            </wp:positionV>
            <wp:extent cx="85725"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33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41"/>
        </w:trPr>
        <w:tc>
          <w:tcPr>
            <w:tcW w:w="67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customers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100" w:type="dxa"/>
            <w:vAlign w:val="bottom"/>
          </w:tcPr>
          <w:p>
            <w:pPr>
              <w:spacing w:after="0"/>
              <w:rPr>
                <w:sz w:val="20"/>
                <w:szCs w:val="20"/>
                <w:color w:val="auto"/>
              </w:rPr>
            </w:pPr>
          </w:p>
        </w:tc>
      </w:tr>
      <w:tr>
        <w:trPr>
          <w:trHeight w:val="243"/>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100" w:type="dxa"/>
            <w:vAlign w:val="bottom"/>
            <w:tcBorders>
              <w:top w:val="single" w:sz="8" w:color="CFF0FC"/>
            </w:tcBorders>
          </w:tcPr>
          <w:p>
            <w:pPr>
              <w:spacing w:after="0"/>
              <w:rPr>
                <w:sz w:val="20"/>
                <w:szCs w:val="20"/>
                <w:color w:val="auto"/>
              </w:rPr>
            </w:pPr>
          </w:p>
        </w:tc>
      </w:tr>
      <w:tr>
        <w:trPr>
          <w:trHeight w:val="241"/>
        </w:trPr>
        <w:tc>
          <w:tcPr>
            <w:tcW w:w="6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52,450</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50,755</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(36,764 )</w:t>
            </w:r>
          </w:p>
        </w:tc>
      </w:tr>
      <w:tr>
        <w:trPr>
          <w:trHeight w:val="241"/>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8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shd w:val="clear" w:color="auto" w:fill="CFF0FC"/>
          </w:tcPr>
          <w:p>
            <w:pPr>
              <w:spacing w:after="0"/>
              <w:rPr>
                <w:sz w:val="21"/>
                <w:szCs w:val="21"/>
                <w:color w:val="auto"/>
              </w:rPr>
            </w:pPr>
          </w:p>
        </w:tc>
      </w:tr>
      <w:tr>
        <w:trPr>
          <w:trHeight w:val="23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3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36"/>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(31,838 )</w:t>
            </w:r>
          </w:p>
        </w:tc>
      </w:tr>
      <w:tr>
        <w:trPr>
          <w:trHeight w:val="20"/>
        </w:trPr>
        <w:tc>
          <w:tcPr>
            <w:tcW w:w="6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basic and diluted</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(4.78 )</w:t>
            </w:r>
          </w:p>
        </w:tc>
      </w:tr>
      <w:tr>
        <w:trPr>
          <w:trHeight w:val="45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 basic and diluted</w:t>
            </w: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-2990850</wp:posOffset>
            </wp:positionV>
            <wp:extent cx="60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-2990850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-1885315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-1885315</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-934085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-934085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w:t>
            </w:r>
          </w:p>
        </w:tc>
      </w:tr>
      <w:tr>
        <w:trPr>
          <w:trHeight w:val="216"/>
        </w:trPr>
        <w:tc>
          <w:tcPr>
            <w:tcW w:w="52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8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s’</w:t>
            </w:r>
          </w:p>
        </w:tc>
      </w:tr>
      <w:tr>
        <w:trPr>
          <w:trHeight w:val="245"/>
        </w:trPr>
        <w:tc>
          <w:tcPr>
            <w:tcW w:w="5240" w:type="dxa"/>
            <w:vAlign w:val="bottom"/>
          </w:tcPr>
          <w:p>
            <w:pPr>
              <w:spacing w:after="0"/>
              <w:rPr>
                <w:sz w:val="21"/>
                <w:szCs w:val="21"/>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426,572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(374,159 )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52,413</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(31,838 )</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(31,838 )</w:t>
            </w:r>
          </w:p>
        </w:tc>
      </w:tr>
      <w:tr>
        <w:trPr>
          <w:trHeight w:val="215"/>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vested restricted stock</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2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(405,997 )</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100" w:type="dxa"/>
            <w:vAlign w:val="bottom"/>
          </w:tcPr>
          <w:p>
            <w:pPr>
              <w:spacing w:after="0"/>
              <w:rPr>
                <w:sz w:val="20"/>
                <w:szCs w:val="20"/>
                <w:color w:val="auto"/>
              </w:rPr>
            </w:pPr>
          </w:p>
        </w:tc>
      </w:tr>
      <w:tr>
        <w:trPr>
          <w:trHeight w:val="245"/>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($1.75 per share)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(11,660 )</w:t>
            </w:r>
          </w:p>
        </w:tc>
        <w:tc>
          <w:tcPr>
            <w:tcW w:w="1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(11,660 )</w:t>
            </w:r>
          </w:p>
        </w:tc>
      </w:tr>
      <w:tr>
        <w:trPr>
          <w:trHeight w:val="243"/>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(388,219 )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-814070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-814070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-814070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-814070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39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41"/>
        </w:trPr>
        <w:tc>
          <w:tcPr>
            <w:tcW w:w="73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26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(31,838 )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(1,603 )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warrants</w:t>
            </w:r>
          </w:p>
        </w:tc>
        <w:tc>
          <w:tcPr>
            <w:tcW w:w="1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00" w:type="dxa"/>
            <w:vAlign w:val="bottom"/>
          </w:tcPr>
          <w:p>
            <w:pPr>
              <w:spacing w:after="0"/>
              <w:rPr>
                <w:sz w:val="20"/>
                <w:szCs w:val="20"/>
                <w:color w:val="auto"/>
              </w:rPr>
            </w:pP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(2,920 )</w:t>
            </w: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(3,147 )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(1,784 )</w:t>
            </w:r>
          </w:p>
        </w:tc>
      </w:tr>
      <w:tr>
        <w:trPr>
          <w:trHeight w:val="247"/>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(7,274 )</w:t>
            </w: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(64,862 )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(30,582 )</w:t>
            </w:r>
          </w:p>
        </w:tc>
      </w:tr>
      <w:tr>
        <w:trPr>
          <w:trHeight w:val="243"/>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(13,612 )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(1,261 )</w:t>
            </w:r>
          </w:p>
        </w:tc>
      </w:tr>
      <w:tr>
        <w:trPr>
          <w:trHeight w:val="20"/>
        </w:trPr>
        <w:tc>
          <w:tcPr>
            <w:tcW w:w="73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(50,473 )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(52,484 )</w:t>
            </w:r>
          </w:p>
        </w:tc>
      </w:tr>
      <w:tr>
        <w:trPr>
          <w:trHeight w:val="241"/>
        </w:trPr>
        <w:tc>
          <w:tcPr>
            <w:tcW w:w="734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(58,232 )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(101,764 )</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107,379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155,489</w:t>
            </w:r>
          </w:p>
        </w:tc>
        <w:tc>
          <w:tcPr>
            <w:tcW w:w="100" w:type="dxa"/>
            <w:vAlign w:val="bottom"/>
            <w:shd w:val="clear" w:color="auto" w:fill="CFF0FC"/>
          </w:tcPr>
          <w:p>
            <w:pPr>
              <w:spacing w:after="0"/>
              <w:rPr>
                <w:sz w:val="21"/>
                <w:szCs w:val="2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r>
      <w:tr>
        <w:trPr>
          <w:trHeight w:val="23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tax withholdings related to vesting of restricted stock units</w:t>
            </w:r>
          </w:p>
        </w:tc>
        <w:tc>
          <w:tcPr>
            <w:tcW w:w="1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(11,660 )</w:t>
            </w:r>
          </w:p>
        </w:tc>
        <w:tc>
          <w:tcPr>
            <w:tcW w:w="3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(208 )</w:t>
            </w:r>
          </w:p>
        </w:tc>
        <w:tc>
          <w:tcPr>
            <w:tcW w:w="3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(11,868 )</w:t>
            </w:r>
          </w:p>
        </w:tc>
        <w:tc>
          <w:tcPr>
            <w:tcW w:w="3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0"/>
        </w:trPr>
        <w:tc>
          <w:tcPr>
            <w:tcW w:w="7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(13,201 )</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FF0FC"/>
          </w:tcPr>
          <w:p>
            <w:pPr>
              <w:spacing w:after="0"/>
              <w:rPr>
                <w:sz w:val="20"/>
                <w:szCs w:val="20"/>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year</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100" w:type="dxa"/>
            <w:vAlign w:val="bottom"/>
          </w:tcPr>
          <w:p>
            <w:pPr>
              <w:spacing w:after="0"/>
              <w:rPr>
                <w:sz w:val="20"/>
                <w:szCs w:val="20"/>
                <w:color w:val="auto"/>
              </w:rPr>
            </w:pPr>
          </w:p>
        </w:tc>
      </w:tr>
      <w:tr>
        <w:trPr>
          <w:trHeight w:val="276"/>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year</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FF0FC"/>
          </w:tcPr>
          <w:p>
            <w:pPr>
              <w:spacing w:after="0"/>
              <w:rPr>
                <w:sz w:val="21"/>
                <w:szCs w:val="21"/>
                <w:color w:val="auto"/>
              </w:rPr>
            </w:pPr>
          </w:p>
        </w:tc>
      </w:tr>
      <w:tr>
        <w:trPr>
          <w:trHeight w:val="211"/>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right-of-use asset and related lease liability upon lease</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modification</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right-of-use asset for direct costs associated with lease</w:t>
            </w:r>
          </w:p>
        </w:tc>
        <w:tc>
          <w:tcPr>
            <w:tcW w:w="1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modification</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-3736975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-2630805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-1851025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-1208405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-1190625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MEI Pharma, Inc. (Nasdaq: MEIP) is a pharmaceutical company that has been developing novel and differentiated cancer therapies. We built our pipeline by acquiring promising cancer agents and creating value in programs through development, strategic partnerships, and out-licensing or commercialization, as appropriate. Our approach to oncology drug development has been to evaluate our drug candidates in combinations with standard-of-care therapies to overcome known resistance mechanisms and address clear medical needs to provide improved patient benefit. Our pipeline includes voruciclib, an oral cyclin-dependent kinase 9 (CDK9) inhibitor, and ME-344, an intravenous small molecule mitochondrial inhibitor targeting the oxidative phosphorylation pathway.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We prepared the consolidated financial statements in accordance with accounting principles generally accepted in the United States (GAAP) and the rules and regulations of the Securities and Exchange Commission (SEC) related to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accompanying consolidated financial statements include the accounts of MEI Pharma, Inc. and our wholly owned subsidiary, Meadow Merger Sub, Inc. We have eliminated all intercompany accounts and transactions in consolidation.</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consolidated financial statements were issued.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34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President and Chief Executive Officer, and Richard Ghalie, M.D., our Chief Medical Officer, stepped down effective August 1, 2024. Mr. Urso also left the Board at that date. We have entered into consulting agreements with both Mr. Urso and Dr. Ghalie under which they will remain available to assist us in our strategic efforts. Charles V. Baltic III, the Chairperson of the Board, also stepped down from the Board contemporaneously with the announcement on July 22, 2024. Our Board has appointed Justin J. File, our current Chief Financial Officer, to assume the position of Acting Chief Executive Officer and has appointed Frederick W. Driscoll as Chairperson of the Board.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(Cooperation Agreement) with Anson Funds Management LP and Cable Car Capital LLC (Anson and Cable Car, respectively), which, among other non-financial related items provided for a capital return to stockholders in the form of a dividend in the amount of $1.75 per share of common stock, as further discussed below. Additionally, the Cooperation Agreement contemplated a potential second return of capital not to exceed $9.33 million (Potential Second Return of Capital) if authorized by Board should our ongoing ME-344 Phase 1b trial fail to meet certain defined endpoints or our Board determines not to proceed with a second cohort.</w:t>
      </w:r>
    </w:p>
    <w:p>
      <w:pPr>
        <w:spacing w:after="0" w:line="75" w:lineRule="exact"/>
        <w:rPr>
          <w:sz w:val="20"/>
          <w:szCs w:val="20"/>
          <w:color w:val="auto"/>
        </w:rPr>
      </w:pPr>
    </w:p>
    <w:p>
      <w:pPr>
        <w:ind w:right="60" w:firstLine="554"/>
        <w:spacing w:after="0" w:line="261" w:lineRule="auto"/>
        <w:rPr>
          <w:sz w:val="20"/>
          <w:szCs w:val="20"/>
          <w:color w:val="auto"/>
        </w:rPr>
      </w:pPr>
      <w:r>
        <w:rPr>
          <w:rFonts w:ascii="Times New Roman" w:cs="Times New Roman" w:eastAsia="Times New Roman" w:hAnsi="Times New Roman"/>
          <w:sz w:val="18"/>
          <w:szCs w:val="18"/>
          <w:color w:val="auto"/>
        </w:rPr>
        <w:t>As part of the Cooperation Agreement, Anson and Cable Car withdrew their consent solicitation and agreed to abide by customary standstill provisions. Additionally, we reimbursed Anson's and Cable Car’s fees and expenses related to their engagement with us as of the date of the Cooperation Agreement in an amount of $1.1 million, which is recorded within general and administrative expenses in the consolidated statements of operations for the fiscal year ended June 30, 2024.</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April 2024, the Board unanimously determined not to proceed with the Potential Second Return of Capital under the Cooperation Agreement in order to conserve resources and align strategic investment, and thereby extend our operational runway.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November 6, 2023, pursuant to the Cooperation Agreement, the Board declared a special cash dividend of $1.75 per share of common stock to stockholders of record at the close of business on November 17, 2023. The total dividend of $11.7 million was paid on December 6, 2023, and was recorded as a reduction of additional paid-in capital in the consolidated statements of stockholders' equity, as we have an accumulated deficit, rather than retained earnings.</w:t>
      </w:r>
    </w:p>
    <w:p>
      <w:pPr>
        <w:sectPr>
          <w:pgSz w:w="11900" w:h="16838" w:orient="portrait"/>
          <w:cols w:equalWidth="0" w:num="1">
            <w:col w:w="11220"/>
          </w:cols>
          <w:pgMar w:left="320" w:top="117"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Infinity Merger</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February 2023, we, Infinity Pharmaceuticals, Inc. (Infinity), and Meadow Merger Sub, Inc., our wholly owned subsidiary (Merger Sub) entered into an agreement and plan of merger (Merger Agreement). The Merger Agreement provided that Merger Sub will merge with and into Infinity, with Infinity being the surviving entity as a wholly owned subsidiary of us (transaction referred to as the Merger) and was subject to approvals by our and Infinity’s stockholders, respectively. On July 23, 2023, we convened our Special Meeting of Stockholders at which time our stockholders did not approve the proposed transaction and subsequently, we delivered a letter to Infinity which terminated the Merger Agreement pursuant to Section 7.2(c) of the Merger Agreement, effective July 23, 2023.</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KKC Termination Agreement</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November 2022, we and Kyowa Kirin Co., Ltd. (KKC) met with the U.S. Food and Drug Administration (FDA) in a follow-up meeting to the March 2022 end of Phase 2 meeting related to zandelisib. At this meeting, the FDA provided further guidance regarding the design and statistical analysis for the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discontinuation of zandelisib development outside of Japan was a business decision based on the regulatory guidance from the FDA and was not related to the zandelisib clinical data generated to date. Although KKC continued certain ongoing Japanese clinical trials at that time, in May 2023 KKC decided to discontinue development of zandelisib in Japan after meeting with the Pharmaceuticals and Medical Devices Agency (PMDA), concluding that conducting a randomized study consistent with agency guidance to support a marketing application would likely not be feasible to complete within a time period that would support further investment.</w:t>
      </w:r>
    </w:p>
    <w:p>
      <w:pPr>
        <w:spacing w:after="0" w:line="7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Due to KKC’s decision to discontinue development of zandelisib in Japan, as well as the prior joint decision to discontinue zandelisib development outside of Japan, on July 14, 2023, the parties entered into a Termination Agreement to mutually terminate the global License, Development and Commercialization Agreement executed in April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accumulated losses of $388.2 million since inception and expect to incur operating losses and generate negative cash flows from operations for the foreseeable future. As of June 30, 2024, we had $38.3 million in cash, cash equivalents and short-term investments. In connection with our July 2024 announcement regarding the evaluation of our strategic alternatives, we have discontinued the clinical development of voruciclib, while certain nonclinical research and development activities continue. As a result, we will continue to incur research and development expenses in connection with clinical trial closing costs and the completion of our nonclinical projects. We believe that our cash balance, including our short-term investments, will be sufficient to meet our obligations and fund operations for at least the next 12 months from the issuance of these consolidated financial statements.</w:t>
      </w:r>
    </w:p>
    <w:p>
      <w:pPr>
        <w:spacing w:after="0" w:line="187"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and to continue the development of our drug candidates, we would require one or more capital transactions, whether through the sale of equity securities, debt financing, license agreements or entry into strategic partnerships at some point in the future. There can be no assurance that we will be able to continue to raise additional capital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disclosures made in the accompanying notes to the consolidated financial statements. We use estimates that affect the reported amounts (including assets, liabilities, revenues and expenses) and related disclosures. Actual results could materially differ from those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when purchased. Cash is maintained at financial institutions and, at times, balances may exceed federally insured limits. We have not experienced any losses related to these balances.</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We attempt to minimize credit risk associated with our cash and cash equivalents by periodically evaluating the credit quality of our primary financial institutions. Our investment portfolio is maintained in accordance with our investment policy, which is designed to preserve capital, safeguard funds and limit exposure to risk. While we maintain cash deposits in FDIC insured financial institutions in excess of federally insured limits, we do not believe we are exposed to significant credit risk due to the financial position of the depository institutions in which those deposits are held. We have not experienced any losses on such accounts.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Short-term investments are marketable securities with maturities greater than three months but less than one year from date of purchase. As of June 30, 2024 and 2023, our short-term investments consisted of $34.6 million and $83.8 million, respectively, in United States government securities. The short-term investments held as of June 30, 2024 and 2023 are considered to be held to maturity and are carried at amortized cost. For the fiscal years ended June 30, 2024 and 2023, the gross unrealized gains and losses were immaterial.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 estimated useful lives of the assets (generally three to seven years) using the straight-line method. Leasehold improvements are stated at cost and are amortized over the shorter of the estimated useful lives of the assets or the lease term.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 for our leases under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Leases which are identified within the scope of Topic 842 and which have a term greater than one year are recognized on our consolidated balance sheets as right-of-use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8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Operating lease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operating lease expense when incurred.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June 18, 2024, we entered into a lease termination agreement (Agreement) with our landlord pursuant to which the parties agreed to terminate, as of September 30, 2024, the lease for our existing office space. See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xml:space="preserve"> for the impact of the Agreement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-175895</wp:posOffset>
            </wp:positionV>
            <wp:extent cx="2259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5933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74" w:lineRule="exact"/>
        <w:rPr>
          <w:sz w:val="20"/>
          <w:szCs w:val="20"/>
          <w:color w:val="auto"/>
        </w:rPr>
      </w:pPr>
    </w:p>
    <w:p>
      <w:pPr>
        <w:ind w:right="260" w:firstLine="509"/>
        <w:spacing w:after="0" w:line="255"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 From time to time, we perform additional services for KKC, at their request, the costs of which are fully reimbursed to us. The cost of these services is recognized in the consolidated statements of operations as research and development expense.</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76" w:lineRule="exact"/>
        <w:rPr>
          <w:sz w:val="20"/>
          <w:szCs w:val="20"/>
          <w:color w:val="auto"/>
        </w:rPr>
      </w:pPr>
    </w:p>
    <w:p>
      <w:pPr>
        <w:ind w:firstLine="554"/>
        <w:spacing w:after="0" w:line="258" w:lineRule="auto"/>
        <w:rPr>
          <w:sz w:val="20"/>
          <w:szCs w:val="20"/>
          <w:color w:val="auto"/>
        </w:rPr>
      </w:pPr>
      <w:r>
        <w:rPr>
          <w:rFonts w:ascii="Times New Roman" w:cs="Times New Roman" w:eastAsia="Times New Roman" w:hAnsi="Times New Roman"/>
          <w:sz w:val="18"/>
          <w:szCs w:val="18"/>
          <w:color w:val="auto"/>
        </w:rPr>
        <w:t>In connection with our License, Development and Commercialization Agreement (the KKC Commercialization Agreement) with KKC, we performed development services related to our 50-50 cost sharing arrangement for which revenue was recognized over time. Additionally, we performed services for KKC at their request, the costs of which were fully reimbursed to us. We recorded the reimbursement for such pass through services as revenue at 100% of reimbursed costs, as control of the additional services for KKC was transferred at the time we incurred such costs. The costs of these services were recognized in the consolidated statements of operations as research and development expense.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recognized revenue associated with the KKC Commercialization Agreement for the periods presented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520" w:type="dxa"/>
            <w:vAlign w:val="bottom"/>
          </w:tcPr>
          <w:p>
            <w:pPr>
              <w:spacing w:after="0"/>
              <w:rPr>
                <w:sz w:val="21"/>
                <w:szCs w:val="21"/>
                <w:color w:val="auto"/>
              </w:rPr>
            </w:pPr>
          </w:p>
        </w:tc>
        <w:tc>
          <w:tcPr>
            <w:tcW w:w="358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41"/>
        </w:trPr>
        <w:tc>
          <w:tcPr>
            <w:tcW w:w="652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12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performed over time</w:t>
            </w: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100" w:type="dxa"/>
            <w:vAlign w:val="bottom"/>
          </w:tcPr>
          <w:p>
            <w:pPr>
              <w:spacing w:after="0"/>
              <w:rPr>
                <w:sz w:val="20"/>
                <w:szCs w:val="20"/>
                <w:color w:val="auto"/>
              </w:rPr>
            </w:pPr>
          </w:p>
        </w:tc>
      </w:tr>
      <w:tr>
        <w:trPr>
          <w:trHeight w:val="243"/>
        </w:trPr>
        <w:tc>
          <w:tcPr>
            <w:tcW w:w="65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Pass through services at a point in time</w:t>
            </w:r>
          </w:p>
        </w:tc>
        <w:tc>
          <w:tcPr>
            <w:tcW w:w="12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20" w:type="dxa"/>
            <w:vAlign w:val="bottom"/>
          </w:tcPr>
          <w:p>
            <w:pPr>
              <w:spacing w:after="0"/>
              <w:rPr>
                <w:sz w:val="20"/>
                <w:szCs w:val="20"/>
                <w:color w:val="auto"/>
              </w:rPr>
            </w:pPr>
          </w:p>
        </w:tc>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w:t>
            </w:r>
          </w:p>
        </w:tc>
        <w:tc>
          <w:tcPr>
            <w:tcW w:w="100" w:type="dxa"/>
            <w:vAlign w:val="bottom"/>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-835025</wp:posOffset>
            </wp:positionV>
            <wp:extent cx="85725" cy="1968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-835025</wp:posOffset>
            </wp:positionV>
            <wp:extent cx="85725" cy="196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are included in prepaid expenses and other current assets, and contract liabilities are included in deferred revenue and deferred revenue, long-term in our consolidated balance sheets. Our contract liabilities accounted for under Topic 606 relate to the amount of initial upfront consideration allocated to the development services performance obligations.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and 2023, we had no balances in accounts receivable. Contract balances are as follows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Pr>
          <w:p>
            <w:pPr>
              <w:spacing w:after="0"/>
              <w:rPr>
                <w:sz w:val="21"/>
                <w:szCs w:val="21"/>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240" w:type="dxa"/>
            <w:vAlign w:val="bottom"/>
            <w:shd w:val="clear" w:color="auto" w:fill="CFF0FC"/>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0" w:type="dxa"/>
            <w:vAlign w:val="bottom"/>
            <w:shd w:val="clear" w:color="auto" w:fill="CFF0FC"/>
          </w:tcPr>
          <w:p>
            <w:pPr>
              <w:spacing w:after="0"/>
              <w:rPr>
                <w:sz w:val="21"/>
                <w:szCs w:val="21"/>
                <w:color w:val="auto"/>
              </w:rPr>
            </w:pPr>
          </w:p>
        </w:tc>
      </w:tr>
      <w:tr>
        <w:trPr>
          <w:trHeight w:val="21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included in deferred revenue and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0"/>
                <w:szCs w:val="20"/>
                <w:color w:val="auto"/>
              </w:rPr>
            </w:pPr>
          </w:p>
        </w:tc>
      </w:tr>
    </w:tbl>
    <w:p>
      <w:pPr>
        <w:spacing w:after="0" w:line="103"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contract liabilities, which are primarily related to the combined performance obligation for the transfer of development services under the KKC Commercialization Agreement and are a separate performance obligation in our contracts pursuant to research plans under the agreements, was as follows for the periods presented:</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400" w:type="dxa"/>
            <w:vAlign w:val="bottom"/>
            <w:tcBorders>
              <w:top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14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1"/>
              </w:rPr>
              <w:t>(317 )</w:t>
            </w:r>
          </w:p>
        </w:tc>
        <w:tc>
          <w:tcPr>
            <w:tcW w:w="2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(5,411 )</w:t>
            </w: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recognized from change in estimate for performance</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obligations that are being closed</w:t>
            </w:r>
          </w:p>
        </w:tc>
        <w:tc>
          <w:tcPr>
            <w:tcW w:w="14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(16,565 )</w:t>
            </w:r>
          </w:p>
        </w:tc>
        <w:tc>
          <w:tcPr>
            <w:tcW w:w="0" w:type="dxa"/>
            <w:vAlign w:val="bottom"/>
          </w:tcPr>
          <w:p>
            <w:pPr>
              <w:spacing w:after="0"/>
              <w:rPr>
                <w:sz w:val="1"/>
                <w:szCs w:val="1"/>
                <w:color w:val="auto"/>
              </w:rPr>
            </w:pPr>
          </w:p>
        </w:tc>
      </w:tr>
      <w:tr>
        <w:trPr>
          <w:trHeight w:val="211"/>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for performance obligations that will no longer</w:t>
            </w:r>
          </w:p>
        </w:tc>
        <w:tc>
          <w:tcPr>
            <w:tcW w:w="1400" w:type="dxa"/>
            <w:vAlign w:val="bottom"/>
          </w:tcPr>
          <w:p>
            <w:pPr>
              <w:spacing w:after="0"/>
              <w:rPr>
                <w:sz w:val="18"/>
                <w:szCs w:val="18"/>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(8,607 )</w:t>
            </w:r>
          </w:p>
        </w:tc>
        <w:tc>
          <w:tcPr>
            <w:tcW w:w="0" w:type="dxa"/>
            <w:vAlign w:val="bottom"/>
          </w:tcPr>
          <w:p>
            <w:pPr>
              <w:spacing w:after="0"/>
              <w:rPr>
                <w:sz w:val="1"/>
                <w:szCs w:val="1"/>
                <w:color w:val="auto"/>
              </w:rPr>
            </w:pPr>
          </w:p>
        </w:tc>
      </w:tr>
      <w:tr>
        <w:trPr>
          <w:trHeight w:val="234"/>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commence</w:t>
            </w:r>
          </w:p>
        </w:tc>
        <w:tc>
          <w:tcPr>
            <w:tcW w:w="140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0" w:type="dxa"/>
            <w:vAlign w:val="bottom"/>
            <w:tcBorders>
              <w:top w:val="single" w:sz="8" w:color="auto"/>
              <w:bottom w:val="single" w:sz="8" w:color="auto"/>
            </w:tcBorders>
            <w:shd w:val="clear" w:color="auto" w:fill="CFF0FC"/>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consolidated balance sheets relate to the KKC Commercialization Agreement.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from Collaborators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w:t>
      </w:r>
    </w:p>
    <w:p>
      <w:pPr>
        <w:sectPr>
          <w:pgSz w:w="11900" w:h="16838" w:orient="portrait"/>
          <w:cols w:equalWidth="0" w:num="1">
            <w:col w:w="11220"/>
          </w:cols>
          <w:pgMar w:left="320" w:top="117"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current or long-term deferred revenue based on our best estimate of when such amounts will be recognized.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7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are required to estimate expenses resulting from obligations under contracts with vendors, clinical research organizations (CROs), consultants and under clinical site agreements relating to conducting clinical trials. The financial terms of these contracts vary and may result in payment flows that do not match the periods over which materials or services are provided under such contracts.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objective is to reflect the appropriate clinical trial expenses in our consolidated financial statements by recording those expenses in the period in which services are performed and efforts are expended. We account for these expenses according to the progress of the clinical trial as measured by patient progression and the timing of various aspects of the trial. Management determines accrual estimates through financial models and discussions with applicable personnel and outside service providers as to the progress of clinical trials.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a clinical trial, we adjust the clinical expense recognition if actual results differ from our estimates. We make estimates of accrued expenses as of each balance sheet date based on the facts and circumstances known at that time. Our clinical trial accruals are partially dependent upon accurate reporting by CROs and other third-party vendors. Our understanding of the status and timing of services performed relative to the actual status and timing of services performed may vary and may result in changes in our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Share-based compensation expense for stock options and restricted stock units (RSUs) granted to employees and directors is recognized in the consolidated statements of operations based on estimated amounts. The cost of stock options is measured at the grant 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We use the simplified method to calculate the expected term of share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do not intend to do so in the foreseeable future. For RSUs, we estimate the grant date fair value using our closing stock price on the date of grant. The estimated fair value of stock options and RSUs is amortized over the requisite service period, adjusted for actual forfeitures at the time they occur. The requisite service period is generally the time over which our share-based awards vest.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Interest on cash and investment balances is recognized when earned. Dividend income is recognized when the right to receive the payment is established.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2024 and 2023,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ectPr>
          <w:pgSz w:w="11900" w:h="16838" w:orient="portrait"/>
          <w:cols w:equalWidth="0" w:num="1">
            <w:col w:w="11240"/>
          </w:cols>
          <w:pgMar w:left="320" w:top="117"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The Financial Accounting Standards Board (FASB) Topic on income taxes prescribes a recognition threshold and measurement attribute criteria for the financial statement recognition and measurement of tax positions taken or expected to be taken in a tax return. For those benefits to be recognized, a tax position must be more-likely-than-not to be sustained upon examination by taxing authorities. An uncertain income tax position will not be recognized if it has less than a 50% likelihood of being sustained. There were no unrecognized tax benefits as of June 30, 2024 and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income (loss) per share is computed using the weighted-average number of shares of common stock outstanding during the period, less any shares subject to repurchase or forfeiture. There were no shares of common stock subject to repurchase or forfeiture for the fiscal years ended June 30, 2024 and 2023. Diluted net income (loss) per share is computed based on the sum of the weighted-average number of common shares and potentially dilutive common shares outstanding during the period determined using the treasury-stock and if-converted methods.</w:t>
      </w:r>
    </w:p>
    <w:p>
      <w:pPr>
        <w:spacing w:after="0" w:line="72"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For purposes of the diluted net income (loss) per share calculation for the fiscal years ended June 30, 2024 and 2023, potentially dilutive securities are excluded from the calculation of diluted net income (loss) per share because their weighted-average exercise prices were above our weighted-average share price for the fiscal years ended June 30, 2024 and 2023, respectively; therefore, basic and diluted net income (loss) per share were the same for the fiscal years ended June 30, 2024 and 2023.</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income (loss) per share because of their anti-dilutive effect (in thousands):</w:t>
      </w:r>
    </w:p>
    <w:p>
      <w:pPr>
        <w:spacing w:after="0" w:line="6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7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r>
      <w:tr>
        <w:trPr>
          <w:trHeight w:val="276"/>
        </w:trPr>
        <w:tc>
          <w:tcPr>
            <w:tcW w:w="672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02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w:t>
      </w:r>
      <w:r>
        <w:rPr>
          <w:rFonts w:ascii="Times New Roman" w:cs="Times New Roman" w:eastAsia="Times New Roman" w:hAnsi="Times New Roman"/>
          <w:sz w:val="18"/>
          <w:szCs w:val="18"/>
          <w:b w:val="1"/>
          <w:bCs w:val="1"/>
          <w:color w:val="auto"/>
        </w:rPr>
        <w:t>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one operating segment which is the development of pharmaceutical compounds. All of our assets and liabilities were located in the U.S. as of June 30, 2024 and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June 2016, the FASB issued Accounting Standards Update No. 2016-13, Financial Instruments–Credit Losses (Topic 326): Measurement of Credit Losses on Financial Instruments (ASU 2016-13), as amended. The amendments in ASU 2016-13 require, among other 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The adoption of ASU 2016-13 did not have a material impact on our consolidated financial statements and related disclosures.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are adopted as of the specified effective date. We believe the impact of recently issued standards, other than those noted below, and any issued but not yet effective standards will not have a material impact on our consolidated financial statements upon adoption.</w:t>
      </w:r>
    </w:p>
    <w:p>
      <w:pPr>
        <w:spacing w:after="0" w:line="68"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This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 to our results of operations, cash flows and financial condition.</w:t>
      </w:r>
    </w:p>
    <w:p>
      <w:pPr>
        <w:sectPr>
          <w:pgSz w:w="11900" w:h="16838" w:orient="portrait"/>
          <w:cols w:equalWidth="0" w:num="1">
            <w:col w:w="11240"/>
          </w:cols>
          <w:pgMar w:left="320" w:top="117"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Balance Sheet Details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Prepaid and Other Current Assets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4"/>
                <w:szCs w:val="24"/>
                <w:color w:val="auto"/>
              </w:rPr>
            </w:pPr>
          </w:p>
        </w:tc>
        <w:tc>
          <w:tcPr>
            <w:tcW w:w="1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43"/>
        </w:trPr>
        <w:tc>
          <w:tcPr>
            <w:tcW w:w="58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costs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6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525"/>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0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969</w:t>
            </w:r>
          </w:p>
        </w:tc>
        <w:tc>
          <w:tcPr>
            <w:tcW w:w="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660" w:type="dxa"/>
            <w:vAlign w:val="bottom"/>
            <w:shd w:val="clear" w:color="auto" w:fill="CFF0FC"/>
          </w:tcPr>
          <w:p>
            <w:pPr>
              <w:spacing w:after="0" w:line="248"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(1,764 )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(1,034 )</w:t>
            </w:r>
          </w:p>
        </w:tc>
      </w:tr>
      <w:tr>
        <w:trPr>
          <w:trHeight w:val="228"/>
        </w:trPr>
        <w:tc>
          <w:tcPr>
            <w:tcW w:w="580" w:type="dxa"/>
            <w:vAlign w:val="bottom"/>
          </w:tcPr>
          <w:p>
            <w:pPr>
              <w:spacing w:after="0"/>
              <w:rPr>
                <w:sz w:val="19"/>
                <w:szCs w:val="19"/>
                <w:color w:val="auto"/>
              </w:rPr>
            </w:pPr>
          </w:p>
        </w:tc>
        <w:tc>
          <w:tcPr>
            <w:tcW w:w="66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-1742440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-1725295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-1742440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-1725295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-473710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-473710</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-156845</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5715</wp:posOffset>
            </wp:positionV>
            <wp:extent cx="19970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-139700</wp:posOffset>
            </wp:positionV>
            <wp:extent cx="19970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 xml:space="preserve">(1) Includes impairment charge of $0.5 million during fiscal year 2024, see below discussion on Impact of the Agreement (as discussed in </w:t>
      </w:r>
      <w:r>
        <w:rPr>
          <w:rFonts w:ascii="Times New Roman" w:cs="Times New Roman" w:eastAsia="Times New Roman" w:hAnsi="Times New Roman"/>
          <w:sz w:val="16"/>
          <w:szCs w:val="16"/>
          <w:i w:val="1"/>
          <w:iCs w:val="1"/>
          <w:u w:val="single" w:color="auto"/>
          <w:color w:val="0000FF"/>
        </w:rPr>
        <w:t>Note 9. Leases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6034405</wp:posOffset>
            </wp:positionH>
            <wp:positionV relativeFrom="paragraph">
              <wp:posOffset>-15875</wp:posOffset>
            </wp:positionV>
            <wp:extent cx="6026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2615" cy="8890"/>
                    </a:xfrm>
                    <a:prstGeom prst="rect">
                      <a:avLst/>
                    </a:prstGeom>
                    <a:noFill/>
                  </pic:spPr>
                </pic:pic>
              </a:graphicData>
            </a:graphic>
          </wp:anchor>
        </w:drawing>
      </w:r>
    </w:p>
    <w:p>
      <w:pPr>
        <w:spacing w:after="0" w:line="19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of property and equipment for the fiscal years ended June 30, 2024 and 2023 are presented in the consolidated statements of cash flows.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Impact of the Agreement (as discussed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2230755</wp:posOffset>
            </wp:positionH>
            <wp:positionV relativeFrom="paragraph">
              <wp:posOffset>-6350</wp:posOffset>
            </wp:positionV>
            <wp:extent cx="669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9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agreed to sell our furniture and fixtures to the landlord for $1.00 on our lease termination date of September 30, 2024. We completed an evaluation of the impact of the Agreement, as defined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on the carrying value of our property and equipment (Other Long-Lived Assets). This process included evaluating the remaining estimated useful lives, significant changes in the use and potential impairment charges related to the Other Long-Lived Assets. Based upon our evaluation, we recorded an impairment charge of approximately $0.5 million for the furniture and fixtures to be sold to the landlord, which is included in the impairment of long-lived assets in the consolidated statements of operations. We also changed our estimate of the remaining useful lives of our leasehold improvements resulting in an acceleration of depreciation of approximately $0.1 million during our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-856615</wp:posOffset>
            </wp:positionV>
            <wp:extent cx="669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-719455</wp:posOffset>
            </wp:positionV>
            <wp:extent cx="669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8"/>
        </w:trPr>
        <w:tc>
          <w:tcPr>
            <w:tcW w:w="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00" w:type="dxa"/>
            <w:vAlign w:val="bottom"/>
            <w:shd w:val="clear" w:color="auto" w:fill="CFF0FC"/>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Accrued compensation and benefits</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w:t>
            </w:r>
          </w:p>
        </w:tc>
        <w:tc>
          <w:tcPr>
            <w:tcW w:w="10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FF0FC"/>
          </w:tcPr>
          <w:p>
            <w:pPr>
              <w:spacing w:after="0"/>
              <w:rPr>
                <w:sz w:val="21"/>
                <w:szCs w:val="21"/>
                <w:color w:val="auto"/>
              </w:rPr>
            </w:pPr>
          </w:p>
        </w:tc>
      </w:tr>
      <w:tr>
        <w:trPr>
          <w:trHeight w:val="239"/>
        </w:trPr>
        <w:tc>
          <w:tcPr>
            <w:tcW w:w="60" w:type="dxa"/>
            <w:vAlign w:val="bottom"/>
          </w:tcPr>
          <w:p>
            <w:pPr>
              <w:spacing w:after="0"/>
              <w:rPr>
                <w:sz w:val="20"/>
                <w:szCs w:val="20"/>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0" w:type="dxa"/>
            <w:vAlign w:val="bottom"/>
          </w:tcPr>
          <w:p>
            <w:pPr>
              <w:spacing w:after="0"/>
              <w:rPr>
                <w:sz w:val="21"/>
                <w:szCs w:val="21"/>
                <w:color w:val="auto"/>
              </w:rPr>
            </w:pPr>
          </w:p>
        </w:tc>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0" w:type="dxa"/>
            <w:vAlign w:val="bottom"/>
          </w:tcPr>
          <w:p>
            <w:pPr>
              <w:spacing w:after="0"/>
              <w:rPr>
                <w:sz w:val="20"/>
                <w:szCs w:val="20"/>
                <w:color w:val="auto"/>
              </w:rPr>
            </w:pPr>
          </w:p>
        </w:tc>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-156845</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5715</wp:posOffset>
            </wp:positionV>
            <wp:extent cx="21342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-127635</wp:posOffset>
            </wp:positionV>
            <wp:extent cx="21342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Includes one-time employee benefits of approximately $21,000 and $1.0 million for the fiscal years ended June 30, 2024 and 2023, respectively.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May 2018, we issued warrants in connection with our private placement of shares of common stock, which expired in May 2023. Pursuant to the terms of the warrants, we could have been required to settle the warrants in cash in the event of an acquisition of the company and, as a result, the warrants were required to be measured at fair value and reported as a liability in the consolidated balance sheets. We recorded the fair value of the warrants upon issuance using the Black-Scholes valuation model and are required to revalue the warrants at each reporting date with any changes in fair value recorded on our consolidated statements of operations. The valuation of the warrants is considered under Level 3 of the fair value hierarchy due to the need to use assumptions in the valuation that are both significant to the fair value measurement and unobservable. Inputs used to determine the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or decreases in the fair value of the underlying stock and estimated term would result in a directionally similar impact to the fair value measurement. The changes in the fair value of the Level 3 warrant liability are reflected on the consolidated statements of operations for the fiscal year ended June 30, 2023. During the fiscal year ended June 30, 2023, there were no transfers into or out of Level 3 of the fair value hierarchy.</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calculate the fair value of the warrant liability, the following assumptions were used for the period ended June 30, 2023:</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4.4 %</w:t>
            </w: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34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128.7 %</w:t>
            </w:r>
          </w:p>
        </w:tc>
      </w:tr>
      <w:tr>
        <w:trPr>
          <w:trHeight w:val="25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344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estimated fair value of our Level 3 warrant liability for the fiscal year ended June 30, 2023 (in thousands):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 of liability classified warrants</w:t>
            </w:r>
          </w:p>
        </w:tc>
        <w:tc>
          <w:tcPr>
            <w:tcW w:w="74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(1,603 )</w:t>
            </w:r>
          </w:p>
        </w:tc>
      </w:tr>
      <w:tr>
        <w:trPr>
          <w:trHeight w:val="279"/>
        </w:trPr>
        <w:tc>
          <w:tcPr>
            <w:tcW w:w="8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One-time Employee Termination Benefits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(the Reduction-in-Force). For the fiscal year ended June 30, 2023, we recorded one-time employee benefits of $2.8 million and $0.8 million, within research and development expense and general and administrative expense, respectively. During the fiscal year ended June 30, 2024, we recorded additional one-time employee termination benefits of $242,000 and $314,000 within research</w:t>
      </w:r>
    </w:p>
    <w:p>
      <w:pPr>
        <w:sectPr>
          <w:pgSz w:w="11900" w:h="16838" w:orient="portrait"/>
          <w:cols w:equalWidth="0" w:num="1">
            <w:col w:w="11220"/>
          </w:cols>
          <w:pgMar w:left="320" w:top="117"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development expense and general and administrative expense, respectively, associated with the termination of 11 additional employees, five within research and development and six within general and administrative departments.</w:t>
      </w:r>
    </w:p>
    <w:p>
      <w:pPr>
        <w:spacing w:after="0" w:line="52"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August 2024, in connection with our </w:t>
      </w:r>
      <w:r>
        <w:rPr>
          <w:rFonts w:ascii="Times New Roman" w:cs="Times New Roman" w:eastAsia="Times New Roman" w:hAnsi="Times New Roman"/>
          <w:sz w:val="18"/>
          <w:szCs w:val="18"/>
          <w:i w:val="1"/>
          <w:iCs w:val="1"/>
          <w:u w:val="single" w:color="auto"/>
          <w:color w:val="0000FF"/>
        </w:rPr>
        <w:t>Strategic Alternatives</w:t>
      </w:r>
      <w:r>
        <w:rPr>
          <w:rFonts w:ascii="Times New Roman" w:cs="Times New Roman" w:eastAsia="Times New Roman" w:hAnsi="Times New Roman"/>
          <w:sz w:val="18"/>
          <w:szCs w:val="18"/>
          <w:color w:val="auto"/>
        </w:rPr>
        <w:t xml:space="preserve"> announcement, described in </w:t>
      </w:r>
      <w:r>
        <w:rPr>
          <w:rFonts w:ascii="Times New Roman" w:cs="Times New Roman" w:eastAsia="Times New Roman" w:hAnsi="Times New Roman"/>
          <w:sz w:val="18"/>
          <w:szCs w:val="18"/>
          <w:i w:val="1"/>
          <w:iCs w:val="1"/>
          <w:u w:val="single" w:color="auto"/>
          <w:color w:val="0000FF"/>
        </w:rPr>
        <w:t>Note 1. Description of Business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Presentation</w:t>
      </w:r>
      <w:r>
        <w:rPr>
          <w:rFonts w:ascii="Times New Roman" w:cs="Times New Roman" w:eastAsia="Times New Roman" w:hAnsi="Times New Roman"/>
          <w:sz w:val="18"/>
          <w:szCs w:val="18"/>
          <w:color w:val="000000"/>
        </w:rPr>
        <w:t>, we commenced a Reduction-in-Force (the 2024 Plan). Including management's contractual 2025 bonuses, we expect to incur charges not to</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exceed a total of $6.0 million in retention costs, severance and COBRA costs related to the termination of our employees due to our related wind down activities. The charges that we expect to incur in connection with the 2024 Plan are subject to a number of assumptions, and actual results may differ materially. We may also incur additional costs not currently contemplated due to events that may occur as a result of, or that are associated with, the 2024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-719455</wp:posOffset>
            </wp:positionV>
            <wp:extent cx="993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93140" cy="8255"/>
                    </a:xfrm>
                    <a:prstGeom prst="rect">
                      <a:avLst/>
                    </a:prstGeom>
                    <a:noFill/>
                  </pic:spPr>
                </pic:pic>
              </a:graphicData>
            </a:graphic>
          </wp:anchor>
        </w:drawing>
        <w:drawing>
          <wp:anchor simplePos="0" relativeHeight="251657728" behindDoc="1" locked="0" layoutInCell="0" allowOverlap="1">
            <wp:simplePos x="0" y="0"/>
            <wp:positionH relativeFrom="column">
              <wp:posOffset>4485005</wp:posOffset>
            </wp:positionH>
            <wp:positionV relativeFrom="paragraph">
              <wp:posOffset>-719455</wp:posOffset>
            </wp:positionV>
            <wp:extent cx="20656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656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5797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5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activity related to one-time employee termination benefits, excluding one-time employee termination benefits recorded subsequent to June 30, 2024, included in accrued liabilities (in thousands):</w:t>
      </w: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260" w:type="dxa"/>
            <w:vAlign w:val="bottom"/>
          </w:tcPr>
          <w:p>
            <w:pPr>
              <w:spacing w:after="0"/>
              <w:rPr>
                <w:sz w:val="18"/>
                <w:szCs w:val="18"/>
                <w:color w:val="auto"/>
              </w:rPr>
            </w:pPr>
          </w:p>
        </w:tc>
        <w:tc>
          <w:tcPr>
            <w:tcW w:w="2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One-time Employee Termination</w:t>
            </w:r>
          </w:p>
        </w:tc>
      </w:tr>
      <w:tr>
        <w:trPr>
          <w:trHeight w:val="245"/>
        </w:trPr>
        <w:tc>
          <w:tcPr>
            <w:tcW w:w="7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39"/>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restructuring</w:t>
            </w:r>
          </w:p>
        </w:tc>
        <w:tc>
          <w:tcPr>
            <w:tcW w:w="58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00" w:type="dxa"/>
            <w:vAlign w:val="bottom"/>
            <w:shd w:val="clear" w:color="auto" w:fill="CFF0FC"/>
          </w:tcPr>
          <w:p>
            <w:pPr>
              <w:spacing w:after="0"/>
              <w:rPr>
                <w:sz w:val="21"/>
                <w:szCs w:val="21"/>
                <w:color w:val="auto"/>
              </w:rPr>
            </w:pPr>
          </w:p>
        </w:tc>
      </w:tr>
      <w:tr>
        <w:trPr>
          <w:trHeight w:val="23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580" w:type="dxa"/>
            <w:vAlign w:val="bottom"/>
          </w:tcPr>
          <w:p>
            <w:pPr>
              <w:spacing w:after="0"/>
              <w:rPr>
                <w:sz w:val="20"/>
                <w:szCs w:val="20"/>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(2,594 )</w:t>
            </w:r>
          </w:p>
        </w:tc>
      </w:tr>
      <w:tr>
        <w:trPr>
          <w:trHeight w:val="241"/>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580" w:type="dxa"/>
            <w:vAlign w:val="bottom"/>
            <w:tcBorders>
              <w:top w:val="single" w:sz="8" w:color="auto"/>
            </w:tcBorders>
            <w:shd w:val="clear" w:color="auto" w:fill="CFF0FC"/>
          </w:tcPr>
          <w:p>
            <w:pPr>
              <w:spacing w:after="0"/>
              <w:rPr>
                <w:sz w:val="20"/>
                <w:szCs w:val="20"/>
                <w:color w:val="auto"/>
              </w:rPr>
            </w:pP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FF0FC"/>
          </w:tcPr>
          <w:p>
            <w:pPr>
              <w:spacing w:after="0"/>
              <w:rPr>
                <w:sz w:val="20"/>
                <w:szCs w:val="20"/>
                <w:color w:val="auto"/>
              </w:rPr>
            </w:pPr>
          </w:p>
        </w:tc>
      </w:tr>
      <w:tr>
        <w:trPr>
          <w:trHeight w:val="23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5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0"/>
                <w:szCs w:val="20"/>
                <w:color w:val="auto"/>
              </w:rPr>
            </w:pPr>
          </w:p>
        </w:tc>
      </w:tr>
      <w:tr>
        <w:trPr>
          <w:trHeight w:val="243"/>
        </w:trPr>
        <w:tc>
          <w:tcPr>
            <w:tcW w:w="7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580" w:type="dxa"/>
            <w:vAlign w:val="bottom"/>
            <w:shd w:val="clear" w:color="auto" w:fill="CFF0FC"/>
          </w:tcPr>
          <w:p>
            <w:pPr>
              <w:spacing w:after="0"/>
              <w:rPr>
                <w:sz w:val="21"/>
                <w:szCs w:val="21"/>
                <w:color w:val="auto"/>
              </w:rPr>
            </w:pPr>
          </w:p>
        </w:tc>
        <w:tc>
          <w:tcPr>
            <w:tcW w:w="2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(1,528 )</w:t>
            </w:r>
          </w:p>
        </w:tc>
      </w:tr>
      <w:tr>
        <w:trPr>
          <w:trHeight w:val="238"/>
        </w:trPr>
        <w:tc>
          <w:tcPr>
            <w:tcW w:w="7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FF0FC"/>
            </w:tcBorders>
          </w:tcPr>
          <w:p>
            <w:pPr>
              <w:spacing w:after="0"/>
              <w:rPr>
                <w:sz w:val="20"/>
                <w:szCs w:val="20"/>
                <w:color w:val="auto"/>
              </w:rPr>
            </w:pPr>
          </w:p>
        </w:tc>
      </w:tr>
      <w:tr>
        <w:trPr>
          <w:trHeight w:val="20"/>
        </w:trPr>
        <w:tc>
          <w:tcPr>
            <w:tcW w:w="7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June 30, 2024 which will have, individually or in the aggregate, a material effect on its business, liquidity, financial position, or results of operations. Litigation, however, is subject to inherent uncertainties, and an adverse result in these or other matters may arise from time to time that may harm our business.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memorandum and articles of association,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color w:val="auto"/>
        </w:rPr>
        <w:t>, we are party to a license agreement with Presage under which we may be required to make future payments upon the achievement of certain development, regulatory and commercial milestones, as well as potential future royalties based upon net sales. As of June 30, 2024, we had not accrued any amounts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-313690</wp:posOffset>
            </wp:positionV>
            <wp:extent cx="15951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59512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KKC License, Development and Commercialization Agreement</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w:t>
      </w:r>
    </w:p>
    <w:p>
      <w:pPr>
        <w:sectPr>
          <w:pgSz w:w="11900" w:h="16838" w:orient="portrait"/>
          <w:cols w:equalWidth="0" w:num="1">
            <w:col w:w="11220"/>
          </w:cols>
          <w:pgMar w:left="320" w:top="117"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Prior to the execution of the Termination Agreement, KKC was responsible for the development and commercialization of zandelisib in Ex-U.S. and, subject to certain exceptions, was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7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1. Description of Business and Basis of Presentation</w:t>
      </w:r>
      <w:r>
        <w:rPr>
          <w:rFonts w:ascii="Times New Roman" w:cs="Times New Roman" w:eastAsia="Times New Roman" w:hAnsi="Times New Roman"/>
          <w:sz w:val="18"/>
          <w:szCs w:val="18"/>
          <w:color w:val="auto"/>
        </w:rPr>
        <w:t>, we and KKC jointly decided to discontinue zandelisib development in the U.S. During fiscal year 2023, we updated our assessment of the total transaction price from the KKC Commercialization Agreement to be $213.1 million, comprised of the upfront payment of $100.0 million, milestone payments of $20.0 million, estimated development cost-sharing of $87.9 million, and deferred revenue of $5.2 million. The updated assessment reflects a decrease in estimated variable consideration related to development cost sharing of $147.0 million from June 30, 2022. In December 2022, we announced our plan to discontinue the global development of zandelisib outside of Japan. As a result, we decreased our estimate for variable consideration related to development cost sharing. During the second quarter of the fiscal year ended June 30, 2023, we recognized revenue of $16.6 million from the change in estimate. Additionally, we recognized $8.6 million of revenue related to non-refundable payments for performance obligations that have not commenced and will no longer be initiated.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-1676400</wp:posOffset>
            </wp:positionV>
            <wp:extent cx="26739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73985" cy="8255"/>
                    </a:xfrm>
                    <a:prstGeom prst="rect">
                      <a:avLst/>
                    </a:prstGeom>
                    <a:noFill/>
                  </pic:spPr>
                </pic:pic>
              </a:graphicData>
            </a:graphic>
          </wp:anchor>
        </w:drawing>
      </w:r>
    </w:p>
    <w:p>
      <w:pPr>
        <w:spacing w:after="0" w:line="6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$64.5 million transaction price allocated to the U.S. License obligation accounted for under Topic 808 was included as noncurrent deferred revenue as of June 30, 2023. As of June 30, 2023, we also had deferred revenue of approximately $0.3 million related to the transaction price allocated to the Development Services performance obligations and recognized the remaining revenue based on the proportional performance of these development activities. The KKC Agreement was terminated on July 14, 2023 and all remaining amounts of deferred revenue were recognized during the fiscal year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Biosciences, Inc.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fiscal years ended June 30, 2024 and 2023, we made no payments under the Presage license agreement.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was terminated on September 28, 2023. Cost reimbursements recorded as a reduction of research and development costs, in the consolidated statements of operations, during the fiscal years ended June 30, 2024 and 2023 were approximately $0.1 million and $1.0 million, respectively.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for approximately 32,800 square feet of office space in San Diego, California. The lease agreement contained rent escalations over the lease term and was originally scheduled to expire in March 2028. We accounted for the lease agreement as an operating lease. The lease agreement contained an option to renew and extend the lease term, which was not included in the determination of the ROU asset and operating lease liability, as it was not reasonably certain to be exercised. In July 2022, we amended the lease to extend the lease termination date from March 2028 to November 30, 2029 and to add an additional 12,300 square feet of office space adjacent to our current office in San Diego (the Amended Lease). Upon commencement of the Amended Lease, we recognized an additional ROU asset and a corresponding operating lease liability of $4.3 million. The Amended Lease includes variable non-lease components (e.g., common area maintenance, maintenance, etc.) that are not included in the ROU asset and operating lease liability and are reflected as an expense in the period incurred as a component of the lease cost.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June 18, 2024 (the Agreement Date), we entered into a lease termination agreement (Agreement) with our landlord pursuant to which the parties agreed to terminate, as of September 30, 2024, the lease for our existing office space. The original (as amended) scheduled expiration date was November 30, 2029. As consideration for the Agreement, we agreed to pay the landlord a termination fee of approximately $11.1 million (the Termination Fee) and to prepay the remaining rent due under the Agreement in the amount of approximately $0.2 million (the Remaining Rent) and sell all the furniture and fixtures to the landlord for $1.00 (see </w:t>
      </w:r>
      <w:r>
        <w:rPr>
          <w:rFonts w:ascii="Times New Roman" w:cs="Times New Roman" w:eastAsia="Times New Roman" w:hAnsi="Times New Roman"/>
          <w:sz w:val="18"/>
          <w:szCs w:val="18"/>
          <w:i w:val="1"/>
          <w:iCs w:val="1"/>
          <w:u w:val="single" w:color="auto"/>
          <w:color w:val="0000FF"/>
        </w:rPr>
        <w:t>Property and Equipment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for further discussion on the impact of the Agreement on our property and equipment). We expect to receive our security deposit, which is classified as a component of prepaid and other current assets, from the landlord in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-305435</wp:posOffset>
            </wp:positionV>
            <wp:extent cx="28416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41625" cy="8255"/>
                    </a:xfrm>
                    <a:prstGeom prst="rect">
                      <a:avLst/>
                    </a:prstGeom>
                    <a:noFill/>
                  </pic:spPr>
                </pic:pic>
              </a:graphicData>
            </a:graphic>
          </wp:anchor>
        </w:drawing>
      </w:r>
    </w:p>
    <w:p>
      <w:pPr>
        <w:spacing w:after="0" w:line="6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Agreement was accounted for as a lease modification of the original contract. As a result of the Agreement, we reduced both the remaining ROU asset and lease liability by approximately $22,000, resulting in no impact to our consolidated statements of operations. We reassessed the lease classification, as of the Agreement Date, noting the current classification as an operating lease remained appropriate. Both the Termination Fee and the Remaining Rent were paid prior to June 30, 2024. Subsequent to the payment of both the Termination Fee and the Remaining Rent, our lease liability was relieved and the balance was reduced to zero.</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incurred direct costs of approximately $0.2 million in connection with the Agreement which accordingly was recorded to the ROU assets as a direct cost of modifying the Agreement. As of the Agreement Date, we determined a triggering event, in accordance with ASC 360, had occurred and therefore completed an impairment analysis on its ROU asset resulting in an impairment charge of approximately $10.4 million being recorded in our consolidated statements of operations for the fiscal year ended June 30, 2024.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operating lease costs for the Amended Lease were as follows for the periods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4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4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operating expenses</w:t>
            </w:r>
          </w:p>
        </w:tc>
        <w:tc>
          <w:tcPr>
            <w:tcW w:w="36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33"/>
        </w:trPr>
        <w:tc>
          <w:tcPr>
            <w:tcW w:w="580" w:type="dxa"/>
            <w:vAlign w:val="bottom"/>
          </w:tcPr>
          <w:p>
            <w:pPr>
              <w:spacing w:after="0"/>
              <w:rPr>
                <w:sz w:val="24"/>
                <w:szCs w:val="24"/>
                <w:color w:val="auto"/>
              </w:rPr>
            </w:pPr>
          </w:p>
        </w:tc>
        <w:tc>
          <w:tcPr>
            <w:tcW w:w="4200" w:type="dxa"/>
            <w:vAlign w:val="bottom"/>
            <w:tcBorders>
              <w:top w:val="single" w:sz="8" w:color="CFF0FC"/>
            </w:tcBorders>
          </w:tcPr>
          <w:p>
            <w:pPr>
              <w:spacing w:after="0"/>
              <w:rPr>
                <w:sz w:val="24"/>
                <w:szCs w:val="24"/>
                <w:color w:val="auto"/>
              </w:rPr>
            </w:pPr>
          </w:p>
        </w:tc>
        <w:tc>
          <w:tcPr>
            <w:tcW w:w="2460" w:type="dxa"/>
            <w:vAlign w:val="bottom"/>
            <w:tcBorders>
              <w:top w:val="single" w:sz="8" w:color="CFF0FC"/>
            </w:tcBorders>
          </w:tcPr>
          <w:p>
            <w:pPr>
              <w:jc w:val="right"/>
              <w:ind w:right="1430"/>
              <w:spacing w:after="0"/>
              <w:rPr>
                <w:sz w:val="20"/>
                <w:szCs w:val="20"/>
                <w:color w:val="auto"/>
              </w:rPr>
            </w:pPr>
            <w:r>
              <w:rPr>
                <w:rFonts w:ascii="Times New Roman" w:cs="Times New Roman" w:eastAsia="Times New Roman" w:hAnsi="Times New Roman"/>
                <w:sz w:val="18"/>
                <w:szCs w:val="18"/>
                <w:color w:val="auto"/>
              </w:rPr>
              <w:t>58</w:t>
            </w: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-925195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-908050</wp:posOffset>
            </wp:positionV>
            <wp:extent cx="603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our operating leases was as follows for the periods presented (in thousands):</w:t>
      </w:r>
    </w:p>
    <w:p>
      <w:pPr>
        <w:spacing w:after="0" w:line="1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28575</wp:posOffset>
            </wp:positionV>
            <wp:extent cx="23317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 w:lineRule="exact"/>
        <w:rPr>
          <w:sz w:val="20"/>
          <w:szCs w:val="20"/>
          <w:color w:val="auto"/>
        </w:rPr>
      </w:pPr>
    </w:p>
    <w:p>
      <w:pPr>
        <w:ind w:left="7600"/>
        <w:spacing w:after="0"/>
        <w:tabs>
          <w:tab w:leader="none" w:pos="95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28575</wp:posOffset>
            </wp:positionV>
            <wp:extent cx="23317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of lease liabilities:</w:t>
      </w:r>
    </w:p>
    <w:p>
      <w:pPr>
        <w:spacing w:after="0" w:line="18" w:lineRule="exact"/>
        <w:rPr>
          <w:sz w:val="20"/>
          <w:szCs w:val="20"/>
          <w:color w:val="auto"/>
        </w:rPr>
      </w:pPr>
    </w:p>
    <w:p>
      <w:pPr>
        <w:ind w:left="760"/>
        <w:spacing w:after="0"/>
        <w:tabs>
          <w:tab w:leader="none" w:pos="6900" w:val="left"/>
          <w:tab w:leader="none" w:pos="8140" w:val="left"/>
          <w:tab w:leader="none" w:pos="8920" w:val="left"/>
          <w:tab w:leader="none" w:pos="1014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13,612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June 30, 2024, we have no remaining future minimum rental payments for our operating leases and the remaining ROU asset balance is $0.2 million. During fiscal year 2024, the ROU asset balance was increased by approximately $0.2 million related to direct costs associated with the Agreement. Additionally, the ROU asset balance was decreased by: (1) approximately $22,000 associated with our reassessment of the lease liability as of the Agreement date and (2) $10.4 million associated with the impairment of the ROU asset, as discussed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Transactions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Self Registration Statement) that permits us to sell, from time to time, up to $100.0 million of common stock, preferred stock, warrants rights and units, subject to the "Baby Shelf Limitation" described below. The February 2024 Shelf Registration Statement was filed February 20, 2024 and declared effective February 28,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with JonesTrading Institution Services LLC, pursuant to which we can offer and sell shares having an aggregate offering price of up to $25.0 million (the ATM Program). In no event will we sell securities registered on this registration statement in a public primary offering with a value exceeding more than one-third of our public float in any 12-month period so long as our public float remains below $75.0 million (Baby Shelf Limitation) As of January 2, 2024, the date used under applicable rules of the Securities and Exchange Commission to determine our public float at the commencement of the offering, one-third of our public float was equal to approximately $9.9 million. As of June 30, 2024, no shares have been issued and sold under our ATM Program.</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 The Rights and the Rights Agreement will expire upon the earliest to occur of (i) the date on which all of the Rights are redeemed, (ii) the date on which the Rights are exchanged, and (iii) the close of business on September 30, 2024.</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May 2023, outstanding warrants to purchase 802,949 shares of our common stock expired. The warrants were fully vested and exercisable at a price of $50.80 per share. As of June 30, 2022, the warrants were valued at $1.6 million. Prior to their expiration, the warrants had been previously revalued to $0, as of December 31, 2022. All corresponding changes in fair value were recorded as a component of other income (expense) in our consolidated statements of operations.</w:t>
      </w:r>
    </w:p>
    <w:p>
      <w:pPr>
        <w:spacing w:after="0" w:line="7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we have outstanding warrants to purchase 102,513 shares of our common stock, all issued to Torreya Partners LLC in fiscal year 2023. The warrants are fully vested, exercisable at a price of $6.80 per share and expire in October 2027. During the fiscal years ended June 30, 2024 and 2023, no warrants were exercised.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June 30, 2024 and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Share-based Compensation</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use equity-based compensation programs to provide long-term performance incentives for our employees. These incentives consist primarily of stock options and RSUs. In December 2008, we adopted the MEI Pharma, Inc. 2008 Stock Omnibus Equity Compensation Plan (the Omnibus Plan), as amended and restated from time to time, under which 1,850,739 shares of common stock are authorized for issuance. The Omnibus Plan provides for the grant of options and/or other stock-based or stock-denominated awards to our non-employee directors, officers, employees and advisors. As of June 30, 2024, there were 465,633 shares available for future grant under the Omnibus Plan.</w:t>
      </w:r>
    </w:p>
    <w:p>
      <w:pPr>
        <w:spacing w:after="0" w:line="75"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In May 2021, we adopted the 2021 Inducement Plan (Inducement Plan), under which 125,000 shares of common stock were authorized for issuance. On June 9, 2023 our Board approved an amendment 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June 30, 2024, there were 130,737 shares available for future grant under the Inducement Plan.</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share-based compensation expense for all stock awards consists of the following,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r>
      <w:tr>
        <w:trPr>
          <w:trHeight w:val="241"/>
        </w:trPr>
        <w:tc>
          <w:tcPr>
            <w:tcW w:w="64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FF0FC"/>
          </w:tcPr>
          <w:p>
            <w:pPr>
              <w:spacing w:after="0"/>
              <w:rPr>
                <w:sz w:val="20"/>
                <w:szCs w:val="20"/>
                <w:color w:val="auto"/>
              </w:rPr>
            </w:pP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20"/>
                <w:szCs w:val="20"/>
                <w:color w:val="auto"/>
              </w:rPr>
            </w:pPr>
          </w:p>
        </w:tc>
      </w:tr>
      <w:tr>
        <w:trPr>
          <w:trHeight w:val="276"/>
        </w:trPr>
        <w:tc>
          <w:tcPr>
            <w:tcW w:w="64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03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As of June 30, 2024, there were a total of 1,357,213 options outstanding of which 1,270,950 were granted under the Omnibus Plan and 86,263 were granted under the Inducement Plan.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w:t>
            </w:r>
          </w:p>
        </w:tc>
      </w:tr>
      <w:tr>
        <w:trPr>
          <w:trHeight w:val="216"/>
        </w:trPr>
        <w:tc>
          <w:tcPr>
            <w:tcW w:w="4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w:t>
            </w:r>
          </w:p>
        </w:tc>
      </w:tr>
      <w:tr>
        <w:trPr>
          <w:trHeight w:val="216"/>
        </w:trPr>
        <w:tc>
          <w:tcPr>
            <w:tcW w:w="45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45"/>
        </w:trPr>
        <w:tc>
          <w:tcPr>
            <w:tcW w:w="4540" w:type="dxa"/>
            <w:vAlign w:val="bottom"/>
          </w:tcPr>
          <w:p>
            <w:pPr>
              <w:spacing w:after="0"/>
              <w:rPr>
                <w:sz w:val="21"/>
                <w:szCs w:val="21"/>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4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1,284,907</w:t>
            </w: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18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290,437</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(218,131 )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1,357,213</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7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June 30, 2024</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1,357,213</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-367665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aggregate intrinsic value of outstanding options is calculated as the difference between the exercise price of the underlying options and the closing price of our common stock of $2.91 on that date.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$1.3 million as of June 30, 2024. Such compensation expense is expected to be recognized over a weighted-average period of 1.57 years. As of June 30, 2024, we expect all outstanding options to vest.</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use a Black-Scholes valuation model to estimate the grant date fair value of stock options. To calculate these fair values, the following weighted-average assumptions were used:</w:t>
      </w:r>
    </w:p>
    <w:p>
      <w:pPr>
        <w:spacing w:after="0" w:line="63"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6660" w:type="dxa"/>
            <w:vAlign w:val="bottom"/>
          </w:tcPr>
          <w:p>
            <w:pPr>
              <w:spacing w:after="0"/>
              <w:rPr>
                <w:sz w:val="21"/>
                <w:szCs w:val="21"/>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Fiscal Year Ended June 30,</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660" w:type="dxa"/>
            <w:vAlign w:val="bottom"/>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1120" w:type="dxa"/>
            <w:vAlign w:val="bottom"/>
          </w:tcPr>
          <w:p>
            <w:pPr>
              <w:spacing w:after="0"/>
              <w:rPr>
                <w:sz w:val="20"/>
                <w:szCs w:val="20"/>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3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89.8 %</w:t>
            </w:r>
          </w:p>
        </w:tc>
        <w:tc>
          <w:tcPr>
            <w:tcW w:w="1120" w:type="dxa"/>
            <w:vAlign w:val="bottom"/>
          </w:tcPr>
          <w:p>
            <w:pPr>
              <w:spacing w:after="0"/>
              <w:rPr>
                <w:sz w:val="21"/>
                <w:szCs w:val="21"/>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0"/>
              </w:rPr>
              <w:t>85.5 %</w:t>
            </w:r>
          </w:p>
        </w:tc>
      </w:tr>
      <w:tr>
        <w:trPr>
          <w:trHeight w:val="25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20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7.04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Restricted Stock Units (RSU)</w:t>
      </w:r>
    </w:p>
    <w:p>
      <w:pPr>
        <w:spacing w:after="0" w:line="200" w:lineRule="exact"/>
        <w:rPr>
          <w:sz w:val="20"/>
          <w:szCs w:val="20"/>
          <w:color w:val="auto"/>
        </w:rPr>
      </w:pPr>
    </w:p>
    <w:p>
      <w:pPr>
        <w:spacing w:after="0" w:line="24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RSU represents the contingent right to receive one share of our common stock. Under the terms of the Omnibus Plan, each of the RSUs is calculated as 1.25 shares of common stock for purposes of determining the number of shares available for future grant. As of June 30, 2024 and 2023, we had no unvested RSUs.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Pre-tax loss consists of the following jurisdictions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1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45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(31,838 )</w:t>
            </w: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7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458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(31,838 )</w:t>
            </w:r>
          </w:p>
        </w:tc>
        <w:tc>
          <w:tcPr>
            <w:tcW w:w="560" w:type="dxa"/>
            <w:vAlign w:val="bottom"/>
          </w:tcPr>
          <w:p>
            <w:pPr>
              <w:spacing w:after="0"/>
              <w:rPr>
                <w:sz w:val="24"/>
                <w:szCs w:val="24"/>
                <w:color w:val="auto"/>
              </w:rPr>
            </w:pPr>
          </w:p>
        </w:tc>
      </w:tr>
      <w:tr>
        <w:trPr>
          <w:trHeight w:val="633"/>
        </w:trPr>
        <w:tc>
          <w:tcPr>
            <w:tcW w:w="580" w:type="dxa"/>
            <w:vAlign w:val="bottom"/>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3700" w:type="dxa"/>
            <w:vAlign w:val="bottom"/>
            <w:tcBorders>
              <w:top w:val="single" w:sz="8" w:color="CFF0FC"/>
            </w:tcBorders>
          </w:tcPr>
          <w:p>
            <w:pPr>
              <w:jc w:val="right"/>
              <w:ind w:right="1730"/>
              <w:spacing w:after="0"/>
              <w:rPr>
                <w:sz w:val="20"/>
                <w:szCs w:val="20"/>
                <w:color w:val="auto"/>
              </w:rPr>
            </w:pPr>
            <w:r>
              <w:rPr>
                <w:rFonts w:ascii="Times New Roman" w:cs="Times New Roman" w:eastAsia="Times New Roman" w:hAnsi="Times New Roman"/>
                <w:sz w:val="18"/>
                <w:szCs w:val="18"/>
                <w:color w:val="auto"/>
              </w:rPr>
              <w:t>61</w:t>
            </w:r>
          </w:p>
        </w:tc>
        <w:tc>
          <w:tcPr>
            <w:tcW w:w="8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-925195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-908050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-925195</wp:posOffset>
            </wp:positionV>
            <wp:extent cx="603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income tax computed at the U.S. federal statutory tax rates to income tax expense is as follows (in thousands):</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For the Fiscal Year Ended June 30,</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Tax benefit at U.S. statutory rates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21 %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18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State tax</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costs</w:t>
            </w:r>
          </w:p>
        </w:tc>
        <w:tc>
          <w:tcPr>
            <w:tcW w:w="380" w:type="dxa"/>
            <w:vAlign w:val="bottom"/>
          </w:tcPr>
          <w:p>
            <w:pPr>
              <w:spacing w:after="0"/>
              <w:rPr>
                <w:sz w:val="21"/>
                <w:szCs w:val="21"/>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1"/>
                <w:szCs w:val="21"/>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(114 )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(6,281 )</w:t>
            </w:r>
          </w:p>
        </w:tc>
        <w:tc>
          <w:tcPr>
            <w:tcW w:w="180" w:type="dxa"/>
            <w:vAlign w:val="bottom"/>
          </w:tcPr>
          <w:p>
            <w:pPr>
              <w:spacing w:after="0"/>
              <w:rPr>
                <w:sz w:val="21"/>
                <w:szCs w:val="21"/>
                <w:color w:val="auto"/>
              </w:rPr>
            </w:pPr>
          </w:p>
        </w:tc>
        <w:tc>
          <w:tcPr>
            <w:tcW w:w="1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(7,020 )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Section 162(m) limitation</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(79 )</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40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line="20" w:lineRule="exact"/>
              <w:rPr>
                <w:sz w:val="1"/>
                <w:szCs w:val="1"/>
                <w:color w:val="auto"/>
              </w:rPr>
            </w:pPr>
          </w:p>
        </w:tc>
      </w:tr>
      <w:tr>
        <w:trPr>
          <w:trHeight w:val="239"/>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4"/>
          </w:tcPr>
          <w:p>
            <w:pPr>
              <w:ind w:left="1040"/>
              <w:spacing w:after="0"/>
              <w:rPr>
                <w:sz w:val="20"/>
                <w:szCs w:val="20"/>
                <w:color w:val="auto"/>
              </w:rPr>
            </w:pPr>
            <w:r>
              <w:rPr>
                <w:rFonts w:ascii="Times New Roman" w:cs="Times New Roman" w:eastAsia="Times New Roman" w:hAnsi="Times New Roman"/>
                <w:sz w:val="18"/>
                <w:szCs w:val="18"/>
                <w:color w:val="auto"/>
              </w:rPr>
              <w:t>— % $</w:t>
            </w: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90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w w:val="99"/>
              </w:rPr>
              <w:t>Deferred tax liabilities and assets are comprised of the following (in thousands):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of R&amp;D costs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payments</w:t>
            </w: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(45 )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(2,597 )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(69,918 )</w:t>
            </w:r>
          </w:p>
        </w:tc>
        <w:tc>
          <w:tcPr>
            <w:tcW w:w="1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(76,199 )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380" w:type="dxa"/>
            <w:vAlign w:val="bottom"/>
            <w:tcBorders>
              <w:top w:val="single" w:sz="8" w:color="CFF0FC"/>
            </w:tcBorders>
          </w:tcPr>
          <w:p>
            <w:pPr>
              <w:spacing w:after="0"/>
              <w:rPr>
                <w:sz w:val="20"/>
                <w:szCs w:val="20"/>
                <w:color w:val="auto"/>
              </w:rPr>
            </w:pPr>
          </w:p>
        </w:tc>
        <w:tc>
          <w:tcPr>
            <w:tcW w:w="98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1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-3745230</wp:posOffset>
            </wp:positionV>
            <wp:extent cx="641223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-3436620</wp:posOffset>
            </wp:positionV>
            <wp:extent cx="641223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-3128645</wp:posOffset>
            </wp:positionV>
            <wp:extent cx="641223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-2665095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-2665095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-2665095</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-2665095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-505460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-505460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We evaluate the recoverability of the deferred tax assets and the amount of the required valuation allowance. Due to the uncertainty surrounding the realization of the tax deductions in future tax returns, we have recorded a valuation allowance against our net deferred tax assets as of June 30, 2024 and 2023. At such time as it is determined that it is more likely than not that the deferred tax assets will be realized, the valuation allowance would be reduced.</w:t>
      </w:r>
    </w:p>
    <w:p>
      <w:pPr>
        <w:spacing w:after="0" w:line="5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had federal and state net operating loss carryforwards of approximately $209.8 million and $23.8 million as of June 30, 2024. The federal net operating loss will carry forward indefinitely subject to an 80% taxable income limitation. The state net operating loss carryforwards will begin to expire in 2031 unless previously utilized.</w:t>
      </w:r>
    </w:p>
    <w:p>
      <w:pPr>
        <w:spacing w:after="0" w:line="68"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may be substantially limited due to ownership changes that have occurred or that could occur in the future under Section 382 of the Internal Revenue Code and similar state laws. Through December 31, 2021, we completed a study to analyze whether one or more ownership changes had occurred and determined that two such ownership changes did occur. Although we did not conduct a formal study in 2023, we believe no significant ownership changes occurred subsequent to 2021. While the ownership changes do limit the amount of net operating loss we are able to use each year, all of our net operating losses are expected to be available for utilization prior to expiring.</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None of our prior income tax returns have been selected for examination by a major taxing jurisdiction; however, the statutes of limitations for various filings remain open. The oldest filings subject to potential examination for federal and state purposes are 2020 and 2019, respectively. If we utilize a net operating loss related to a closed tax year, the tax year in which the loss was incurred is subject to adjustment up to the amount of the net operating loss.</w:t>
      </w:r>
    </w:p>
    <w:p>
      <w:pPr>
        <w:spacing w:after="0" w:line="72"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have not reduced any tax benefit on our consolidated financial statements due to uncertain tax positions as of June 30, 2024 and we are not aware of any circumstance that would significantly change this result through the end of fiscal year 2024. To the extent we incur income-tax related penalties or interest, we will recognize them as additional income tax expense.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Annual Report, or June 30, 2024, our management, with the participation of our principal executive officer and principal financial officer, has evaluated the effectiveness of our disclosure controls and procedures as defined in Rules 13a-15(e) and 15d-15(e) under the Exchange Act as of June 30, 2024.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consolidated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 Control—Integrated Framework (2013). Based on this assessment, our management concluded that, as of June 30, 2024, our internal control over financial reporting was effective based on those criteria.</w:t>
      </w:r>
    </w:p>
    <w:p>
      <w:pPr>
        <w:spacing w:after="0" w:line="6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June 30, 2024, that have materially affected, or are reasonably likely to materially affect, our internal control over financial reporting.</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including our Acting Chief Executive Officer and Chief Financial Officer,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None of our officers or directors have adopted, modified or terminated trading plans under a Rule 10b5-1 or non-Rule 10b5-1 trading arrangement for the year ended June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Set forth below are the names, ages and certain biographical information as of the date of filing of this Annual Report on Form 10-K (Annual Report) regarding our directors.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6"/>
                <w:szCs w:val="16"/>
                <w:color w:val="auto"/>
              </w:rPr>
            </w:pPr>
          </w:p>
        </w:tc>
        <w:tc>
          <w:tcPr>
            <w:tcW w:w="2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60" w:type="dxa"/>
            <w:vAlign w:val="bottom"/>
          </w:tcPr>
          <w:p>
            <w:pPr>
              <w:spacing w:after="0"/>
              <w:rPr>
                <w:sz w:val="16"/>
                <w:szCs w:val="16"/>
                <w:color w:val="auto"/>
              </w:rPr>
            </w:pPr>
          </w:p>
        </w:tc>
        <w:tc>
          <w:tcPr>
            <w:tcW w:w="39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Expiration of Term</w:t>
            </w:r>
          </w:p>
        </w:tc>
      </w:tr>
      <w:tr>
        <w:trPr>
          <w:trHeight w:val="16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Nicholas R. Glover, Ph.D.</w:t>
            </w:r>
          </w:p>
        </w:tc>
        <w:tc>
          <w:tcPr>
            <w:tcW w:w="12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55</w:t>
            </w:r>
          </w:p>
        </w:tc>
        <w:tc>
          <w:tcPr>
            <w:tcW w:w="18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shd w:val="clear" w:color="auto" w:fill="CFF0FC"/>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Fiscal 2025 Annual Meeting of Stockholders</w:t>
            </w: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Frederick W. Driscoll</w:t>
            </w:r>
          </w:p>
        </w:tc>
        <w:tc>
          <w:tcPr>
            <w:tcW w:w="12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73</w:t>
            </w:r>
          </w:p>
        </w:tc>
        <w:tc>
          <w:tcPr>
            <w:tcW w:w="18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Fiscal 2025 Annual Meeting of Stockholders</w:t>
            </w: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Thomas C. Reynolds, M.D., Ph.D.</w:t>
            </w:r>
          </w:p>
        </w:tc>
        <w:tc>
          <w:tcPr>
            <w:tcW w:w="12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65</w:t>
            </w:r>
          </w:p>
        </w:tc>
        <w:tc>
          <w:tcPr>
            <w:tcW w:w="1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shd w:val="clear" w:color="auto" w:fill="CFF0FC"/>
          </w:tcPr>
          <w:p>
            <w:pPr>
              <w:spacing w:after="0"/>
              <w:rPr>
                <w:sz w:val="15"/>
                <w:szCs w:val="15"/>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Fiscal 2026 Annual Meeting of Stockholders</w:t>
            </w:r>
          </w:p>
        </w:tc>
      </w:tr>
      <w:tr>
        <w:trPr>
          <w:trHeight w:val="175"/>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Taheer Datoo</w:t>
            </w:r>
          </w:p>
        </w:tc>
        <w:tc>
          <w:tcPr>
            <w:tcW w:w="12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33</w:t>
            </w:r>
          </w:p>
        </w:tc>
        <w:tc>
          <w:tcPr>
            <w:tcW w:w="180" w:type="dxa"/>
            <w:vAlign w:val="bottom"/>
          </w:tcPr>
          <w:p>
            <w:pPr>
              <w:spacing w:after="0"/>
              <w:rPr>
                <w:sz w:val="15"/>
                <w:szCs w:val="15"/>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Fiscal 2027 Annual Meeting of Stockholders</w:t>
            </w:r>
          </w:p>
        </w:tc>
      </w:tr>
      <w:tr>
        <w:trPr>
          <w:trHeight w:val="17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James Flynn</w:t>
            </w:r>
          </w:p>
        </w:tc>
        <w:tc>
          <w:tcPr>
            <w:tcW w:w="128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44</w:t>
            </w:r>
          </w:p>
        </w:tc>
        <w:tc>
          <w:tcPr>
            <w:tcW w:w="18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shd w:val="clear" w:color="auto" w:fill="CFF0FC"/>
          </w:tcPr>
          <w:p>
            <w:pPr>
              <w:spacing w:after="0"/>
              <w:rPr>
                <w:sz w:val="15"/>
                <w:szCs w:val="15"/>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Fiscal 2027 Annual Meeting of Stockholders</w:t>
            </w:r>
          </w:p>
        </w:tc>
      </w:tr>
      <w:tr>
        <w:trPr>
          <w:trHeight w:val="188"/>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Steven D. Wood</w:t>
            </w:r>
          </w:p>
        </w:tc>
        <w:tc>
          <w:tcPr>
            <w:tcW w:w="12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41</w:t>
            </w:r>
          </w:p>
        </w:tc>
        <w:tc>
          <w:tcPr>
            <w:tcW w:w="180" w:type="dxa"/>
            <w:vAlign w:val="bottom"/>
          </w:tcPr>
          <w:p>
            <w:pPr>
              <w:spacing w:after="0"/>
              <w:rPr>
                <w:sz w:val="16"/>
                <w:szCs w:val="16"/>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16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Fiscal 2027 Annual Meeting of Stockholders</w:t>
            </w: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Frederick W. Driscoll, age 73, Chair</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Mr. Driscoll has been a director of MEI Pharma since February 2018 and was appointed as chairperson of the board of directors on July 22, 2024. He currently serves on the board of directors of Cue Biopharma, a biotechnology company, Cellectar Biosciences, Inc., a clinical-stage biopharmaceutical company and Calliditas Therapeutics, a commercial-stage biopharmaceutical company. He served as interim Chief Financial Officer at Invivyd, Inc. from September 2022 to May 2023. He served as Chief Financial Officer of Renovacor, Inc., a leading late-stage biotechnology company, from March to June 2022. He served as the Chief Financial Officer of Flexion Therapeutics, Inc., a commercial-stage biopharmaceutical company, from 2013 to 2017 and rejoined in June 2021 as Chief Financial Officer until it was sold to Pacira BioScience. Prior to joining Flexion, he was the Chief Financial Officer at Novavax, Inc. from 2009 to 2013. From 2008 to 2009, Mr. Driscoll served as the Chief Executive Officer at Genelabs Technologies, Inc. and from 2007 to 2008 he served as its Chief Financial Officer. He was also the Chief Executive Officer of OXiGENE, Inc. from 2000 to 2006. Mr. Driscoll also served as the chairman of the board and audit committee chair at OXiGENE and as a member of the audit committee for Cynapsus Therapeutics, Inc. Mr. Driscoll earned a bachelor’s degree in Accounting and Finance from Bentley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Nicholas R. Glover, Ph.D., age 55, Director</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Dr. Glover has been a director of MEI Pharma since June 2013. He is currently a consultant to the biotech industry. Previously, he served as President and Chief Executive Officer of Sierra Oncology (NASDAQ: SRRA), a drug development company focused on advancing targeted therapeutics for the treatment of patients with cancer, from July 2014 through May 2020. Prior to joining Sierra, he served as President and Chief Executive Officer of YM Biosciences, an oncology drug development company, from November 2010 until its acquisition by Gilead Sciences in February 2013. Previously, Dr. Glover was President and Chief Executive Officer of Viventia Biotech, a biopharmaceutical company involved in the discovery and development of monoclonal antibody-based technologies for the treatment of cancer, which he joined after serving as an investment manager for MDS Capital, a life sciences venture capital firm. Dr. Glover holds a B.Sc. (Hons) in Chemistry from the University of East Anglia, U.K., a M.Sc. in Chemistry from the University of British Columbia, Canada, and a Ph.D. in Chemistry from Simon Fraser University, Canada.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Thomas C. Reynolds, M.D., Ph.D., age 65, Director</w:t>
      </w:r>
    </w:p>
    <w:p>
      <w:pPr>
        <w:spacing w:after="0" w:line="121"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Dr. Reynolds has been a director of MEI Pharma since February 2013. He is President of Two Paddles Consulting LLC since December 2013, providing consulting services to biotechnology and pharmaceutical companies. Dr. Reynolds served as an independent director of Trillium Therapeutics Inc. (NASDAQ: TRIL; TSX: TR), an immuno-oncology company, from March 2014 to April 2021. Previously, he served as Chief Medical Officer of Seattle Genetics, a biotechnology company, from March 2007 until his retirement in February 2013. While at Seattle Genetics, he was responsible for building and leading an integrated clinical development, regulatory and medical affairs organization, highlighted by the development and approval of ADCETRIS®. From 2002 to 2007, Dr. Reynolds served at ZymoGenetics (acquired by BMS in 2010), most recently as Vice President, Medical Affairs, where he oversaw the clinical development and regulatory filing of RECOTHROM®. Previously, he was Vice President, Clinical Affairs at Targeted Genetics, and before that was at Somatix Therapy (acquired by Cell Genesys in 1997). Dr. Reynolds received his M.D. and Ph.D. in Biophysics from Stanford University and a B.A. in Chemistry from Dartmouth College.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Taheer Datoo, age 33, Director</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Mr. Datoo has been a director of MEI Pharma since October 2023. Mr. Datoo has served in various roles of increasing seniority at Anson Advisors, Inc. (Anson), a hedge fund with a global investment portfolio, since 2016, including most recently as Principal and Portfolio Manager since January 2023, as well as Portfolio Manager from January 2019 to December 2022 and as an Analyst, from April 2016 to December 2019. While employed at Anson, Mr. Datoo has primarily focused on North American smallcap equities,</w:t>
      </w:r>
    </w:p>
    <w:p>
      <w:pPr>
        <w:sectPr>
          <w:pgSz w:w="11900" w:h="16838" w:orient="portrait"/>
          <w:cols w:equalWidth="0" w:num="1">
            <w:col w:w="11180"/>
          </w:cols>
          <w:pgMar w:left="320" w:top="117" w:right="399" w:bottom="1440" w:gutter="0" w:footer="0" w:header="0"/>
        </w:sectPr>
      </w:pP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special situations and thematic investing. Prior to joining Anson, Mr. Datoo served as an investment banker for BMO Capital Markets, the capital markets subsidiary of Bank of Montreal (NYSE/TSX: BMO), an international financial services company, from 2013 to 2015. Mr. Datoo earned a B.A. in economics and finance from McGill University.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Flynn, age 44, Director</w:t>
      </w:r>
    </w:p>
    <w:p>
      <w:pPr>
        <w:spacing w:after="0" w:line="121" w:lineRule="exact"/>
        <w:rPr>
          <w:sz w:val="20"/>
          <w:szCs w:val="20"/>
          <w:color w:val="auto"/>
        </w:rPr>
      </w:pPr>
    </w:p>
    <w:p>
      <w:pPr>
        <w:ind w:right="20" w:firstLine="562"/>
        <w:spacing w:after="0" w:line="253" w:lineRule="auto"/>
        <w:rPr>
          <w:sz w:val="20"/>
          <w:szCs w:val="20"/>
          <w:color w:val="auto"/>
        </w:rPr>
      </w:pPr>
      <w:r>
        <w:rPr>
          <w:rFonts w:ascii="Times New Roman" w:cs="Times New Roman" w:eastAsia="Times New Roman" w:hAnsi="Times New Roman"/>
          <w:sz w:val="18"/>
          <w:szCs w:val="18"/>
          <w:color w:val="auto"/>
        </w:rPr>
        <w:t>Mr. Flynn has been a director of MEI Pharma since October 2023. Mr. Flynn is currently a Managing Member and Portfolio Manager of Nerium Capital LLC, an investment adviser he founded in 2021. Nerium Capital LLC is the General Partner of Nerium Partners LP, a healthcare focused investment partnership. Previously, Mr. Flynn worked as a therapeutics analyst at Aptigon Capital, an investment firm and division of Citadel LLC, a multinational financial services company, from October 2017 to February 2018. Prior to that, Mr. Flynn served in various roles at Amici Capital, LLC, an investment management firm, from 2003 to 2017, including as Healthcare Portfolio Manager, from 2008 to 2017. Earlier in his career, Mr. Flynn worked in the credit research/high yield group at Putnam Investments LLC, an investment management firm, from 2002 to 2003. Mr. Flynn currently serves on the board of directors of ARCA biopharma, Inc. (NASDAQ: ABIO), a clinical-stage biopharmaceutical company, since December 2022, Synlogic, Inc. (NASDAQ: SYBX), a biopharmaceutical company with a focus on rare metabolic disorders, since March 2024, RiceBran Technologies, an innovative specialty ingredients company, since January 2024, and Axiom Health, Inc. (Axiom), a provider of software and big-data solutions to the healthcare industry, since July 2022. He has also served as an advisor to Axiom since August 2020. Mr. Flynn earned a S.B. degree in Management Science with a concentration in Finance and a minor in Economic Science from the Massachusetts Institute of Technology. Mr. Flynn is a Chartered Financial Analyst (CFA) charterholder.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Steven Wood, age 41, Director</w:t>
      </w:r>
    </w:p>
    <w:p>
      <w:pPr>
        <w:spacing w:after="0" w:line="121" w:lineRule="exact"/>
        <w:rPr>
          <w:sz w:val="20"/>
          <w:szCs w:val="20"/>
          <w:color w:val="auto"/>
        </w:rPr>
      </w:pPr>
    </w:p>
    <w:p>
      <w:pPr>
        <w:ind w:right="40" w:firstLine="562"/>
        <w:spacing w:after="0" w:line="255" w:lineRule="auto"/>
        <w:rPr>
          <w:sz w:val="20"/>
          <w:szCs w:val="20"/>
          <w:color w:val="auto"/>
        </w:rPr>
      </w:pPr>
      <w:r>
        <w:rPr>
          <w:rFonts w:ascii="Times New Roman" w:cs="Times New Roman" w:eastAsia="Times New Roman" w:hAnsi="Times New Roman"/>
          <w:sz w:val="18"/>
          <w:szCs w:val="18"/>
          <w:color w:val="auto"/>
        </w:rPr>
        <w:t>Mr. Wood has been a director of MEI Pharma since October 2023. Mr. Wood, CFA, is the founder and Chief Investment Officer of GreenWood Investors, LLC., an investment advisory firm he founded in 2010. Since May 2023, Mr. Wood serves as a board member of Leonardo SpA, an Italian-listed international Aerospace &amp; Defense company, and since May 2019 he serves as a board member of CTT - Correios De Portugal, a publicly listed Iberian logistics company. Prior to founding GreenWood Investors in 2010, Mr. Wood was a research analyst at Carr Securities from 2009 to 2013. Previously, Mr. Wood worked as an investment banking analyst for RBC Capital Markets in the Syndicated and Leveraged Finance group. He began his career with the special situations team at Kellogg Capital Group. Mr. Wood is a Chartered Financial Analyst charterholder. He received a triple degree, Cum Laude, from Tulane University in Economics, Political Economy and International Relations in 2005.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Board of Directors and its Committees</w:t>
      </w:r>
    </w:p>
    <w:p>
      <w:pPr>
        <w:spacing w:after="0" w:line="121" w:lineRule="exact"/>
        <w:rPr>
          <w:sz w:val="20"/>
          <w:szCs w:val="20"/>
          <w:color w:val="auto"/>
        </w:rPr>
      </w:pPr>
    </w:p>
    <w:p>
      <w:pPr>
        <w:jc w:val="both"/>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Board has responsibility for the overall corporate governance of MEI Pharma. During the fiscal year ended June 30, 2024, a majority of the members of the Board were, and as of the date of this Annual Report are, independent within the meaning of the Nasdaq Stock Market (Nasdaq) rules.</w:t>
      </w:r>
    </w:p>
    <w:p>
      <w:pPr>
        <w:spacing w:after="0" w:line="5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Board has established an Audit Committee to oversee MEI Pharma’s financial matters, a Compensation Committee to oversee our compensation policies, plans and programs and a Nominating and Governance Committee to assist the Board in nominating board members to be elected by the stockholders at the Annual Meeting, to fill vacancies and newly created directorships, and to evaluate and monitor all matters with respect to governance of MEI Pharma and oversee compliance by MEI Pharma with its legal and regulatory obligations. As of the date of this Annual Report, our schedule of committee members is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20" w:type="dxa"/>
            <w:vAlign w:val="bottom"/>
            <w:shd w:val="clear" w:color="auto" w:fill="CFF0FC"/>
          </w:tcPr>
          <w:p>
            <w:pPr>
              <w:spacing w:after="0"/>
              <w:rPr>
                <w:sz w:val="16"/>
                <w:szCs w:val="16"/>
                <w:color w:val="auto"/>
              </w:rPr>
            </w:pPr>
          </w:p>
        </w:tc>
        <w:tc>
          <w:tcPr>
            <w:tcW w:w="2540" w:type="dxa"/>
            <w:vAlign w:val="bottom"/>
            <w:shd w:val="clear" w:color="auto" w:fill="CFF0FC"/>
          </w:tcPr>
          <w:p>
            <w:pPr>
              <w:spacing w:after="0"/>
              <w:rPr>
                <w:sz w:val="16"/>
                <w:szCs w:val="16"/>
                <w:color w:val="auto"/>
              </w:rPr>
            </w:pPr>
          </w:p>
        </w:tc>
        <w:tc>
          <w:tcPr>
            <w:tcW w:w="2940" w:type="dxa"/>
            <w:vAlign w:val="bottom"/>
            <w:shd w:val="clear" w:color="auto" w:fill="CFF0FC"/>
          </w:tcPr>
          <w:p>
            <w:pPr>
              <w:spacing w:after="0"/>
              <w:rPr>
                <w:sz w:val="16"/>
                <w:szCs w:val="16"/>
                <w:color w:val="auto"/>
              </w:rPr>
            </w:pPr>
          </w:p>
        </w:tc>
        <w:tc>
          <w:tcPr>
            <w:tcW w:w="2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 &amp; Governance</w:t>
            </w:r>
          </w:p>
        </w:tc>
      </w:tr>
      <w:tr>
        <w:trPr>
          <w:trHeight w:val="235"/>
        </w:trPr>
        <w:tc>
          <w:tcPr>
            <w:tcW w:w="292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7"/>
                <w:szCs w:val="17"/>
                <w:b w:val="1"/>
                <w:bCs w:val="1"/>
                <w:color w:val="auto"/>
              </w:rPr>
              <w:t>Board Member</w:t>
            </w:r>
          </w:p>
        </w:tc>
        <w:tc>
          <w:tcPr>
            <w:tcW w:w="25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7"/>
                <w:szCs w:val="17"/>
                <w:b w:val="1"/>
                <w:bCs w:val="1"/>
                <w:color w:val="auto"/>
              </w:rPr>
              <w:t>Audit Committee</w:t>
            </w:r>
          </w:p>
        </w:tc>
        <w:tc>
          <w:tcPr>
            <w:tcW w:w="294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7"/>
                <w:szCs w:val="17"/>
                <w:b w:val="1"/>
                <w:bCs w:val="1"/>
                <w:color w:val="auto"/>
              </w:rPr>
              <w:t>Compensation Committee</w:t>
            </w:r>
          </w:p>
        </w:tc>
        <w:tc>
          <w:tcPr>
            <w:tcW w:w="2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Committee</w:t>
            </w:r>
          </w:p>
        </w:tc>
      </w:tr>
      <w:tr>
        <w:trPr>
          <w:trHeight w:val="22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Taheer Datoo*</w:t>
            </w:r>
          </w:p>
        </w:tc>
        <w:tc>
          <w:tcPr>
            <w:tcW w:w="2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61"/>
        </w:trPr>
        <w:tc>
          <w:tcPr>
            <w:tcW w:w="29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840" w:type="dxa"/>
            <w:vAlign w:val="bottom"/>
          </w:tcPr>
          <w:p>
            <w:pPr>
              <w:spacing w:after="0"/>
              <w:rPr>
                <w:sz w:val="5"/>
                <w:szCs w:val="5"/>
                <w:color w:val="auto"/>
              </w:rPr>
            </w:pPr>
          </w:p>
        </w:tc>
      </w:tr>
      <w:tr>
        <w:trPr>
          <w:trHeight w:val="22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Frederick W. Driscoll</w:t>
            </w:r>
          </w:p>
        </w:tc>
        <w:tc>
          <w:tcPr>
            <w:tcW w:w="2540" w:type="dxa"/>
            <w:vAlign w:val="bottom"/>
            <w:shd w:val="clear" w:color="auto" w:fill="CFF0FC"/>
          </w:tcPr>
          <w:p>
            <w:pPr>
              <w:spacing w:after="0"/>
              <w:rPr>
                <w:sz w:val="19"/>
                <w:szCs w:val="19"/>
                <w:color w:val="auto"/>
              </w:rPr>
            </w:pPr>
          </w:p>
        </w:tc>
        <w:tc>
          <w:tcPr>
            <w:tcW w:w="294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r>
      <w:tr>
        <w:trPr>
          <w:trHeight w:val="61"/>
        </w:trPr>
        <w:tc>
          <w:tcPr>
            <w:tcW w:w="2920" w:type="dxa"/>
            <w:vAlign w:val="bottom"/>
            <w:shd w:val="clear" w:color="auto" w:fill="CFF0FC"/>
          </w:tcPr>
          <w:p>
            <w:pPr>
              <w:spacing w:after="0"/>
              <w:rPr>
                <w:sz w:val="5"/>
                <w:szCs w:val="5"/>
                <w:color w:val="auto"/>
              </w:rPr>
            </w:pPr>
          </w:p>
        </w:tc>
        <w:tc>
          <w:tcPr>
            <w:tcW w:w="2540" w:type="dxa"/>
            <w:vAlign w:val="bottom"/>
            <w:shd w:val="clear" w:color="auto" w:fill="CFF0FC"/>
          </w:tcPr>
          <w:p>
            <w:pPr>
              <w:spacing w:after="0"/>
              <w:rPr>
                <w:sz w:val="5"/>
                <w:szCs w:val="5"/>
                <w:color w:val="auto"/>
              </w:rPr>
            </w:pPr>
          </w:p>
        </w:tc>
        <w:tc>
          <w:tcPr>
            <w:tcW w:w="2940" w:type="dxa"/>
            <w:vAlign w:val="bottom"/>
            <w:shd w:val="clear" w:color="auto" w:fill="CFF0FC"/>
          </w:tcPr>
          <w:p>
            <w:pPr>
              <w:spacing w:after="0"/>
              <w:rPr>
                <w:sz w:val="5"/>
                <w:szCs w:val="5"/>
                <w:color w:val="auto"/>
              </w:rPr>
            </w:pPr>
          </w:p>
        </w:tc>
        <w:tc>
          <w:tcPr>
            <w:tcW w:w="2840" w:type="dxa"/>
            <w:vAlign w:val="bottom"/>
            <w:shd w:val="clear" w:color="auto" w:fill="CFF0FC"/>
          </w:tcPr>
          <w:p>
            <w:pPr>
              <w:spacing w:after="0"/>
              <w:rPr>
                <w:sz w:val="5"/>
                <w:szCs w:val="5"/>
                <w:color w:val="auto"/>
              </w:rPr>
            </w:pPr>
          </w:p>
        </w:tc>
      </w:tr>
      <w:tr>
        <w:trPr>
          <w:trHeight w:val="22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Flynn</w:t>
            </w:r>
          </w:p>
        </w:tc>
        <w:tc>
          <w:tcPr>
            <w:tcW w:w="2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61"/>
        </w:trPr>
        <w:tc>
          <w:tcPr>
            <w:tcW w:w="29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840" w:type="dxa"/>
            <w:vAlign w:val="bottom"/>
          </w:tcPr>
          <w:p>
            <w:pPr>
              <w:spacing w:after="0"/>
              <w:rPr>
                <w:sz w:val="5"/>
                <w:szCs w:val="5"/>
                <w:color w:val="auto"/>
              </w:rPr>
            </w:pPr>
          </w:p>
        </w:tc>
      </w:tr>
      <w:tr>
        <w:trPr>
          <w:trHeight w:val="22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Nick Glover, PhD.</w:t>
            </w:r>
          </w:p>
        </w:tc>
        <w:tc>
          <w:tcPr>
            <w:tcW w:w="2540" w:type="dxa"/>
            <w:vAlign w:val="bottom"/>
            <w:shd w:val="clear" w:color="auto" w:fill="CFF0FC"/>
          </w:tcPr>
          <w:p>
            <w:pPr>
              <w:spacing w:after="0"/>
              <w:rPr>
                <w:sz w:val="19"/>
                <w:szCs w:val="19"/>
                <w:color w:val="auto"/>
              </w:rPr>
            </w:pPr>
          </w:p>
        </w:tc>
        <w:tc>
          <w:tcPr>
            <w:tcW w:w="294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r>
      <w:tr>
        <w:trPr>
          <w:trHeight w:val="61"/>
        </w:trPr>
        <w:tc>
          <w:tcPr>
            <w:tcW w:w="2920" w:type="dxa"/>
            <w:vAlign w:val="bottom"/>
            <w:shd w:val="clear" w:color="auto" w:fill="CFF0FC"/>
          </w:tcPr>
          <w:p>
            <w:pPr>
              <w:spacing w:after="0"/>
              <w:rPr>
                <w:sz w:val="5"/>
                <w:szCs w:val="5"/>
                <w:color w:val="auto"/>
              </w:rPr>
            </w:pPr>
          </w:p>
        </w:tc>
        <w:tc>
          <w:tcPr>
            <w:tcW w:w="2540" w:type="dxa"/>
            <w:vAlign w:val="bottom"/>
            <w:shd w:val="clear" w:color="auto" w:fill="CFF0FC"/>
          </w:tcPr>
          <w:p>
            <w:pPr>
              <w:spacing w:after="0"/>
              <w:rPr>
                <w:sz w:val="5"/>
                <w:szCs w:val="5"/>
                <w:color w:val="auto"/>
              </w:rPr>
            </w:pPr>
          </w:p>
        </w:tc>
        <w:tc>
          <w:tcPr>
            <w:tcW w:w="2940" w:type="dxa"/>
            <w:vAlign w:val="bottom"/>
            <w:shd w:val="clear" w:color="auto" w:fill="CFF0FC"/>
          </w:tcPr>
          <w:p>
            <w:pPr>
              <w:spacing w:after="0"/>
              <w:rPr>
                <w:sz w:val="5"/>
                <w:szCs w:val="5"/>
                <w:color w:val="auto"/>
              </w:rPr>
            </w:pPr>
          </w:p>
        </w:tc>
        <w:tc>
          <w:tcPr>
            <w:tcW w:w="2840" w:type="dxa"/>
            <w:vAlign w:val="bottom"/>
            <w:shd w:val="clear" w:color="auto" w:fill="CFF0FC"/>
          </w:tcPr>
          <w:p>
            <w:pPr>
              <w:spacing w:after="0"/>
              <w:rPr>
                <w:sz w:val="5"/>
                <w:szCs w:val="5"/>
                <w:color w:val="auto"/>
              </w:rPr>
            </w:pPr>
          </w:p>
        </w:tc>
      </w:tr>
      <w:tr>
        <w:trPr>
          <w:trHeight w:val="222"/>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C. Reynolds, MD, PhD.</w:t>
            </w:r>
          </w:p>
        </w:tc>
        <w:tc>
          <w:tcPr>
            <w:tcW w:w="2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61"/>
        </w:trPr>
        <w:tc>
          <w:tcPr>
            <w:tcW w:w="29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2840" w:type="dxa"/>
            <w:vAlign w:val="bottom"/>
          </w:tcPr>
          <w:p>
            <w:pPr>
              <w:spacing w:after="0"/>
              <w:rPr>
                <w:sz w:val="5"/>
                <w:szCs w:val="5"/>
                <w:color w:val="auto"/>
              </w:rPr>
            </w:pPr>
          </w:p>
        </w:tc>
      </w:tr>
      <w:tr>
        <w:trPr>
          <w:trHeight w:val="222"/>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Steven D. Wood</w:t>
            </w:r>
          </w:p>
        </w:tc>
        <w:tc>
          <w:tcPr>
            <w:tcW w:w="2540" w:type="dxa"/>
            <w:vAlign w:val="bottom"/>
            <w:shd w:val="clear" w:color="auto" w:fill="CFF0FC"/>
          </w:tcPr>
          <w:p>
            <w:pPr>
              <w:spacing w:after="0"/>
              <w:rPr>
                <w:sz w:val="19"/>
                <w:szCs w:val="19"/>
                <w:color w:val="auto"/>
              </w:rPr>
            </w:pPr>
          </w:p>
        </w:tc>
        <w:tc>
          <w:tcPr>
            <w:tcW w:w="294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r>
      <w:tr>
        <w:trPr>
          <w:trHeight w:val="61"/>
        </w:trPr>
        <w:tc>
          <w:tcPr>
            <w:tcW w:w="2920" w:type="dxa"/>
            <w:vAlign w:val="bottom"/>
            <w:shd w:val="clear" w:color="auto" w:fill="CFF0FC"/>
          </w:tcPr>
          <w:p>
            <w:pPr>
              <w:spacing w:after="0"/>
              <w:rPr>
                <w:sz w:val="5"/>
                <w:szCs w:val="5"/>
                <w:color w:val="auto"/>
              </w:rPr>
            </w:pPr>
          </w:p>
        </w:tc>
        <w:tc>
          <w:tcPr>
            <w:tcW w:w="2540" w:type="dxa"/>
            <w:vAlign w:val="bottom"/>
            <w:shd w:val="clear" w:color="auto" w:fill="CFF0FC"/>
          </w:tcPr>
          <w:p>
            <w:pPr>
              <w:spacing w:after="0"/>
              <w:rPr>
                <w:sz w:val="5"/>
                <w:szCs w:val="5"/>
                <w:color w:val="auto"/>
              </w:rPr>
            </w:pPr>
          </w:p>
        </w:tc>
        <w:tc>
          <w:tcPr>
            <w:tcW w:w="2940" w:type="dxa"/>
            <w:vAlign w:val="bottom"/>
            <w:shd w:val="clear" w:color="auto" w:fill="CFF0FC"/>
          </w:tcPr>
          <w:p>
            <w:pPr>
              <w:spacing w:after="0"/>
              <w:rPr>
                <w:sz w:val="5"/>
                <w:szCs w:val="5"/>
                <w:color w:val="auto"/>
              </w:rPr>
            </w:pPr>
          </w:p>
        </w:tc>
        <w:tc>
          <w:tcPr>
            <w:tcW w:w="2840" w:type="dxa"/>
            <w:vAlign w:val="bottom"/>
            <w:shd w:val="clear" w:color="auto" w:fill="CFF0FC"/>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-1079500</wp:posOffset>
            </wp:positionV>
            <wp:extent cx="10287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-899795</wp:posOffset>
            </wp:positionV>
            <wp:extent cx="291465"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91465" cy="13716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-719455</wp:posOffset>
            </wp:positionV>
            <wp:extent cx="10287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-719455</wp:posOffset>
            </wp:positionV>
            <wp:extent cx="10287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-539750</wp:posOffset>
            </wp:positionV>
            <wp:extent cx="10287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-539750</wp:posOffset>
            </wp:positionV>
            <wp:extent cx="11112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-359410</wp:posOffset>
            </wp:positionV>
            <wp:extent cx="10287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-359410</wp:posOffset>
            </wp:positionV>
            <wp:extent cx="111125"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-179705</wp:posOffset>
            </wp:positionV>
            <wp:extent cx="10287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66" w:lineRule="exact"/>
        <w:rPr>
          <w:sz w:val="20"/>
          <w:szCs w:val="20"/>
          <w:color w:val="auto"/>
        </w:rPr>
      </w:pPr>
    </w:p>
    <w:p>
      <w:pPr>
        <w:ind w:right="7520" w:firstLine="517"/>
        <w:spacing w:after="0" w:line="400" w:lineRule="auto"/>
        <w:tabs>
          <w:tab w:leader="none" w:pos="6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Is not an independent member of the Board </w:t>
      </w:r>
      <w:r>
        <w:rPr>
          <w:rFonts w:ascii="Times New Roman" w:cs="Times New Roman" w:eastAsia="Times New Roman" w:hAnsi="Times New Roman"/>
          <w:sz w:val="1"/>
          <w:szCs w:val="1"/>
          <w:color w:val="auto"/>
        </w:rPr>
        <w:drawing>
          <wp:inline distT="0" distB="0" distL="0" distR="0">
            <wp:extent cx="102870" cy="1371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 Committee Member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
          <w:szCs w:val="1"/>
          <w:color w:val="auto"/>
        </w:rPr>
        <w:drawing>
          <wp:inline distT="0" distB="0" distL="0" distR="0">
            <wp:extent cx="111125" cy="137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125"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 Committee Chair</w:t>
      </w:r>
    </w:p>
    <w:p>
      <w:pPr>
        <w:spacing w:after="0" w:line="1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
          <w:szCs w:val="1"/>
          <w:color w:val="auto"/>
        </w:rPr>
        <w:drawing>
          <wp:inline distT="0" distB="0" distL="0" distR="0">
            <wp:extent cx="154305"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4305"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Financial Expert</w:t>
      </w:r>
    </w:p>
    <w:p>
      <w:pPr>
        <w:sectPr>
          <w:pgSz w:w="11900" w:h="16838" w:orient="portrait"/>
          <w:cols w:equalWidth="0" w:num="1">
            <w:col w:w="11240"/>
          </w:cols>
          <w:pgMar w:left="320" w:top="117" w:right="33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has been established in accordance with Section 3(a)(58)(A) of the Securities Exchange Act of 1934, as amended (the Exchange Act). The Audit Committee’s responsibilities include:</w:t>
      </w:r>
    </w:p>
    <w:p>
      <w:pPr>
        <w:spacing w:after="0" w:line="54" w:lineRule="exact"/>
        <w:rPr>
          <w:sz w:val="20"/>
          <w:szCs w:val="20"/>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financial and accounting activities;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the annual appointment of independent auditors;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of audit and non-audit assignments and related fees;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annually MEI’s major financial risks and exposures;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performance of the independent auditors: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accounting principles used in financial reporting;</w:t>
      </w:r>
    </w:p>
    <w:p>
      <w:pPr>
        <w:spacing w:after="0" w:line="117" w:lineRule="exact"/>
        <w:rPr>
          <w:rFonts w:ascii="Times New Roman" w:cs="Times New Roman" w:eastAsia="Times New Roman" w:hAnsi="Times New Roman"/>
          <w:sz w:val="18"/>
          <w:szCs w:val="18"/>
          <w:color w:val="auto"/>
        </w:rPr>
      </w:pPr>
    </w:p>
    <w:p>
      <w:pPr>
        <w:ind w:left="1260" w:right="280" w:hanging="503"/>
        <w:spacing w:after="0" w:line="282"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our financial reporting activities and disclosures included in our periodic reports and the accounting standards and principles followed;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Mr. Driscoll has served as Chairman of the Audit Committee since August 29, 2019. The other members of the Audit Committee are Dr. Glover and Mr. Flynn. Mr. Driscoll has been determined by the Board to be an audit committee financial expert as defined by the SEC.</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has determined that each of the Audit Committee members is independent, as defined in accordance with Nasdaq and SEC rules. We have adopted an Audit Committee Charter, which is posted on its website at </w:t>
      </w:r>
      <w:r>
        <w:rPr>
          <w:rFonts w:ascii="Times New Roman" w:cs="Times New Roman" w:eastAsia="Times New Roman" w:hAnsi="Times New Roman"/>
          <w:sz w:val="18"/>
          <w:szCs w:val="18"/>
          <w:b w:val="1"/>
          <w:bCs w:val="1"/>
          <w:color w:val="auto"/>
        </w:rPr>
        <w:t>www.meipharma.com</w:t>
      </w:r>
      <w:r>
        <w:rPr>
          <w:rFonts w:ascii="Times New Roman" w:cs="Times New Roman" w:eastAsia="Times New Roman" w:hAnsi="Times New Roman"/>
          <w:sz w:val="18"/>
          <w:szCs w:val="18"/>
          <w:color w:val="auto"/>
        </w:rPr>
        <w:t>. The Audit Committee met five times during the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5055235</wp:posOffset>
            </wp:positionH>
            <wp:positionV relativeFrom="paragraph">
              <wp:posOffset>-175895</wp:posOffset>
            </wp:positionV>
            <wp:extent cx="285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acts on behalf of the Board to fulfill the Board’s responsibilities to:</w:t>
      </w:r>
    </w:p>
    <w:p>
      <w:pPr>
        <w:spacing w:after="0" w:line="117" w:lineRule="exact"/>
        <w:rPr>
          <w:sz w:val="20"/>
          <w:szCs w:val="20"/>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review, modify and approve our compensation strategy and policies;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independence of compensation consultants and legal advisors prior to engagement;</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sole power to retain compensation consultants and advisors and to determine the scope of the associated engagements;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annual corporate performance goals;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chief executive officer’s and executive officers’ performance;</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determine the compensation to be paid to our executive officers, including the allocation of equity related grants;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compensation and terms of appointment of non-executive directors to the Board for review and approval;</w:t>
      </w:r>
    </w:p>
    <w:p>
      <w:pPr>
        <w:spacing w:after="0" w:line="117" w:lineRule="exact"/>
        <w:rPr>
          <w:rFonts w:ascii="Times New Roman" w:cs="Times New Roman" w:eastAsia="Times New Roman" w:hAnsi="Times New Roman"/>
          <w:sz w:val="18"/>
          <w:szCs w:val="18"/>
          <w:color w:val="auto"/>
        </w:rPr>
      </w:pPr>
    </w:p>
    <w:p>
      <w:pPr>
        <w:ind w:left="1260" w:right="480" w:hanging="503"/>
        <w:spacing w:after="0" w:line="282"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MEI meets the reporting requirements promulgated by the SEC regarding compensation and disclosure of compensation and compensation related practices;</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potential compensation related risks;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ensure compliance with Say-on-Pay requirements.</w:t>
      </w:r>
    </w:p>
    <w:p>
      <w:pPr>
        <w:spacing w:after="0" w:line="117" w:lineRule="exact"/>
        <w:rPr>
          <w:sz w:val="20"/>
          <w:szCs w:val="20"/>
          <w:color w:val="auto"/>
        </w:rPr>
      </w:pPr>
    </w:p>
    <w:p>
      <w:pPr>
        <w:jc w:val="both"/>
        <w:ind w:right="2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Compensation Committee also consults with and considers the recommendations of the chief executive officer with respect to the appropriate level and mix of the various compensation components, focused primarily on the particular goals of applicable executives and employees in a particular year. The Board has adopted a written charter for the Compensation Committee, which is available on our website at </w:t>
      </w:r>
      <w:r>
        <w:rPr>
          <w:rFonts w:ascii="Times New Roman" w:cs="Times New Roman" w:eastAsia="Times New Roman" w:hAnsi="Times New Roman"/>
          <w:sz w:val="18"/>
          <w:szCs w:val="18"/>
          <w:b w:val="1"/>
          <w:bCs w:val="1"/>
          <w:u w:val="single" w:color="auto"/>
          <w:color w:val="0000FF"/>
        </w:rPr>
        <w:t>www.meipharma.com</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Dr. Glover has served as the Chairman of the Compensation Committee since December 16, 2021. The other members of the Compensation Committee are Dr.</w:t>
      </w:r>
    </w:p>
    <w:p>
      <w:pPr>
        <w:spacing w:after="0" w:line="3"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Reynolds and Mr. Wood. The Board has determined that each member of the Compensation Committee is independent in accordance with applicable Nasdaq and SEC rules. The Compensation Committee met four times during the fiscal year ended June 30, 2024.</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Nominating and Governance Committee is responsible for assisting the Board in:</w:t>
      </w:r>
    </w:p>
    <w:p>
      <w:pPr>
        <w:spacing w:after="0" w:line="117" w:lineRule="exact"/>
        <w:rPr>
          <w:sz w:val="20"/>
          <w:szCs w:val="20"/>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qualified individuals who possess the desired experience and skills to serve on the Board;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proposing chairpersons and members on committees to the Board;</w:t>
      </w:r>
    </w:p>
    <w:p>
      <w:pPr>
        <w:spacing w:after="0" w:line="117" w:lineRule="exact"/>
        <w:rPr>
          <w:rFonts w:ascii="Times New Roman" w:cs="Times New Roman" w:eastAsia="Times New Roman" w:hAnsi="Times New Roman"/>
          <w:sz w:val="18"/>
          <w:szCs w:val="18"/>
          <w:color w:val="auto"/>
        </w:rPr>
      </w:pPr>
    </w:p>
    <w:p>
      <w:pPr>
        <w:ind w:left="1260" w:right="280" w:hanging="503"/>
        <w:spacing w:after="0" w:line="312"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all qualified director candidates identified by the Nominating and Governance Committee, or by stockholders, in the event any member of the Board does not wish to continue in service or if the Board decides not to re-nominate a member for re-election;</w:t>
      </w:r>
    </w:p>
    <w:p>
      <w:pPr>
        <w:spacing w:after="0" w:line="31" w:lineRule="exact"/>
        <w:rPr>
          <w:rFonts w:ascii="Times New Roman" w:cs="Times New Roman" w:eastAsia="Times New Roman" w:hAnsi="Times New Roman"/>
          <w:sz w:val="17"/>
          <w:szCs w:val="17"/>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Board evaluation process and evaluating the size and composition of the Board;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any stockholder proposal and whether to recommend to the Board and whether MEI shall support or oppose the proposal.</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Dr. Reynolds has served as Chairman of the Nominating and Governance Committee since January 2023. The other members of the Nominating and Governance Committee are Mr. Flynn and Mr. Datoo. MEI Pharma’s Nominating and Governance Committee Charter is posted on its website at </w:t>
      </w:r>
      <w:r>
        <w:rPr>
          <w:rFonts w:ascii="Times New Roman" w:cs="Times New Roman" w:eastAsia="Times New Roman" w:hAnsi="Times New Roman"/>
          <w:sz w:val="18"/>
          <w:szCs w:val="18"/>
          <w:b w:val="1"/>
          <w:bCs w:val="1"/>
          <w:u w:val="single" w:color="auto"/>
          <w:color w:val="0000FF"/>
        </w:rPr>
        <w:t>www.meipharma.com.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Board has determined that Dr. Reynolds and Mr. Flynn are independent members of the Nominating and Governance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Committee in accordance with applicable Nasdaq and SEC rules and Mr. Datoo is not considered independent in accordance with applicable Nasdaq and SEC rules. The Nominating Committee met five times during the fiscal year ended June 30, 2024.</w:t>
      </w:r>
    </w:p>
    <w:p>
      <w:pPr>
        <w:spacing w:after="0" w:line="7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Stockholders who would like to propose an independent director candidate for consideration for nomination by the Board at next year’s annual meeting of stockholders may do so by submitting the candidate’s name, resume and biographical information to the attention of Justin J. File, Secretary, MEI Pharma, Inc., 9920 Pacific Heights Blvd, Suite 150, San Diego, California 92121. All stockholder nominations received by the Secretary, which comply with the advance notice provisions of MEI's Amended and Restated Bylaws, will be presented to the Nominating and Governance Committee for the same consideration as individuals identified by the Nominating and Governance Committee through other means.</w:t>
      </w:r>
    </w:p>
    <w:p>
      <w:pPr>
        <w:spacing w:after="0" w:line="75"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While we have no minimum qualifications for director nominees, the Nominating and Governance Committee reviews the prospective candidate’s biographical information and assesses each candidate’s independence, diversity, skills and expertise based on a variety of factors, including the following criteria:</w:t>
      </w:r>
    </w:p>
    <w:p>
      <w:pPr>
        <w:spacing w:after="0" w:line="68" w:lineRule="exact"/>
        <w:rPr>
          <w:sz w:val="20"/>
          <w:szCs w:val="20"/>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exhibited behavior that indicates he or she is committed to the highest ethical standards;</w:t>
      </w:r>
    </w:p>
    <w:p>
      <w:pPr>
        <w:spacing w:after="0" w:line="117" w:lineRule="exact"/>
        <w:rPr>
          <w:rFonts w:ascii="Times New Roman" w:cs="Times New Roman" w:eastAsia="Times New Roman" w:hAnsi="Times New Roman"/>
          <w:sz w:val="18"/>
          <w:szCs w:val="18"/>
          <w:color w:val="auto"/>
        </w:rPr>
      </w:pPr>
    </w:p>
    <w:p>
      <w:pPr>
        <w:ind w:left="1260" w:hanging="503"/>
        <w:spacing w:after="0" w:line="282"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has had broad business, governmental, non-profit or professional experience that indicates that the candidate will be able to make a significant and immediate contribution to the Board's discussion and decision-making; and</w:t>
      </w:r>
    </w:p>
    <w:p>
      <w:pPr>
        <w:spacing w:after="0" w:line="53"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candidate will be able to devote sufficient time and energy to the performance of his or her duties as a director.</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Application of these factors requires the exercise of judgment by members of the Nominating and Governance Committee when the Committee makes recommendations to the Board and cannot be measured in a quantitative way. In addition, the Nominating and Governance Committee considers, as one factor among many, the diversity of Board candidates, which may include diversity of skills and experience as well as geographic, gender, age, and ethnic diversity. The Nominating and Governance Committee does not, however, have a formal policy regarding to the consideration of diversity in identifying Board candidates. The Nominating and Governance Committee and the Board generally value the broad business experience and independent business judgment in the health care, life sciences and other fields of each member. Specifically, Mr. Driscoll is qualified for the Board based on his business experience in the pharmaceutical industry, the area of finance and his status as an audit committee financial expert. Dr. Glover is qualified for the Board based on his business experience and his drug development experience in the oncology field. Dr. Reynolds is qualified for the Board based on his medical experience and experience in clinical development and regulatory and medical affairs. Mr. Flynn is qualified for the Board based on his business experience in the pharmaceutical industry and his business development experience. Mr. Datoo is qualified for the Board based on his business development experience. Mr. Wood is qualified for the Board based on his business development experience.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addition, the Nominating and Governance Committee oversees compliance by MEI with its legal and regulatory obligations and periodically reviews our:</w:t>
      </w:r>
    </w:p>
    <w:p>
      <w:pPr>
        <w:spacing w:after="0" w:line="54" w:lineRule="exact"/>
        <w:rPr>
          <w:sz w:val="20"/>
          <w:szCs w:val="20"/>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Business Conduct and Ethics;</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Disclosure Policy;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certificate of incorporation;</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status of our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Board has determined the independence of each director in accordance with the elements of independence set forth in the Nasdaq listing standards. Based upon information solicited from each director, the Board has determined that each of Mr. Driscoll, Dr. Glover, Dr. Reynolds, Mr. Flynn and Mr. Wood has no material relationship with MEI Pharma and is independent within the meaning of Nasdaq’s director independence standards as currently in effect. Mr. Datoo is not considered independent within the meaning of Nasdaq’s director independence standards as currently in effect. In making the foregoing determinations, the Board has considered both the objective tests set forth in the Nasdaq independence standards and subjective measures with respect to each director necessary to determine that no relationships exist that would interfere with the exercise of independent judgment by each such director in carrying out responsibilities of a director.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Mr. Driscoll has served as the Chair of our Board since July 2024. The Board does not have a policy addressing whether the same person should serve as both the Chief Executive Officer and Chair of the Board or if the roles should be separate. Our Board believes that it should have the flexibility to make its determination based upon what it considers to be the appropriate leadership structure for MEI at the time. The Board believes that its current leadership structure is appropriate for MEI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Risk is an integral part of the Board and Committee deliberations throughout the year. While the Board has the ultimate oversight responsibility for the risk management process, various committees of the Board also have responsibility for risk management. In particular, the Audit Committee focuses on financial risk, including internal controls, and receives financial risk assessment reports from management. Risks related to the compensation programs are reviewed by the Compensation Committee. The Nominating and Governance Committee exercises oversight of governance risks, including succession planning and legal compliance. The Board is advised by these committees of significant risks and management’s response through periodic updates.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provides certain information with respect to the composition of our Board. Each of the categories listed in the table has the meaning ascribed to it in Nasdaq Listing Rule 5605(f).</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Board Diversity Matrix (As of August 31, 2024)</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Number of Directors</w:t>
            </w:r>
          </w:p>
        </w:tc>
        <w:tc>
          <w:tcPr>
            <w:tcW w:w="2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rPr>
              <w:t>6</w:t>
            </w:r>
          </w:p>
        </w:tc>
        <w:tc>
          <w:tcPr>
            <w:tcW w:w="1820" w:type="dxa"/>
            <w:vAlign w:val="bottom"/>
            <w:shd w:val="clear" w:color="auto" w:fill="CFF0FC"/>
          </w:tcPr>
          <w:p>
            <w:pPr>
              <w:spacing w:after="0"/>
              <w:rPr>
                <w:sz w:val="15"/>
                <w:szCs w:val="15"/>
                <w:color w:val="auto"/>
              </w:rPr>
            </w:pPr>
          </w:p>
        </w:tc>
      </w:tr>
      <w:tr>
        <w:trPr>
          <w:trHeight w:val="175"/>
        </w:trPr>
        <w:tc>
          <w:tcPr>
            <w:tcW w:w="36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5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8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Did Not Disclose Gender</w:t>
            </w:r>
          </w:p>
        </w:tc>
      </w:tr>
      <w:tr>
        <w:trPr>
          <w:trHeight w:val="169"/>
        </w:trPr>
        <w:tc>
          <w:tcPr>
            <w:tcW w:w="364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24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2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 or South Asian</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Hispanic or Latinx</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White</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LGBTQ+</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3640" w:type="dxa"/>
            <w:vAlign w:val="bottom"/>
          </w:tcPr>
          <w:p>
            <w:pPr>
              <w:spacing w:after="0"/>
              <w:rPr>
                <w:sz w:val="16"/>
                <w:szCs w:val="16"/>
                <w:color w:val="auto"/>
              </w:rPr>
            </w:pPr>
          </w:p>
        </w:tc>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Board Diversity Matrix (As of August 31, 2023)</w:t>
            </w: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Number of Directors</w:t>
            </w:r>
          </w:p>
        </w:tc>
        <w:tc>
          <w:tcPr>
            <w:tcW w:w="2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968"/>
              <w:spacing w:after="0"/>
              <w:rPr>
                <w:sz w:val="20"/>
                <w:szCs w:val="20"/>
                <w:color w:val="auto"/>
              </w:rPr>
            </w:pPr>
            <w:r>
              <w:rPr>
                <w:rFonts w:ascii="Times New Roman" w:cs="Times New Roman" w:eastAsia="Times New Roman" w:hAnsi="Times New Roman"/>
                <w:sz w:val="14"/>
                <w:szCs w:val="14"/>
                <w:color w:val="auto"/>
              </w:rPr>
              <w:t>8</w:t>
            </w:r>
          </w:p>
        </w:tc>
        <w:tc>
          <w:tcPr>
            <w:tcW w:w="1820" w:type="dxa"/>
            <w:vAlign w:val="bottom"/>
            <w:shd w:val="clear" w:color="auto" w:fill="CFF0FC"/>
          </w:tcPr>
          <w:p>
            <w:pPr>
              <w:spacing w:after="0"/>
              <w:rPr>
                <w:sz w:val="15"/>
                <w:szCs w:val="15"/>
                <w:color w:val="auto"/>
              </w:rPr>
            </w:pPr>
          </w:p>
        </w:tc>
      </w:tr>
      <w:tr>
        <w:trPr>
          <w:trHeight w:val="175"/>
        </w:trPr>
        <w:tc>
          <w:tcPr>
            <w:tcW w:w="36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5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82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Did Not Disclose Gender</w:t>
            </w:r>
          </w:p>
        </w:tc>
      </w:tr>
      <w:tr>
        <w:trPr>
          <w:trHeight w:val="169"/>
        </w:trPr>
        <w:tc>
          <w:tcPr>
            <w:tcW w:w="364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24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w:t>
            </w:r>
          </w:p>
        </w:tc>
        <w:tc>
          <w:tcPr>
            <w:tcW w:w="2420" w:type="dxa"/>
            <w:vAlign w:val="bottom"/>
          </w:tcPr>
          <w:p>
            <w:pPr>
              <w:jc w:val="center"/>
              <w:ind w:left="102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24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Asian</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Hispanic or Latinx</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White</w:t>
            </w:r>
          </w:p>
        </w:tc>
        <w:tc>
          <w:tcPr>
            <w:tcW w:w="2420" w:type="dxa"/>
            <w:vAlign w:val="bottom"/>
            <w:shd w:val="clear" w:color="auto" w:fill="CFF0FC"/>
          </w:tcPr>
          <w:p>
            <w:pPr>
              <w:jc w:val="center"/>
              <w:ind w:left="102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LGBTQ+</w:t>
            </w:r>
          </w:p>
        </w:tc>
        <w:tc>
          <w:tcPr>
            <w:tcW w:w="2420" w:type="dxa"/>
            <w:vAlign w:val="bottom"/>
            <w:shd w:val="clear" w:color="auto" w:fill="CFF0FC"/>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shd w:val="clear" w:color="auto" w:fill="CFF0FC"/>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shd w:val="clear" w:color="auto" w:fill="CFF0FC"/>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2420" w:type="dxa"/>
            <w:vAlign w:val="bottom"/>
          </w:tcPr>
          <w:p>
            <w:pPr>
              <w:jc w:val="center"/>
              <w:ind w:left="1048"/>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52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9"/>
              </w:rPr>
              <w:t>—</w:t>
            </w:r>
          </w:p>
        </w:tc>
        <w:tc>
          <w:tcPr>
            <w:tcW w:w="182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Pledging Policies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our Insider Trading Policy, all directors, officers, employees and consultants of MEI are subject to restrictions on hedging of securities of MEI. These restrictions apply to securities of MEI owned by such persons, regardless of whether such securities were granted by us to such persons as compensatory awards. Our Insider Trading Policy prohibits such persons from engaging in short sales of securities of MEI or in transactions in publicly traded options with respect to our securities. In addition, our Insider Trading Policy permits, but discourages, such persons from holding our securities in a margin account or pledging securities of MEI as collateral for a loan and from entering standing orders with respect to our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stockholders may communicate with the Board, including non-executive directors or officers, by sending written communications addressed to such person or persons in care of MEI Pharma, Inc., Attention: Secretary, 9920 Pacific Heights Blvd., Suite 150, San Diego, California, 92121. All communications will be compiled by the Secretary and submitted to the addressee. If the Board modifies this process, the revised process will be posted on our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Directors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number of directors will be set by resolution of the board, but shall be between two and nine. We currently have six directors.</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and amended and restated by-laws, directors are to be elected at each annual meeting of stockholders for a term of three years unless the director is removed, retires or the office is vacated earlier. The board is divided into three classes with respect to the term of office, with the terms of office of one class expiring each successive year. This classified board provision could discourage a third-party from making a tender offer for MEI's shares or attempting to obtain control of MEI Pharma. It could also delay stockholders who do not agree with the policies of the Board from removing a majority of the Board for two years.</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 director may resign at any time. The resignation is effective upon receipt of notice. Any or all directors may be removed with cause by a resolution of stockholders entitled to vote to elect directors. Vacancies from resignation or removal or expansion of the size of the board may be filled by resolution of a majority of directors then in office or by a sole remaining director, and any director so appointed shall serve for the remainder of the full term of the class of directors in which the vacancy occurred.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of Directors at Board Meetings and Stockholder Meetings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year ended June 30, 2024, the Board held a total of 24 meetings, and each director attended at least 75% of the total number of meetings of the Board and of the meetings of each committee of the Board on which such director served.</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All directors are expected to attend our annual meetings of stockholders. All directors then in the office attended the annual meeting of stockholders held in December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and Ethics policy that applies to our directors and employees (including our principal executive officer and our principal financial officer), and have posted the text of our policy on our website (</w:t>
      </w:r>
      <w:r>
        <w:rPr>
          <w:rFonts w:ascii="Times New Roman" w:cs="Times New Roman" w:eastAsia="Times New Roman" w:hAnsi="Times New Roman"/>
          <w:sz w:val="18"/>
          <w:szCs w:val="18"/>
          <w:u w:val="single" w:color="auto"/>
          <w:color w:val="auto"/>
        </w:rPr>
        <w:t>www.meipharma.com</w:t>
      </w:r>
      <w:r>
        <w:rPr>
          <w:rFonts w:ascii="Times New Roman" w:cs="Times New Roman" w:eastAsia="Times New Roman" w:hAnsi="Times New Roman"/>
          <w:sz w:val="18"/>
          <w:szCs w:val="18"/>
          <w:color w:val="auto"/>
        </w:rPr>
        <w:t>), under Investors – Governance Documents. In addition, we intend to promptly disclose (i) the nature of any amendment to the policy that applies to our principal executive officer and principal financial officer and (ii) the nature of any waiver, including an implicit waiver, from a provision of the policy that is granted to one of these specified individuals, the name of such person who is granted the</w:t>
      </w:r>
    </w:p>
    <w:p>
      <w:pPr>
        <w:sectPr>
          <w:pgSz w:w="11900" w:h="16838" w:orient="portrait"/>
          <w:cols w:equalWidth="0" w:num="1">
            <w:col w:w="11220"/>
          </w:cols>
          <w:pgMar w:left="320" w:top="117"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waiver and the date of the waiver on our website in the future. Except as expressly stated herein, information contained on our website is not incorporated by reference herein and shall not be deemed a part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the Board. Set forth below is the name and certain biographical information regarding MEI Pharma’s executive officer as of the date of filing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Justin J. File, age 54, Acting Chief Executive Officer, Chief Financial Officer and Secretary</w:t>
      </w:r>
    </w:p>
    <w:p>
      <w:pPr>
        <w:spacing w:after="0" w:line="12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Mr. File has been our Acting Chief Executive Officer since August 1, 2024 and our Chief Financial Officer since August 1, 2023. Mr. File has over 30 years of experience in accounting and finance, working in both public and private companies. He has a diverse range of experience, having worked in various industries, including the life sciences industry for the past 17 years. From 2015 to 2023, Mr. File was the Chief Financial Officer and Corporate Secretary of Evofem Biosciences, Inc., a women's health company that developed and commercialized Phexxi®, a nonhormonal contraceptive for women. While at Evofem he helped bring the company public through a reverse merger and was responsible for overseeing corporate finance and accounting, information technology and investor relations. Previously, Mr. File provided executive financial and accounting oversight consulting services to biotechnology companies, and before that led accounting operations and reporting at Sequenom, Inc., a molecular diagnostic company. He additionally served as Treasurer of Sequenom’s diagnostic subsidiary. Before joining industry, Mr. File worked for approximately ten years in public accounting, primarily with Arthur Andersen LLP. Mr. File graduated from Central Washington University with a Bachelor of Science in Accounting and Business Administration. He is a Certified Public Accountant (inactive).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compensation strategy, policies, programs and practices for the named executive officers identified in the Summary Compensation Table. For fiscal year 2024, the named executive officers consist of David M. Urso, Chief Executive Officer and General Counsel, Justin J. File, Chief Financial Officer and Secretary and Richard G. Ghalie, M.D., Chief Medical Officer, to whom we collectively refer in this Compensation Discussion and Analysis as our named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We believe that the performance of our executive officers significantly impacts our ability to achieve our corporate goals. We, therefore, place considerable importance on the design and administration of our executive officer compensation program. This program is intended to enhance stockholder value by attracting, motivating and retaining qualified individuals to perform at the highest levels and to contribute to our growth and success. Our executive officer compensation program is designed to provide compensation opportunities that are tied to individual and corporate performance.</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overall compensation philosophy has been to pay our executive officers an annual base salary and to provide opportunities, through cash and equity incentives, to deliver higher compensation if certain key performance goals are satisfied or exceeded. The primary principles of our fiscal year 2024 compensation strategy were:</w:t>
      </w:r>
    </w:p>
    <w:p>
      <w:pPr>
        <w:spacing w:after="0" w:line="68" w:lineRule="exact"/>
        <w:rPr>
          <w:sz w:val="20"/>
          <w:szCs w:val="20"/>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decisions are driven by a pay-for-performance philosophy;</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reflect individual and corporate performance; and</w:t>
      </w:r>
    </w:p>
    <w:p>
      <w:pPr>
        <w:spacing w:after="0" w:line="117"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compensation is competitively positioned against a peer group of similar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Committee’s Process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Compensation Committee acts on behalf of the Board with respect to fulfilling the Board’s responsibilities to oversee our compensation policies, plans and programs and reviewing and determining, as appropriate, the compensation to be paid to executive officers and directors. To achieve this task, the Compensation Committee (i) reviews and approves corporate performance goals and objectives that support and reinforce our long-term strategic goals and compensation plans; (ii) reviews the individual performance of the executive officers; (iii) establishes policies with respect to equity compensation arrangements, timing and pricing of equity awards for newly hired employees, promotions and annual grants for executive and non-executive employees and directors; (iv) reviews regional and industry-wide compensation practices and trends to assess the propriety, adequacy and competitiveness of our executive compensation programs among comparable companies in our industry; (v) reviews and approves the terms of any employment agreements, severance agreements, change-of-control protections and any other compensation arrangements of the executive officers; (vi) performs and considers a compensation risk assessment; and (vii) considers stockholder feedback and Say-on-Pay voting results.</w:t>
      </w:r>
    </w:p>
    <w:p>
      <w:pPr>
        <w:sectPr>
          <w:pgSz w:w="11900" w:h="16838" w:orient="portrait"/>
          <w:cols w:equalWidth="0" w:num="1">
            <w:col w:w="11240"/>
          </w:cols>
          <w:pgMar w:left="320" w:top="117"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With respect to compensation of our Chief Executive Officer, the Compensation Committee evaluates the Chief Executive Officer’s performance in light of relevant performance goals and objectives, taking into account the policies of the Compensation Committee and, with respect to long-term incentive compensation, stockholder return and the results of the most recent stockholder advisory vote on executive compensation. The Compensation Committee reviews and approves (or if appropriate, recommends to the Board for final determination and approval) individual and corporate performance goals and objectives of our other executive officers. The Compensation Committee considers the recommendations of the Chief Executive Officer with respect to the compensation of our other executive officers. The Compensation Committee also makes recommendations to the Board with respect to this Compensation Discussion and Analysis section and recommends that such section be included in any of our annual reports on Form 10-K, registration statements, Proxy statements or information statements.</w:t>
      </w:r>
    </w:p>
    <w:p>
      <w:pPr>
        <w:spacing w:after="0" w:line="84"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Compensation Committee meets at least once a year or more frequently as its members deem necessary or appropriate. Under its charter, the Compensation Committee has the authority, in its sole discretion, to retain or obtain the advice of a compensation consultant, legal counsel or other advisors as the Compensation Committee may determine to assist in the performance of the Compensation Committee’s duties and responsibilities, only after taking into consideration the factors prescribed by the SEC and Nasdaq that bear upon the adviser’s independence.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considers peer group analysis as a component of its overall executive compensation decision process, but it does not attempt to set executive compensation to a specific benchmark level, or percentile as compared to executive compensation levels at other companies. The Compensation Committee determines the mix of compensation of each executive officer based on its review of such competitive data and an assessment of the individual’s performance. We believe our approach to compensation does not encourage excessive risk-taking by our executives as it is not a market outlier and is based on a typical mix of short- and long-term compensation tied to both internal objectives and to stockholder value.</w:t>
      </w:r>
    </w:p>
    <w:p>
      <w:pPr>
        <w:spacing w:after="0" w:line="75"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Our peer group of companies for fiscal year 2024 consisted of 20 similar publicly traded drug development companies, all approved by the Compensation Committee, with input from management and F. W. Cook, our compensation consultant. The peer group is composed of drug development companies with a broadly similar market cap, (median peer market cap at the time the peer data were reviewed by the Committee in June 2023 was $111 million), generally without material revenue from commercial products, and with emphasis on oncology drug development companies, as follows:</w:t>
      </w:r>
    </w:p>
    <w:p>
      <w:pPr>
        <w:spacing w:after="0" w:line="291"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Aeglea BioTherapeutics</w:t>
            </w:r>
          </w:p>
        </w:tc>
        <w:tc>
          <w:tcPr>
            <w:tcW w:w="694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4"/>
                <w:szCs w:val="14"/>
                <w:color w:val="auto"/>
              </w:rPr>
              <w:t>Kronos Bio</w:t>
            </w: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BioAtla</w:t>
            </w:r>
          </w:p>
        </w:tc>
        <w:tc>
          <w:tcPr>
            <w:tcW w:w="69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Leap Therapeutics</w:t>
            </w:r>
          </w:p>
        </w:tc>
      </w:tr>
      <w:tr>
        <w:trPr>
          <w:trHeight w:val="17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Cardiff Oncology</w:t>
            </w:r>
          </w:p>
        </w:tc>
        <w:tc>
          <w:tcPr>
            <w:tcW w:w="694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4"/>
                <w:szCs w:val="14"/>
                <w:color w:val="auto"/>
              </w:rPr>
              <w:t>Molecular Templates</w:t>
            </w: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CEL-SCI Corporation</w:t>
            </w:r>
          </w:p>
        </w:tc>
        <w:tc>
          <w:tcPr>
            <w:tcW w:w="69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Oncternal Therapeutics</w:t>
            </w:r>
          </w:p>
        </w:tc>
      </w:tr>
      <w:tr>
        <w:trPr>
          <w:trHeight w:val="17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CytomX Therapeutics</w:t>
            </w:r>
          </w:p>
        </w:tc>
        <w:tc>
          <w:tcPr>
            <w:tcW w:w="694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4"/>
                <w:szCs w:val="14"/>
                <w:color w:val="auto"/>
              </w:rPr>
              <w:t>Pieris Pharmaceuticals</w:t>
            </w: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ESSA Pharma</w:t>
            </w:r>
          </w:p>
        </w:tc>
        <w:tc>
          <w:tcPr>
            <w:tcW w:w="69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Rigel Pharmaceuticals</w:t>
            </w:r>
          </w:p>
        </w:tc>
      </w:tr>
      <w:tr>
        <w:trPr>
          <w:trHeight w:val="17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Fusion Pharma</w:t>
            </w:r>
          </w:p>
        </w:tc>
        <w:tc>
          <w:tcPr>
            <w:tcW w:w="694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4"/>
                <w:szCs w:val="14"/>
                <w:color w:val="auto"/>
              </w:rPr>
              <w:t>Surface Oncology</w:t>
            </w: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G1 Therapeutics</w:t>
            </w:r>
          </w:p>
        </w:tc>
        <w:tc>
          <w:tcPr>
            <w:tcW w:w="69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Syros Pharmaceuticals</w:t>
            </w:r>
          </w:p>
        </w:tc>
      </w:tr>
      <w:tr>
        <w:trPr>
          <w:trHeight w:val="175"/>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Glycomimetics</w:t>
            </w:r>
          </w:p>
        </w:tc>
        <w:tc>
          <w:tcPr>
            <w:tcW w:w="6940" w:type="dxa"/>
            <w:vAlign w:val="bottom"/>
            <w:shd w:val="clear" w:color="auto" w:fill="CFF0FC"/>
          </w:tcPr>
          <w:p>
            <w:pPr>
              <w:ind w:left="2080"/>
              <w:spacing w:after="0"/>
              <w:rPr>
                <w:sz w:val="20"/>
                <w:szCs w:val="20"/>
                <w:color w:val="auto"/>
              </w:rPr>
            </w:pPr>
            <w:r>
              <w:rPr>
                <w:rFonts w:ascii="Times New Roman" w:cs="Times New Roman" w:eastAsia="Times New Roman" w:hAnsi="Times New Roman"/>
                <w:sz w:val="14"/>
                <w:szCs w:val="14"/>
                <w:color w:val="auto"/>
              </w:rPr>
              <w:t>UroGen Pharma Ltd.</w:t>
            </w:r>
          </w:p>
        </w:tc>
      </w:tr>
      <w:tr>
        <w:trPr>
          <w:trHeight w:val="188"/>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Karyopharm Therapeutics</w:t>
            </w:r>
          </w:p>
        </w:tc>
        <w:tc>
          <w:tcPr>
            <w:tcW w:w="6940" w:type="dxa"/>
            <w:vAlign w:val="bottom"/>
          </w:tcPr>
          <w:p>
            <w:pPr>
              <w:ind w:left="2080"/>
              <w:spacing w:after="0"/>
              <w:rPr>
                <w:sz w:val="20"/>
                <w:szCs w:val="20"/>
                <w:color w:val="auto"/>
              </w:rPr>
            </w:pPr>
            <w:r>
              <w:rPr>
                <w:rFonts w:ascii="Times New Roman" w:cs="Times New Roman" w:eastAsia="Times New Roman" w:hAnsi="Times New Roman"/>
                <w:sz w:val="14"/>
                <w:szCs w:val="14"/>
                <w:color w:val="auto"/>
              </w:rPr>
              <w:t>Verastem</w:t>
            </w:r>
          </w:p>
        </w:tc>
      </w:tr>
    </w:tbl>
    <w:p>
      <w:pPr>
        <w:spacing w:after="0" w:line="200" w:lineRule="exact"/>
        <w:rPr>
          <w:sz w:val="20"/>
          <w:szCs w:val="20"/>
          <w:color w:val="auto"/>
        </w:rPr>
      </w:pPr>
    </w:p>
    <w:p>
      <w:pPr>
        <w:spacing w:after="0" w:line="20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our base compensation, cash incentives and equity programs reward the achievement of defined corporate goals and objectives. This is critical for ensuring a competitive program that retains our existing executive officers and allows us to hire new executive officers, particularly considering the competitive nature of our industry.</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peer data were used as context for setting fiscal year 2024 executive officer compensation. The Compensation Committee does not set a target benchmark, but in fiscal year 2024 the value of total direct compensation was below the median for the CEO and for all other named executive officers, and Mr. Urso’s total compensation value in fiscal year 2024 as our new CEO was considerably lower than our prior CEO, Dr. Gold’s, compensation value in fiscal year 2023. Further, Mr. Urso was not provided a fiscal year 2024 equity award because it was included in his fiscal year 2023 equity award. The fiscal year 2023 option value for Mr. Urso includes both his regular annual fiscal year 2023 award as COO and General Counsel in July 2022 and a second grant to recognize his promotion to CEO in June 2023, as well as his annual CEO equity award in fiscal year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Stockholder Say-on-Pay Votes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our annual meeting of stockholders held in December 2023, approximately 94% of the shares voted at the meeting approved, on an advisory basis, the compensation of our named executive officers. The Compensation Committee considers input from stockholders, its compensation consultant and proxy advisors, when assessing its compensation philosophy and the components of its compensation program, giving further consideration to the level of attainment of corporate goals and to the compensation data of our peer group so that compensation decisions are broadly consistent with market practice.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right="540" w:firstLine="509"/>
        <w:spacing w:after="0" w:line="312" w:lineRule="auto"/>
        <w:rPr>
          <w:sz w:val="20"/>
          <w:szCs w:val="20"/>
          <w:color w:val="auto"/>
        </w:rPr>
      </w:pPr>
      <w:r>
        <w:rPr>
          <w:rFonts w:ascii="Times New Roman" w:cs="Times New Roman" w:eastAsia="Times New Roman" w:hAnsi="Times New Roman"/>
          <w:sz w:val="17"/>
          <w:szCs w:val="17"/>
          <w:color w:val="auto"/>
        </w:rPr>
        <w:t>Each executive officer’s compensation has three key elements: (i) base salary, (ii) performance-based cash incentives and (iii) equity-based compensation. These elements of executive compensation are intended to align the interests of our executive officers with those of our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7"/>
          <w:szCs w:val="17"/>
          <w:color w:val="auto"/>
        </w:rPr>
        <w:t>Base salaries serve to provide a fixed amount of compensation to our executive officers for successfully fulfilling their responsibilities. We establish base salaries for our executive officers when they join us or upon promotion. Base salaries for executive officers are reviewed and determined by the Compensation Committee annually during the first fiscal quarter, following consultation with our compensation consultant. The Compensation Committee did not increase the salaries of Mr. Urso and Mr. File during fiscal year 2024. The salary of Dr. Ghalie was increased by 5% in fiscal year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Cash Incentives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allocating a meaningful amount of our executive officers’ total cash compensation to the achievement of corporate goals and objectives aligns their interests with those of our stockholders. The Compensation Committee establishes annual corporate incentive bonus targets for each of our executive officers, expressed as a percent of base salary. Fiscal year 2024 bonus targets as a percent of base salary were set at the start of the fiscal year at 50% for Mr. Urso, and 40% for Dr. Ghalie and Mr. File. The corporate goals and objectives are generally critical path activities or strategic initiatives designed to move forward our clinical and operating activities and enhance stockholder return.</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goals were as objective as possible in both their definition and their scoring at the end of the period, though scoring goals included a subjective element to recognize the quality of achievements.</w:t>
      </w:r>
    </w:p>
    <w:p>
      <w:pPr>
        <w:spacing w:after="0" w:line="27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primary corporate goals for fiscal year 2024, which guided the Compensation Committee in determining total compensation.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9525</wp:posOffset>
            </wp:positionV>
            <wp:extent cx="67036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4"/>
          <w:szCs w:val="14"/>
          <w:b w:val="1"/>
          <w:bCs w:val="1"/>
          <w:color w:val="auto"/>
        </w:rPr>
        <w:t>Voruciclib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-95250</wp:posOffset>
            </wp:positionV>
            <wp:extent cx="6703695" cy="1111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03695" cy="111125"/>
                    </a:xfrm>
                    <a:prstGeom prst="rect">
                      <a:avLst/>
                    </a:prstGeom>
                    <a:noFill/>
                  </pic:spPr>
                </pic:pic>
              </a:graphicData>
            </a:graphic>
          </wp:anchor>
        </w:drawing>
      </w:r>
    </w:p>
    <w:p>
      <w:pPr>
        <w:spacing w:after="0" w:line="8" w:lineRule="exact"/>
        <w:rPr>
          <w:sz w:val="20"/>
          <w:szCs w:val="20"/>
          <w:color w:val="auto"/>
        </w:rPr>
      </w:pPr>
    </w:p>
    <w:p>
      <w:pPr>
        <w:ind w:left="780" w:hanging="151"/>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cohort enrollment target</w:t>
      </w:r>
    </w:p>
    <w:p>
      <w:pPr>
        <w:spacing w:after="0" w:line="14" w:lineRule="exact"/>
        <w:rPr>
          <w:rFonts w:ascii="Times New Roman" w:cs="Times New Roman" w:eastAsia="Times New Roman" w:hAnsi="Times New Roman"/>
          <w:sz w:val="14"/>
          <w:szCs w:val="14"/>
          <w:color w:val="auto"/>
        </w:rPr>
      </w:pPr>
    </w:p>
    <w:p>
      <w:pPr>
        <w:ind w:left="780" w:hanging="151"/>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briefing book submission for proposed protocol amendment</w:t>
      </w:r>
    </w:p>
    <w:p>
      <w:pPr>
        <w:spacing w:after="0" w:line="14" w:lineRule="exact"/>
        <w:rPr>
          <w:rFonts w:ascii="Times New Roman" w:cs="Times New Roman" w:eastAsia="Times New Roman" w:hAnsi="Times New Roman"/>
          <w:sz w:val="14"/>
          <w:szCs w:val="14"/>
          <w:color w:val="auto"/>
        </w:rPr>
      </w:pPr>
    </w:p>
    <w:p>
      <w:pPr>
        <w:ind w:left="780" w:hanging="151"/>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and clinical data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-215265</wp:posOffset>
            </wp:positionV>
            <wp:extent cx="6703695" cy="1111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03695" cy="11112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6985</wp:posOffset>
            </wp:positionV>
            <wp:extent cx="6703695" cy="1111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03695" cy="111125"/>
                    </a:xfrm>
                    <a:prstGeom prst="rect">
                      <a:avLst/>
                    </a:prstGeom>
                    <a:noFill/>
                  </pic:spPr>
                </pic:pic>
              </a:graphicData>
            </a:graphic>
          </wp:anchor>
        </w:drawing>
      </w:r>
    </w:p>
    <w:p>
      <w:pPr>
        <w:spacing w:after="0" w:line="157" w:lineRule="exact"/>
        <w:rPr>
          <w:sz w:val="20"/>
          <w:szCs w:val="20"/>
          <w:color w:val="auto"/>
        </w:rPr>
      </w:pPr>
    </w:p>
    <w:p>
      <w:pPr>
        <w:ind w:left="780" w:hanging="151"/>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cohort enrollment target</w:t>
      </w:r>
    </w:p>
    <w:p>
      <w:pPr>
        <w:spacing w:after="0" w:line="27" w:lineRule="exact"/>
        <w:rPr>
          <w:rFonts w:ascii="Times New Roman" w:cs="Times New Roman" w:eastAsia="Times New Roman" w:hAnsi="Times New Roman"/>
          <w:sz w:val="14"/>
          <w:szCs w:val="14"/>
          <w:color w:val="auto"/>
        </w:rPr>
      </w:pPr>
    </w:p>
    <w:p>
      <w:pPr>
        <w:ind w:left="780" w:hanging="151"/>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preclinical and clinical data package</w:t>
      </w:r>
    </w:p>
    <w:p>
      <w:pPr>
        <w:spacing w:after="0" w:line="14"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Financial</w:t>
      </w:r>
    </w:p>
    <w:p>
      <w:pPr>
        <w:spacing w:after="0" w:line="14" w:lineRule="exact"/>
        <w:rPr>
          <w:rFonts w:ascii="Times New Roman" w:cs="Times New Roman" w:eastAsia="Times New Roman" w:hAnsi="Times New Roman"/>
          <w:sz w:val="14"/>
          <w:szCs w:val="14"/>
          <w:color w:val="auto"/>
        </w:rPr>
      </w:pPr>
    </w:p>
    <w:p>
      <w:pPr>
        <w:ind w:left="780" w:hanging="151"/>
        <w:spacing w:after="0"/>
        <w:tabs>
          <w:tab w:leader="none" w:pos="7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sufficient funds for a minimum cash balance as of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-326390</wp:posOffset>
            </wp:positionV>
            <wp:extent cx="6703695" cy="1117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03695" cy="1117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-103505</wp:posOffset>
            </wp:positionV>
            <wp:extent cx="6703695" cy="1111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03695" cy="111125"/>
                    </a:xfrm>
                    <a:prstGeom prst="rect">
                      <a:avLst/>
                    </a:prstGeom>
                    <a:noFill/>
                  </pic:spPr>
                </pic:pic>
              </a:graphicData>
            </a:graphic>
          </wp:anchor>
        </w:drawing>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determined we had met 91.5% of target based on achievement of the goals above. The named executive officers were paid 91.5% of their target bonus for the corporate achievement without any individual adjustment.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long-term value creation is achieved through an ownership culture that encourages performance by our executive officers through stock and stock-based awards. This potential reward for stockholder value creation is also key to our retention strategy. Under our Amended and Restated MEI Pharma, Inc. 2008 Omnibus Equity Compensation Plan (the 2008 Equity Plan), we may award incentive and non-qualified stock options, stock appreciation rights, restricted stock, restricted stock units, and performance shares and units. Stock options expire after 10 years, have an exercise price equal to the fair market value at grant, typically vest 25% after one year and in equal monthly installments thereafter over the next 36 months and have a three-month post-termination exercise period. All equity awards to NEOs in fiscal year 2024 were stock options because they are naturally performance-based without any value delivery unless the stock price increases after grant.</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regular annual equity grant cycle occurs at the start of the fiscal year and at the start of fiscal year 2024, we granted to Dr. Ghalie, Chief Medical Officer, options to purchase 30,000 shares of our common stock with an exercise price of $7.01, which was the closing sales price on the date of grant. This option award amount had a grant date fair value that that was less than half the median of the peer companies and was based on MEI's assessment of the relative importance of the executive to the future, the need to retain them, and market data for their position. Mr. Urso was not provided an option award in fiscal year 2024 due to the grant previously provided upon becoming CEO in June 2023 (fiscal year 2023). Mr. File was not provided an option award in fiscal year 2024 because he was granted an award upon being hired in June 2023 (fiscal year 2023). We grant options because they have a natural performance requirement for the stock price to increase after a grant. All options granted before and during 2024 are currently underwater as of the date of the filing of this Annual Report and do not provide any value at our current share price.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offer benefit programs to our employees, including named executive officers, which include paid time off, health insurance, a company funded HSA account and a company sponsored 401(k) plan. Our executive officers generally do not receive any supplemental retirement benefits or perquisites and participate in the above listed benefit programs on the same basis as other full-time employees.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Agreements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of Mr. Urso’s, Dr. Ghalie’s and Mr. File’s employment agreements provides for certain severance payments upon the applicable employee’s termination by us, other than for cause or by the applicable employee for good reason, as such terms are defined in the respective employment agreement. Upon such a termination of employment, we will: (i) make a payment to the applicable employee in lieu of notice in an amount equal to twelve months of such employee’s base salary (as in effect at the time of such employee’s termination from employment), and (ii) accelerate the vesting of the applicable employee’s options so that such employee will be vested in the same number of shares of common stock subject to the options as if such employee had continued to be employed by us for an additional twelve months. Such payment and additional option vesting will be conditional upon the execution of a customary release of claims in favor of us and our affiliates, in a form prescribed by us. The payment in lieu of notice will be paid to the applicable employee in a single lump sum payment as soon as administratively practicable after the maximum review and revocation period for the release agreement as may be required under applicable law, if any, or such earlier date as determined in our sole discretion, but in no event more than 60 days after the applicable employee’s termination of employment. If their employment had been terminated in accordance with the foregoing provisions on June 30, 2023, Mr. Urso, Dr. Ghalie and Mr. File would have been entitled to payments for 12 months base salary in the amount of $614,000, $503,165, and $450,000, respectively, and payments for fiscal year 2024 bonus funded at 91.5% target of $280,905, $184,158, and $164,700, respectively. Each would be entitled to 12 months of option vesting as follows: Mr. Urso 39,582 shares, Dr. Ghalie, 20,385 shares and Mr. File 13,326 shares. The intrinsic values of the option vesting acceleration on June 30, 2024, would have been nil for all three NEOs because all options were underwater. In the event of a change in control of MEI Pharma, as defined in the 2008 Equity Plan, unless the Compensation Committee of the Board determines otherwise, all options granted to Mr. Urso, Dr. Ghalie and Mr. File will accelerate and become fully exercisable effective upon the date of the change in control. For all three NEOs, there was no intrinsic value of unvested stock options as of June 30, 2024, upon a change in control.</w:t>
      </w:r>
    </w:p>
    <w:p>
      <w:pPr>
        <w:spacing w:after="0" w:line="8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Urso and Dr. Ghalie’s employment as CEO and CMO, respectively, were terminated by us without cause on August 1, 2024. Mr. Urso and Dr. Ghalie’s severance was paid pursuant to their employment agreements dated June 2, 2023 and January 16, 2024, respectively, with 12 months base salary and accelerated vesting of the portion of their stock options that would have vested over the next 12 months, plus their fiscal year 2025 bonus based on performance and board discretion. Further, a total of 61,646 options accelerated for Mr. Urso and 18,861 for Dr. Ghalie, reflecting the number of shares would have vested during the next 12 months, respectively. Mr. Urso’s and Dr. Ghalie’s vested options may be exercised after separation of service for one year, not to exceed their original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tax and accounting consequences to us of certain compensation elements are important considerations for the Compensation Committee when evaluating and recommending compensation packages for our executive officers. Generally, the Compensation Committee seeks to balance its objective to create an effective compensation program that attracts, retains and rewards executives in order to maximize the return to stockholders with the need for appropriate tax and accounting consequences of such compensation.</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considering the tax consequences, the Compensation Committee considers the accounting consequences of its decisions, including the impact of expenses being recognized in connection with equity-based awards, in determining the size and form of different equity-based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SEC rules require us to disclose the total annual compensation of our principal executive officer for fiscal year 2024, who was David Urso, our President and Chief Executive Officer, the median of the total annual compensation of all employees other than our principal executive officer, as well as their ratio to each other (the CEO Pay Ratio). Total annual compensation for our principal executive officer and for the median of the total annual compensation of all employees is calculated in accordance with SEC rules applicable to the Summary Compensation Table. For fiscal year 2024, these amounts were as follows:</w:t>
      </w:r>
    </w:p>
    <w:p>
      <w:pPr>
        <w:spacing w:after="0" w:line="75"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executive officer’s total annual compensation: $894,905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employee’s total annual compensation: $322,172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Pay Ratio: 2.78 to 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determining the median compensated employee, we chose June 30, 2024, as the determination date. As of this date, we had 27 employees, excluding our principal executive officer. We annualized compensation of employees who were not employed with us for the full fiscal year. In determining our median compensated employee and calculating the CEO Pay Ratio, we did not use any of the exemptions permitted under SEC rules, nor did we rely upon any material assumptions, adjustments or estimates.</w:t>
      </w:r>
    </w:p>
    <w:p>
      <w:pPr>
        <w:spacing w:after="0" w:line="72"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CEO Pay Ratio set forth above is a reasonable estimate for fiscal year 2024, determined in a manner consistent with SEC rules. The SEC rules for identifying the median compensated employee and calculating the CEO Pay Ratio based on that employee’s total annual compensation permit companies to adopt a variety of methodologies, to apply certain exemptions and to make certain assumptions, adjustments or estimates that reflect their compensation policies. Accordingly, the CEO Pay Ratio may not be comparable to the pay ratios reported by other companies, which may have used different methodologies, assumptions, adjustments or estimates in calculating their pay ratios.</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Compensation Committee has reviewed and discussed the Compensation Discussion and Analysis required by Item 402(b) of Regulation S-K and contained within this Proxy Statement with management. Based on such review and discussions, our Compensation Committee recommended to our Board that the Compensation Discussion and Analysis be included as of the date of filing for this Annual Report, by the members of the Compensation Committee of the Board: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Dr. Nicholas R. Glover</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Dr. Thomas C. Reynolds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Steven Wood</w:t>
      </w:r>
    </w:p>
    <w:p>
      <w:pPr>
        <w:spacing w:after="0" w:line="223"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is not soliciting material, is not deemed filed with the SEC and is not to be incorporated by reference in any filing of our under the Exchange Act or the Securities Act, other than in our Annual Report on Form 10-K where it shall be deemed to be furnished, whether made before or after the date hereof and irrespective of any general incorporation language in any such filing.</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Executive Officers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named executive officers for the fiscal year ended June 30, 2024, were:</w:t>
      </w:r>
    </w:p>
    <w:p>
      <w:pPr>
        <w:spacing w:after="0" w:line="117"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M. Urso, President and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G. Ghalie, Chief Medical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J. File,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table below sets forth for the fiscal years ended June 30, 2024 and 2023, the compensation of our named executive officers.</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120" w:type="dxa"/>
            <w:vAlign w:val="bottom"/>
          </w:tcPr>
          <w:p>
            <w:pPr>
              <w:spacing w:after="0"/>
              <w:rPr>
                <w:sz w:val="12"/>
                <w:szCs w:val="12"/>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 ($)</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 (6)</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7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(3)(4)(5)(6)</w:t>
            </w:r>
          </w:p>
        </w:tc>
        <w:tc>
          <w:tcPr>
            <w:tcW w:w="220" w:type="dxa"/>
            <w:vAlign w:val="bottom"/>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 M. Urso (7)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614,000</w:t>
            </w: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280,905</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894,905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 Chief</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541,185</w:t>
            </w:r>
          </w:p>
        </w:tc>
        <w:tc>
          <w:tcPr>
            <w:tcW w:w="52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1,352,600</w:t>
            </w:r>
          </w:p>
        </w:tc>
        <w:tc>
          <w:tcPr>
            <w:tcW w:w="3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207,273</w:t>
            </w:r>
          </w:p>
        </w:tc>
        <w:tc>
          <w:tcPr>
            <w:tcW w:w="38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2,101,058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Executive Officer</w:t>
            </w:r>
          </w:p>
        </w:tc>
        <w:tc>
          <w:tcPr>
            <w:tcW w:w="660" w:type="dxa"/>
            <w:vAlign w:val="bottom"/>
            <w:gridSpan w:val="2"/>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3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Richard G. Ghalie (9)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503,165</w:t>
            </w:r>
          </w:p>
        </w:tc>
        <w:tc>
          <w:tcPr>
            <w:tcW w:w="5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847,123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479,205</w:t>
            </w:r>
          </w:p>
        </w:tc>
        <w:tc>
          <w:tcPr>
            <w:tcW w:w="5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148,554</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Justin J. File (8)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164,700</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25,673</w:t>
            </w:r>
          </w:p>
        </w:tc>
        <w:tc>
          <w:tcPr>
            <w:tcW w:w="5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295,600</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321,273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right="120" w:hanging="502"/>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restricted stock unit awards (RSUs) granted in accordance with Financial Accounting Standards Board, Accounting Standards Codification, Topic 718, Stock Compensation (ASC Topic 718), calculated based on the closing market price of our common stock on the date of grant.</w:t>
      </w:r>
    </w:p>
    <w:p>
      <w:pPr>
        <w:spacing w:after="0" w:line="69"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options granted in accordance with ASC Topic 718.</w:t>
      </w:r>
    </w:p>
    <w:p>
      <w:pPr>
        <w:spacing w:after="0" w:line="126" w:lineRule="exact"/>
        <w:rPr>
          <w:rFonts w:ascii="Times New Roman" w:cs="Times New Roman" w:eastAsia="Times New Roman" w:hAnsi="Times New Roman"/>
          <w:sz w:val="16"/>
          <w:szCs w:val="16"/>
          <w:color w:val="auto"/>
        </w:rPr>
      </w:pPr>
    </w:p>
    <w:p>
      <w:pPr>
        <w:ind w:left="660" w:right="220" w:hanging="502"/>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Urso received a bonus of 46% of his base salary for the fiscal year ended June 30, 2024, based upon the compensation committee’s determination to award bonuses at 91.5% of target levels. Mr. Urso received a bonus of 38% of his base salary for the fiscal year ended June 30, 2023, based upon the compensation Committee’s determination to award bonuses at 77.5% of target levels.</w:t>
      </w:r>
    </w:p>
    <w:p>
      <w:pPr>
        <w:spacing w:after="0" w:line="69" w:lineRule="exact"/>
        <w:rPr>
          <w:rFonts w:ascii="Times New Roman" w:cs="Times New Roman" w:eastAsia="Times New Roman" w:hAnsi="Times New Roman"/>
          <w:sz w:val="16"/>
          <w:szCs w:val="16"/>
          <w:color w:val="auto"/>
        </w:rPr>
      </w:pPr>
    </w:p>
    <w:p>
      <w:pPr>
        <w:ind w:left="660" w:right="320" w:hanging="502"/>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Ghalie received a bonus of 37% of his base salary for the fiscal year ended June 30, 2024, based on the compensation committee's determination to award bonuses at 91.5% of target levels. Dr. Ghalie received a bonus of 31% of his base salary for the fiscal year ended June 30, 2023, based on the compensation committee's determination to award bonuses at 77.5% of target levels.</w:t>
      </w:r>
    </w:p>
    <w:p>
      <w:pPr>
        <w:spacing w:after="0" w:line="69" w:lineRule="exact"/>
        <w:rPr>
          <w:rFonts w:ascii="Times New Roman" w:cs="Times New Roman" w:eastAsia="Times New Roman" w:hAnsi="Times New Roman"/>
          <w:sz w:val="16"/>
          <w:szCs w:val="16"/>
          <w:color w:val="auto"/>
        </w:rPr>
      </w:pPr>
    </w:p>
    <w:p>
      <w:pPr>
        <w:ind w:left="660" w:right="280" w:hanging="502"/>
        <w:spacing w:after="0" w:line="298"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File received a bonus of 37% of his base salary for the fiscal year ended June 30, 2024, based upon the compensation committee’s determination to award bonuses at 91.5% of target levels.</w:t>
      </w:r>
    </w:p>
    <w:p>
      <w:pPr>
        <w:spacing w:after="0" w:line="56" w:lineRule="exact"/>
        <w:rPr>
          <w:rFonts w:ascii="Times New Roman" w:cs="Times New Roman" w:eastAsia="Times New Roman" w:hAnsi="Times New Roman"/>
          <w:sz w:val="16"/>
          <w:szCs w:val="16"/>
          <w:color w:val="auto"/>
        </w:rPr>
      </w:pPr>
    </w:p>
    <w:p>
      <w:pPr>
        <w:ind w:left="660" w:right="140" w:hanging="502"/>
        <w:spacing w:after="0" w:line="281"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SEC rules, the compensation described in this table does not include various health and welfare or other benefits received by our named executive officers that were generally available to all of our regular, full-time employees, as well as certain perquisites and other benefits received by our named executive officers that, in the aggregate, were less than $10,000 for any officer.</w:t>
      </w:r>
    </w:p>
    <w:p>
      <w:pPr>
        <w:spacing w:after="0" w:line="69" w:lineRule="exact"/>
        <w:rPr>
          <w:rFonts w:ascii="Times New Roman" w:cs="Times New Roman" w:eastAsia="Times New Roman" w:hAnsi="Times New Roman"/>
          <w:sz w:val="16"/>
          <w:szCs w:val="16"/>
          <w:color w:val="auto"/>
        </w:rPr>
      </w:pPr>
    </w:p>
    <w:p>
      <w:pPr>
        <w:ind w:left="660" w:right="40" w:hanging="502"/>
        <w:spacing w:after="0" w:line="298" w:lineRule="auto"/>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August 1, 2024, Mr. Urso resigned as our President and Chief Executive Officer. Between June 2, 2023 and August 1, 2023, Mr. Urso was our President and Chief Executive Officer. Prior June 2, 2023, Mr. Urso, was our Chief Operating Officer and General Counsel.</w:t>
      </w:r>
    </w:p>
    <w:p>
      <w:pPr>
        <w:spacing w:after="0" w:line="5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August 1, 2024, Mr. File became our acting Chief Executive Officer, in addition to his Chief Financial Officer role that was effective August 1, 2023.</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Ghalie resigned as our Chief Medical Officer on August 1,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the named executive officers, which set forth the terms of their respective employments.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Agreement between David M. Urso and MEI Pharma</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May 31, 2023, the MEI board of directors appointed Mr. Urso as President and Chief Executive Officer of MEI, effective as of June 2, 2023. Mr. Urso was also elected as a member of the MEI board of directors, effective as of June 8, 2023 through August 1,</w:t>
      </w:r>
    </w:p>
    <w:p>
      <w:pPr>
        <w:sectPr>
          <w:pgSz w:w="11900" w:h="16838" w:orient="portrait"/>
          <w:cols w:equalWidth="0" w:num="1">
            <w:col w:w="11200"/>
          </w:cols>
          <w:pgMar w:left="320" w:top="117" w:right="379" w:bottom="1440" w:gutter="0" w:footer="0" w:header="0"/>
        </w:sectPr>
      </w:pP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2024. Mr. Urso served as a member of the class of directors whose term was to expire at the 2025 annual meeting of MEI’s stockholders or until his earlier resignation or removal.</w:t>
      </w:r>
    </w:p>
    <w:p>
      <w:pPr>
        <w:spacing w:after="0" w:line="54"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Mr. Urso’s appointment as President and Chief Executive Officer, Mr. Urso and MEI entered into a new employment agreement (the CEO Employment Agreement), effective as of June 2, 2023, that replaced the existing employment agreement dated March 6, 2014, between MEI and Mr. Urso, as amended by Amendment No. 1, dated July 12, 2018. The CEO Employment Agreement provided for an annual base salary of $614,000, with a target annual bonus opportunity of 50% of base salary. Mr. Urso was eligible to participate in MEI’s health, retirement, expense reimbursement and other benefit plans.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CEO Employment Agreement provided for a grant as of June 2, 2023, of an option to purchase a number of shares of MEI’s common stock, under MEI’s equity compensation plan, equal to 2.5% of MEI’s outstanding shares as of the date of grant, with vesting over a 4-year period, full vesting on a change in control, and other terms and conditions consistent with the CEO Employment Agreement and grants made to other senior executives (the CEO Initial Grant). The exercise price of the CEO Initial Grant was equal to the Nasdaq closing price per share of MEI stock on the date of grant. The CEO Employment Agreement further provided for a stock option grant to be made on the closing date of the Merger, contingent on the consummation of the Merger and subject to Mr. Urso’s being employed by or providing service to MEI or an affiliate at the time of grant (i.e., the closing date of the Merger), that was equal to 2.5% of the outstanding shares of MEI on the closing date of the Merger (calculated immediately after the effective time of the Merger), less the number of MEI shares underlying the CEO Initial Grant; provided, however, that the total number of shares covered by options granted to Mr. Urso in a calendar year shall not exceed 200,000 shares pursuant to the terms of the MEI’s equity compensation plan (the CEO Second Grant). The exercise price of the CEO Second Grant was equal to the Nasdaq closing price per share of MEI stock on the date of grant (the closing date of the Merger). The CEO Second Grant had the same vesting terms as the CEO Initial Grant.</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the full number of options called for pursuant to the CEO Second Grant could not be granted on the closing date of the Merger in 2023 because of the per person share limit under the equity compensation plan, then an option for the number of shares that could not be granted on the closing date would be granted on January 2, 2024 (the Top Off Grant); provided that, if on January 2, 2024, MEI’s equity compensation plan does not have sufficient shares available to make the Top Off Grant, such grant would be made on the first subsequent date on which MEI did have sufficient shares under the equity compensation plan. To receive the Top Off Grant, Mr. Urso must have been employed by or providing services to MEI or an affiliate on the applicable date of grant. The exercise price of the Top Off Grant would be equal to the Nasdaq closing price per share of MEI stock on the date of grant of the Top Off Grant, and the Top Off Grant would have the same vesting terms as the CEO Initial Grant. If the Merger was not consummated, then in certain circumstances a CEO Second Grant (and a Top Off Grant, if applicable) would be made to Mr. Urso according to the terms and conditions of the CEO Employment Agreement. On May 31, 2023, the MEI board of directors approved the CEO Initial Grant, the CEO Second Grant, and the Top Off Grant, as applicable, to be effective on their respective dates of grant.</w:t>
      </w:r>
    </w:p>
    <w:p>
      <w:pPr>
        <w:spacing w:after="0" w:line="8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2024 and subsequent years, Mr. Urso would be eligible to receive equity awards on similar terms as other senior executives of MEI. MEI would pay Mr. Urso’s legal fees in connection with negotiation of the CEO Employment Agreement and ancillary agreements, up to $7,500.</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CEO Employment Agreement, if Mr. Urso’s employment was terminated by MEI without cause or Mr. Urso resigned for good reason, Mr. Urso would be eligible to receive the following severance benefits if he signed an effective release of claims: (i) lump sum payment equal to 12 months of his base salary, (ii) if he elected COBRA health care continuation coverage, MEI would pay the monthly COBRA premium for 12 months, (iii) payment of a pro-rata annual bonus, if any, for the year of termination, and (iv) accelerated vesting of a portion of Mr. Urso’s outstanding stock options equal to the number of options that would have vested if he had continued to be employed by MEI for 12 months following termination. The CEO Employment Agreement also provided that if, within 3 months before a change in control, MEI terminated Mr. Urso’s employment without cause at the request of the other party to the change in control transaction, or if, upon or within 2 years following a change in control, Mr. Urso’s employment was terminated by MEI without cause or Mr. Urso resigned for good reason, Mr. Urso’s outstanding stock options would fully vest and become exercisable as of his termination date, provided that he signed an effective release.</w:t>
      </w:r>
    </w:p>
    <w:p>
      <w:pPr>
        <w:spacing w:after="0" w:line="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Mr. Urso’s employment was terminated due to his death or disability, vesting of a portion of Mr. Urso’s outstanding stock options would accelerate equal to the number of options that would have vested if he had continued to be employed by MEI for 12 months following termination, subject to his execution of an effective release in the event of disability.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Mr. Urso continued to remain subject to his Employee Proprietary Information and Inventions Agreement, dated April 7, 2014.</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Agreement between Richard G. Ghalie and MEI Pharma</w:t>
      </w:r>
    </w:p>
    <w:p>
      <w:pPr>
        <w:spacing w:after="0" w:line="22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Dr. Ghalie’s appointment as Chief Medical Officer, effective May 3, 2021, we entered into an amendment to his Employment Letter, dated February 17, 2016 (as amended, the Ghalie Employment Letter). The Ghalie Employment Letter provided for an annual base salary of $463,000, and a stock option award to purchase 75,000 shares of our common stock. Effective July 1, 2021, pursuant to the terms of the Ghalie Employment Letter, Dr. Ghalie was eligible to earn an annual cash bonus in 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up to a maximum of 40% of the base salary based on his achievement of milestones established by the Compensation Committee of the Board.</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Dr. Ghalie could terminate his employment at any time other than for Good Reason (as defined in the Ghalie Employment Letter), upon providing one (1) month advance notice to us. Dr. Ghalie could terminate his employment with Good Reason by providing us with notice within sixty (60) days of the event giving rise to the Good Reason (and we did not cure the Good Reason event within thirty (30) days after receiving notice). We had the right to terminate the Ghalie Employment Letter with or without Cause (as defined in the Ghalie Employment Letter) at any time. If Dr. Ghalie’s employment was terminated by us without Cause or by Dr. Ghalie for Good Reason, Dr. Ghalie would be entitled to (i) a lump sum payment in an amount equal to twelve</w:t>
      </w:r>
    </w:p>
    <w:p>
      <w:pPr>
        <w:spacing w:after="0" w:line="3" w:lineRule="exact"/>
        <w:rPr>
          <w:sz w:val="20"/>
          <w:szCs w:val="20"/>
          <w:color w:val="auto"/>
        </w:rPr>
      </w:pPr>
    </w:p>
    <w:p>
      <w:pPr>
        <w:ind w:right="420" w:firstLine="8"/>
        <w:spacing w:after="0" w:line="255" w:lineRule="auto"/>
        <w:tabs>
          <w:tab w:leader="none" w:pos="3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his base salary and (ii) accelerated vesting of his options such that Dr. Ghalie will be vested in the same number of options as if he had continued to be employed by us for an additional twelve (12) months, subject to his execution and nonrevocation of a release of claims. The Ghalie Employment Letter contained confidentiality provisions.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Employment Agreement between Justin J. File and MEI Pharma</w:t>
      </w:r>
    </w:p>
    <w:p>
      <w:pPr>
        <w:spacing w:after="0" w:line="11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Mr. File’s appointment as Chief Financial Officer, Mr. File and MEI entered into an employment agreement (the CFO Employment Agreement), effective as of June 12, 2023. The CFO Employment Agreement provides for an annual base salary of $450,000, with a target annual bonus opportunity of 40% of base salary. Mr. File will be eligible to participate in MEI’s health, retirement, expense reimbursement and other benefit plans.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CFO Employment Agreement provides for a grant as of June 12, 2023 of an option to purchase a number of shares of MEI’s common stock, under MEI’s equity compensation plan, equal to 0.8% of MEI’s outstanding shares as of the date of grant, with vesting over a 4-year period, full vesting on a change in control, and other terms and conditions consistent with the CFO Employment Agreement and grants made to other senior executives. The exercise price of the CFO Initial Grant will be equal to the Nasdaq closing price per share of MEI stock on the date of grant. For 2024 and subsequent years, Mr. File will be eligible to receive equity awards on similar terms as other senior executives of MEI.</w:t>
      </w:r>
    </w:p>
    <w:p>
      <w:pPr>
        <w:spacing w:after="0" w:line="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Under the CFO Employment Agreement, if Mr. File’s employment is terminated by MEI without cause or Mr. File resigns for good reason, Mr. File will be eligible to receive the following severance benefits if he signs an effective release of claims: (i) lump sum payment equal to 12 months of his base salary, (ii) if he elects COBRA health care continuation coverage, MEI will pay the monthly COBRA premium for 12 months, (iii) payment of a pro-rata annual bonus, if any, for the year of termination, and (iv) accelerated vesting of a portion of Mr. File’s outstanding stock options equal to the number of options that would have vested if he had continued to be employed by MEI for 12 months following termination. The CFO Employment Agreement also provides that if, within 3 months before a change in control, MEI terminates Mr. File’s employment without cause at the request of the other party to the change in control transaction, or if, upon or within 2 years following a change in control, Mr. File’s employment is terminated by MEI without cause or Mr. File resigns for good reason, Mr. File’s outstanding stock options will fully vest and become exercisable as of his termination date, provided that he signs an effective release.</w:t>
      </w:r>
    </w:p>
    <w:p>
      <w:pPr>
        <w:spacing w:after="0" w:line="8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event that Mr. File’s employment is terminated due to his death or disability, vesting of a portion of Mr. File’s outstanding stock options will accelerate equal to the number of options that would have vested if he had continued to be employed by MEI for 12 months following termination, subject to his execution of an effective release in the event of disability.</w:t>
      </w:r>
    </w:p>
    <w:p>
      <w:pPr>
        <w:spacing w:after="0" w:line="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our announcement on July 22, 2024 to pursue strategic alternatives, Mr. File and MEI entered into an amendment to his employment agreement effective August 1, 2024. Under the amendment, Mr. File was appointed by the Board to serve in the additional capacity of Acting Chief Executive Officer and provided an increase in his annual base salary to $550,000 and an increase in his target annual bonus opportunity to 50% of base salary. In addition, Mr. File is eligible to receive a success fee if the closing cash balance as of the first to occur of (i) December 31, 2024 or (ii) the closing date of a change in control (the Measurement Date) exceeds a specified amount determined by the Board. The success fee will equal 10% of the closing cash balance of the Company in excess of the specified amount as of the Measurement Date and will be paid in a lump sum cash payment on the first to occur of (i) June 30, 2025, or (ii) Mr. File’s termination of employment by the Company without cause, subject to Mr. File remaining employed by the Company through the payment date of the success fee.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 Based Awards for Fiscal Year Ended June 30, 2024</w:t>
      </w:r>
    </w:p>
    <w:p>
      <w:pPr>
        <w:spacing w:after="0" w:line="11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Option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Exercise or</w:t>
            </w: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3"/>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46"/>
        </w:trPr>
        <w:tc>
          <w:tcPr>
            <w:tcW w:w="1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12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Base Price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7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 Awards (1)</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Stocks of Units</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69"/>
        </w:trPr>
        <w:tc>
          <w:tcPr>
            <w:tcW w:w="1860" w:type="dxa"/>
            <w:vAlign w:val="bottom"/>
            <w:vMerge w:val="continue"/>
          </w:tcPr>
          <w:p>
            <w:pPr>
              <w:spacing w:after="0"/>
              <w:rPr>
                <w:sz w:val="14"/>
                <w:szCs w:val="14"/>
                <w:color w:val="auto"/>
              </w:rPr>
            </w:pPr>
          </w:p>
        </w:tc>
        <w:tc>
          <w:tcPr>
            <w:tcW w:w="12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David M. Urso</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307,000</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Richard G. Ghalie, M.D.</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29, 2023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201,266</w:t>
            </w:r>
          </w:p>
        </w:tc>
        <w:tc>
          <w:tcPr>
            <w:tcW w:w="220" w:type="dxa"/>
            <w:vAlign w:val="bottom"/>
          </w:tcPr>
          <w:p>
            <w:pPr>
              <w:spacing w:after="0"/>
              <w:rPr>
                <w:sz w:val="15"/>
                <w:szCs w:val="15"/>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5"/>
                <w:szCs w:val="15"/>
                <w:color w:val="auto"/>
              </w:rPr>
            </w:pPr>
          </w:p>
        </w:tc>
        <w:tc>
          <w:tcPr>
            <w:tcW w:w="108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Justin J. File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80" w:hanging="382"/>
        <w:spacing w:after="0"/>
        <w:tabs>
          <w:tab w:leader="none" w:pos="5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established single bonus targets and as disclosed in the Summary Compensation Table, determined to pay out bonuses at 91.5% of the target levels.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June 30,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on all stock options and RSUs held by our named executive officers on June 30, 2024.</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7"/>
        </w:trPr>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6"/>
                <w:szCs w:val="16"/>
                <w:color w:val="auto"/>
              </w:rPr>
            </w:pP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Footnote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David M. Urso</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41,643</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124,928</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 (17)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6/2/2033</w:t>
            </w: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25,156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27,344</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(2), (17)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7/5/2032</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21,875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8,125</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(3), (17)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7/1/2031</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25,704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(4), (17)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7/2/2030</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7/1/2029</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7/12/2028</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6/22/2028</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56.60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7/6/2027</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7/28/2026</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6,375</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7/27/2025</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Richard G. Ghalie</w:t>
            </w: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24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(16), (17)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9/29/2033</w:t>
            </w:r>
          </w:p>
        </w:tc>
        <w:tc>
          <w:tcPr>
            <w:tcW w:w="120" w:type="dxa"/>
            <w:vAlign w:val="bottom"/>
          </w:tcPr>
          <w:p>
            <w:pPr>
              <w:spacing w:after="0"/>
              <w:rPr>
                <w:sz w:val="14"/>
                <w:szCs w:val="14"/>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14,575</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 (17)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7/5/2032</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11,671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 (17)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7/1/2031</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 (17)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5/3/2031</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7,344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(4), (17)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7/2/2030</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7/1/2029</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7/12/2028</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7/7/2027</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7/13/2026</w:t>
            </w:r>
          </w:p>
        </w:tc>
        <w:tc>
          <w:tcPr>
            <w:tcW w:w="120" w:type="dxa"/>
            <w:vAlign w:val="bottom"/>
          </w:tcPr>
          <w:p>
            <w:pPr>
              <w:spacing w:after="0"/>
              <w:rPr>
                <w:sz w:val="15"/>
                <w:szCs w:val="15"/>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44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3/6/2026</w:t>
            </w:r>
          </w:p>
        </w:tc>
        <w:tc>
          <w:tcPr>
            <w:tcW w:w="120" w:type="dxa"/>
            <w:vAlign w:val="bottom"/>
          </w:tcPr>
          <w:p>
            <w:pPr>
              <w:spacing w:after="0"/>
              <w:rPr>
                <w:sz w:val="16"/>
                <w:szCs w:val="16"/>
                <w:color w:val="auto"/>
              </w:rPr>
            </w:pP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1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Justin J. File</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39,976</w:t>
            </w:r>
          </w:p>
        </w:tc>
        <w:tc>
          <w:tcPr>
            <w:tcW w:w="12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6/12/2033</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right="420" w:hanging="502"/>
        <w:spacing w:after="0" w:line="298" w:lineRule="auto"/>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June 3, 2024; the remaining 75% of the options were expected to vest in equal monthly installments over the following 36 months.</w:t>
      </w:r>
    </w:p>
    <w:p>
      <w:pPr>
        <w:spacing w:after="0" w:line="5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5, 2023; the remaining 75% of the options vest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5, 2022; the remaining 75% of the options vest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2, 2021; the remaining 75% of the options vested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1, 2020; the remaining 75% of the options vested in equal monthly installments over the following 36 months.</w:t>
      </w: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12, 2019; the remaining 75% of the options vested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June 22, 2019; the remaining 75% of the options vested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6, 2018; the remaining 75% of the options vested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vested in equal installments over 36 months from the grant date of July 29, 2016.</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vested in equal installments over 36 months from the grant date of July 28, 2015.</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vested in equal installments over 36 months from the grant date of March 7, 2016.</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vested in equal installments over 36 months from the grant date of July 14, 2016.</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May 3, 2022; the remaining 75% of the options vest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7, 2018; the remaining 75% of the options vested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June 12, 2024, the remaining 75% of the options vest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hanging="50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Twenty-five percent of the options vested on July 1, 2024, the remaining 75% of the options vest in equal monthly installments over the following 36 months.</w:t>
      </w:r>
    </w:p>
    <w:p>
      <w:pPr>
        <w:spacing w:after="0" w:line="126" w:lineRule="exact"/>
        <w:rPr>
          <w:rFonts w:ascii="Times New Roman" w:cs="Times New Roman" w:eastAsia="Times New Roman" w:hAnsi="Times New Roman"/>
          <w:sz w:val="16"/>
          <w:szCs w:val="16"/>
          <w:color w:val="auto"/>
        </w:rPr>
      </w:pPr>
    </w:p>
    <w:p>
      <w:pPr>
        <w:ind w:left="660" w:right="40" w:hanging="502"/>
        <w:spacing w:after="0" w:line="281"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Mr. Urso's and Dr. Ghalie's Separation and Release Agreements dated August 1, 2024, all outstanding options vest and become exercisable on an accelerated basis as of the transition date (August 1, 2024) for the same number of shares that would have vested had they continued to be employed by MEI through the first anniversary of the transition date (August 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Mr. Urso, Dr. Ghalie and Mr. File did not exercise any stock options during the fiscal year ended June 30, 2024. 1,000 RSUs vested for Dr. Ghalie during the fiscal year ended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Provided below is our pay versus performance disclosure as required pursuant to Item 402(v) of Regulation S-K promulgated under the Exchange Act. As required by Item 402(v), we have included:</w:t>
      </w:r>
    </w:p>
    <w:p>
      <w:pPr>
        <w:spacing w:after="0" w:line="54" w:lineRule="exact"/>
        <w:rPr>
          <w:sz w:val="20"/>
          <w:szCs w:val="20"/>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our most important measures that our Compensation Committee used in fiscal year 2024 to link a measure of pay calculated in accordance with Item 402(v) (referred to as compensation actually paid, or CAP) to our performance;</w:t>
      </w:r>
    </w:p>
    <w:p>
      <w:pPr>
        <w:spacing w:after="0" w:line="53"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table that compares the total compensation of our named executive officers’ (also known as NEOs) as presented in the Summary Compensation Table (SCT) to CAP and that compares CAP to specified performance measures;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Graphs that describe:</w:t>
      </w:r>
    </w:p>
    <w:p>
      <w:pPr>
        <w:spacing w:after="0" w:line="117" w:lineRule="exact"/>
        <w:rPr>
          <w:rFonts w:ascii="Times New Roman" w:cs="Times New Roman" w:eastAsia="Times New Roman" w:hAnsi="Times New Roman"/>
          <w:sz w:val="18"/>
          <w:szCs w:val="18"/>
          <w:color w:val="auto"/>
        </w:rPr>
      </w:pPr>
    </w:p>
    <w:p>
      <w:pPr>
        <w:ind w:left="1540" w:right="3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relationships between CAP and our cumulative total shareholder return (TSR), GAAP Net Income, and our selected measure, Total Cash (defined as all cash, cash equivalents, and investment held to maturity); and</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relationship between our TSR and the TSR of the Nasdaq Biotechnology Index (Peer Group TSR).</w:t>
      </w:r>
    </w:p>
    <w:p>
      <w:pPr>
        <w:spacing w:after="0" w:line="223"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Note: pursuant to Item 402(v)(8), MEI, as a smaller reporting company (SRC), has provided the information required by 402(v) for three years, instead of five years and is not required to provide the disclosure required by 402(v)(2)(iv) or 402(v)(5) with respect to the total shareholder return of any peer group, or our-Selected Measure disclosure required by 402 (v)(2)(vi), or the Tabular List provided pursuant to 402(v)(6).</w:t>
      </w:r>
    </w:p>
    <w:p>
      <w:pPr>
        <w:spacing w:after="0" w:line="17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Given our current pay program, the only difference between the SCT and CAP amounts for our NEOs is the value of equity awards, which for purposes of the SCT is based on the grant date fair value of equity awards granted during the year, and for purposes of CAP is based on the year over year change in the fair value of equity awards that are unvested as of the end of the year, or that vested, or were forfeited during the year.</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and does not necessarily reflect value realized by the NEOs from their equity awards. Please refer to our Compensation Discussion and Analysis, above, for a discussion of our executive compensation program objectives and the ways in which we align executive compensation with performance.</w:t>
      </w:r>
    </w:p>
    <w:p>
      <w:pPr>
        <w:spacing w:after="0" w:line="172" w:lineRule="exact"/>
        <w:rPr>
          <w:sz w:val="20"/>
          <w:szCs w:val="20"/>
          <w:color w:val="auto"/>
        </w:rPr>
      </w:pPr>
    </w:p>
    <w:p>
      <w:pPr>
        <w:jc w:val="both"/>
        <w:ind w:right="40" w:firstLine="50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Our Most Important Metrics Used for Linking Pay and Performance. </w:t>
      </w:r>
      <w:r>
        <w:rPr>
          <w:rFonts w:ascii="Times New Roman" w:cs="Times New Roman" w:eastAsia="Times New Roman" w:hAnsi="Times New Roman"/>
          <w:sz w:val="17"/>
          <w:szCs w:val="17"/>
          <w:color w:val="auto"/>
        </w:rPr>
        <w:t>As required by Item 402(v), below are the most important metrics linking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 to performance for fiscal year 2024. Besides stock price, the only financial performance measure the Committee used to link executive compensation to performance in 2024 was Total Cash (total cash, cash equivalents and short-term investments) on the consolidated balance sheets as of June 30, 2024.</w:t>
      </w:r>
    </w:p>
    <w:p>
      <w:pPr>
        <w:spacing w:after="0" w:line="49" w:lineRule="exact"/>
        <w:rPr>
          <w:sz w:val="20"/>
          <w:szCs w:val="20"/>
          <w:color w:val="auto"/>
        </w:rPr>
      </w:pPr>
    </w:p>
    <w:p>
      <w:pPr>
        <w:jc w:val="both"/>
        <w:ind w:right="20" w:firstLine="464"/>
        <w:spacing w:after="0" w:line="282" w:lineRule="auto"/>
        <w:rPr>
          <w:sz w:val="20"/>
          <w:szCs w:val="20"/>
          <w:color w:val="auto"/>
        </w:rPr>
      </w:pPr>
      <w:r>
        <w:rPr>
          <w:rFonts w:ascii="Times New Roman" w:cs="Times New Roman" w:eastAsia="Times New Roman" w:hAnsi="Times New Roman"/>
          <w:sz w:val="18"/>
          <w:szCs w:val="18"/>
          <w:color w:val="auto"/>
        </w:rPr>
        <w:t>Other non-financial performance factors considered when making compensation decisions include clinical milestones, individual performance, scope of responsibility, and an annual assessment of pay competitiveness within the market.</w:t>
      </w:r>
    </w:p>
    <w:p>
      <w:pPr>
        <w:spacing w:after="0" w:line="158"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Pay Versus Performance Table</w:t>
      </w:r>
      <w:r>
        <w:rPr>
          <w:rFonts w:ascii="Times New Roman" w:cs="Times New Roman" w:eastAsia="Times New Roman" w:hAnsi="Times New Roman"/>
          <w:sz w:val="18"/>
          <w:szCs w:val="18"/>
          <w:color w:val="auto"/>
        </w:rPr>
        <w:t>. In accordance with Item 402(v) and under rules adopted by the SEC pursuant to the Dodd-Frank Wall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Reform and Consumer Protection Act of 2010, we are providing the tabular disclosure for our Chief Executive Officer (our Principal Executive Officer or PEO) and the average of our NEOs other than the PEO for fiscal years 2022, 2023 and 2024.</w:t>
      </w:r>
    </w:p>
    <w:p>
      <w:pPr>
        <w:spacing w:after="0" w:line="172"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of Initial Fixed $100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Investment Based on Total</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6"/>
        </w:trPr>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Shareholder Return</w:t>
            </w:r>
          </w:p>
        </w:tc>
        <w:tc>
          <w:tcPr>
            <w:tcW w:w="1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77"/>
              <w:spacing w:after="0" w:line="124"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22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Company</w:t>
            </w:r>
          </w:p>
        </w:tc>
      </w:tr>
      <w:tr>
        <w:trPr>
          <w:trHeight w:val="135"/>
        </w:trPr>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2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2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2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2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Selected</w:t>
            </w:r>
          </w:p>
        </w:tc>
      </w:tr>
      <w:tr>
        <w:trPr>
          <w:trHeight w:val="135"/>
        </w:trPr>
        <w:tc>
          <w:tcPr>
            <w:tcW w:w="3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Fisca</w:t>
            </w:r>
          </w:p>
        </w:tc>
        <w:tc>
          <w:tcPr>
            <w:tcW w:w="10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Table for 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to Current</w:t>
            </w:r>
          </w:p>
        </w:tc>
        <w:tc>
          <w:tcPr>
            <w:tcW w:w="2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6"/>
              </w:rPr>
              <w:t>Table for Total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Former</w:t>
            </w:r>
          </w:p>
        </w:tc>
        <w:tc>
          <w:tcPr>
            <w:tcW w:w="20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Table Total for</w:t>
            </w:r>
          </w:p>
        </w:tc>
        <w:tc>
          <w:tcPr>
            <w:tcW w:w="220" w:type="dxa"/>
            <w:vAlign w:val="bottom"/>
          </w:tcPr>
          <w:p>
            <w:pPr>
              <w:spacing w:after="0"/>
              <w:rPr>
                <w:sz w:val="11"/>
                <w:szCs w:val="11"/>
                <w:color w:val="auto"/>
              </w:rPr>
            </w:pPr>
          </w:p>
        </w:tc>
        <w:tc>
          <w:tcPr>
            <w:tcW w:w="106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10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5"/>
              </w:rPr>
              <w:t>MEI Total</w:t>
            </w:r>
          </w:p>
        </w:tc>
        <w:tc>
          <w:tcPr>
            <w:tcW w:w="10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Peer Total</w:t>
            </w:r>
          </w:p>
        </w:tc>
        <w:tc>
          <w:tcPr>
            <w:tcW w:w="20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MEI Net</w:t>
            </w:r>
          </w:p>
        </w:tc>
        <w:tc>
          <w:tcPr>
            <w:tcW w:w="9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Measure: Total</w:t>
            </w:r>
          </w:p>
        </w:tc>
      </w:tr>
      <w:tr>
        <w:trPr>
          <w:trHeight w:val="128"/>
        </w:trPr>
        <w:tc>
          <w:tcPr>
            <w:tcW w:w="3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70"/>
              </w:rPr>
              <w:t>l</w:t>
            </w:r>
          </w:p>
        </w:tc>
        <w:tc>
          <w:tcPr>
            <w:tcW w:w="100" w:type="dxa"/>
            <w:vAlign w:val="bottom"/>
          </w:tcPr>
          <w:p>
            <w:pPr>
              <w:spacing w:after="0"/>
              <w:rPr>
                <w:sz w:val="11"/>
                <w:szCs w:val="11"/>
                <w:color w:val="auto"/>
              </w:rPr>
            </w:pPr>
          </w:p>
        </w:tc>
        <w:tc>
          <w:tcPr>
            <w:tcW w:w="86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Current PEO</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220" w:type="dxa"/>
            <w:vAlign w:val="bottom"/>
          </w:tcPr>
          <w:p>
            <w:pPr>
              <w:spacing w:after="0"/>
              <w:rPr>
                <w:sz w:val="11"/>
                <w:szCs w:val="11"/>
                <w:color w:val="auto"/>
              </w:rPr>
            </w:pPr>
          </w:p>
        </w:tc>
        <w:tc>
          <w:tcPr>
            <w:tcW w:w="8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Former PEO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37"/>
              <w:spacing w:after="0" w:line="128" w:lineRule="exact"/>
              <w:rPr>
                <w:sz w:val="20"/>
                <w:szCs w:val="20"/>
                <w:color w:val="auto"/>
              </w:rPr>
            </w:pPr>
            <w:r>
              <w:rPr>
                <w:rFonts w:ascii="Times New Roman" w:cs="Times New Roman" w:eastAsia="Times New Roman" w:hAnsi="Times New Roman"/>
                <w:sz w:val="13"/>
                <w:szCs w:val="13"/>
                <w:b w:val="1"/>
                <w:bCs w:val="1"/>
                <w:color w:val="auto"/>
                <w:w w:val="95"/>
              </w:rPr>
              <w:t>Non-PEO</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100" w:type="dxa"/>
            <w:vAlign w:val="bottom"/>
          </w:tcPr>
          <w:p>
            <w:pPr>
              <w:spacing w:after="0"/>
              <w:rPr>
                <w:sz w:val="11"/>
                <w:szCs w:val="11"/>
                <w:color w:val="auto"/>
              </w:rPr>
            </w:pPr>
          </w:p>
        </w:tc>
        <w:tc>
          <w:tcPr>
            <w:tcW w:w="820" w:type="dxa"/>
            <w:vAlign w:val="bottom"/>
          </w:tcPr>
          <w:p>
            <w:pPr>
              <w:jc w:val="center"/>
              <w:ind w:right="5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00" w:type="dxa"/>
            <w:vAlign w:val="bottom"/>
          </w:tcPr>
          <w:p>
            <w:pPr>
              <w:spacing w:after="0"/>
              <w:rPr>
                <w:sz w:val="11"/>
                <w:szCs w:val="11"/>
                <w:color w:val="auto"/>
              </w:rPr>
            </w:pPr>
          </w:p>
        </w:tc>
        <w:tc>
          <w:tcPr>
            <w:tcW w:w="8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80"/>
              <w:spacing w:after="0" w:line="128"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2"/>
              </w:rPr>
              <w:t>Cash</w:t>
            </w:r>
          </w:p>
        </w:tc>
      </w:tr>
      <w:tr>
        <w:trPr>
          <w:trHeight w:val="176"/>
        </w:trPr>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77"/>
              <w:spacing w:after="0" w:line="175" w:lineRule="exact"/>
              <w:rPr>
                <w:sz w:val="20"/>
                <w:szCs w:val="20"/>
                <w:color w:val="auto"/>
              </w:rPr>
            </w:pPr>
            <w:r>
              <w:rPr>
                <w:rFonts w:ascii="Times New Roman" w:cs="Times New Roman" w:eastAsia="Times New Roman" w:hAnsi="Times New Roman"/>
                <w:sz w:val="13"/>
                <w:szCs w:val="13"/>
                <w:b w:val="1"/>
                <w:bCs w:val="1"/>
                <w:color w:val="auto"/>
                <w:w w:val="91"/>
              </w:rPr>
              <w:t>(Urso)</w:t>
            </w:r>
            <w:r>
              <w:rPr>
                <w:rFonts w:ascii="Times New Roman" w:cs="Times New Roman" w:eastAsia="Times New Roman" w:hAnsi="Times New Roman"/>
                <w:sz w:val="16"/>
                <w:szCs w:val="16"/>
                <w:b w:val="1"/>
                <w:bCs w:val="1"/>
                <w:color w:val="auto"/>
                <w:w w:val="91"/>
                <w:vertAlign w:val="superscript"/>
              </w:rPr>
              <w:t>(1)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7"/>
              <w:spacing w:after="0" w:line="175" w:lineRule="exact"/>
              <w:rPr>
                <w:sz w:val="20"/>
                <w:szCs w:val="20"/>
                <w:color w:val="auto"/>
              </w:rPr>
            </w:pPr>
            <w:r>
              <w:rPr>
                <w:rFonts w:ascii="Times New Roman" w:cs="Times New Roman" w:eastAsia="Times New Roman" w:hAnsi="Times New Roman"/>
                <w:sz w:val="13"/>
                <w:szCs w:val="13"/>
                <w:b w:val="1"/>
                <w:bCs w:val="1"/>
                <w:color w:val="auto"/>
                <w:w w:val="89"/>
              </w:rPr>
              <w:t>(Urso)</w:t>
            </w:r>
            <w:r>
              <w:rPr>
                <w:rFonts w:ascii="Times New Roman" w:cs="Times New Roman" w:eastAsia="Times New Roman" w:hAnsi="Times New Roman"/>
                <w:sz w:val="16"/>
                <w:szCs w:val="16"/>
                <w:b w:val="1"/>
                <w:bCs w:val="1"/>
                <w:color w:val="auto"/>
                <w:w w:val="89"/>
                <w:vertAlign w:val="superscript"/>
              </w:rPr>
              <w:t>(2,3)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7"/>
              <w:spacing w:after="0" w:line="175" w:lineRule="exact"/>
              <w:rPr>
                <w:sz w:val="20"/>
                <w:szCs w:val="20"/>
                <w:color w:val="auto"/>
              </w:rPr>
            </w:pPr>
            <w:r>
              <w:rPr>
                <w:rFonts w:ascii="Times New Roman" w:cs="Times New Roman" w:eastAsia="Times New Roman" w:hAnsi="Times New Roman"/>
                <w:sz w:val="13"/>
                <w:szCs w:val="13"/>
                <w:b w:val="1"/>
                <w:bCs w:val="1"/>
                <w:color w:val="auto"/>
                <w:w w:val="90"/>
              </w:rPr>
              <w:t>(Gold)</w:t>
            </w:r>
            <w:r>
              <w:rPr>
                <w:rFonts w:ascii="Times New Roman" w:cs="Times New Roman" w:eastAsia="Times New Roman" w:hAnsi="Times New Roman"/>
                <w:sz w:val="16"/>
                <w:szCs w:val="16"/>
                <w:b w:val="1"/>
                <w:bCs w:val="1"/>
                <w:color w:val="auto"/>
                <w:w w:val="90"/>
                <w:vertAlign w:val="superscript"/>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37"/>
              <w:spacing w:after="0" w:line="175" w:lineRule="exact"/>
              <w:rPr>
                <w:sz w:val="20"/>
                <w:szCs w:val="20"/>
                <w:color w:val="auto"/>
              </w:rPr>
            </w:pPr>
            <w:r>
              <w:rPr>
                <w:rFonts w:ascii="Times New Roman" w:cs="Times New Roman" w:eastAsia="Times New Roman" w:hAnsi="Times New Roman"/>
                <w:sz w:val="13"/>
                <w:szCs w:val="13"/>
                <w:b w:val="1"/>
                <w:bCs w:val="1"/>
                <w:color w:val="auto"/>
                <w:w w:val="88"/>
              </w:rPr>
              <w:t>(Gold)</w:t>
            </w:r>
            <w:r>
              <w:rPr>
                <w:rFonts w:ascii="Times New Roman" w:cs="Times New Roman" w:eastAsia="Times New Roman" w:hAnsi="Times New Roman"/>
                <w:sz w:val="16"/>
                <w:szCs w:val="16"/>
                <w:b w:val="1"/>
                <w:bCs w:val="1"/>
                <w:color w:val="auto"/>
                <w:w w:val="88"/>
                <w:vertAlign w:val="superscript"/>
              </w:rPr>
              <w:t>(2,3)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57"/>
              <w:spacing w:after="0" w:line="175" w:lineRule="exact"/>
              <w:rPr>
                <w:sz w:val="20"/>
                <w:szCs w:val="20"/>
                <w:color w:val="auto"/>
              </w:rPr>
            </w:pPr>
            <w:r>
              <w:rPr>
                <w:rFonts w:ascii="Times New Roman" w:cs="Times New Roman" w:eastAsia="Times New Roman" w:hAnsi="Times New Roman"/>
                <w:sz w:val="13"/>
                <w:szCs w:val="13"/>
                <w:b w:val="1"/>
                <w:bCs w:val="1"/>
                <w:color w:val="auto"/>
                <w:w w:val="91"/>
              </w:rPr>
              <w:t>NEOs</w:t>
            </w:r>
            <w:r>
              <w:rPr>
                <w:rFonts w:ascii="Times New Roman" w:cs="Times New Roman" w:eastAsia="Times New Roman" w:hAnsi="Times New Roman"/>
                <w:sz w:val="16"/>
                <w:szCs w:val="16"/>
                <w:b w:val="1"/>
                <w:bCs w:val="1"/>
                <w:color w:val="auto"/>
                <w:w w:val="91"/>
                <w:vertAlign w:val="superscript"/>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20"/>
                <w:szCs w:val="20"/>
                <w:b w:val="1"/>
                <w:bCs w:val="1"/>
                <w:color w:val="auto"/>
                <w:w w:val="97"/>
                <w:vertAlign w:val="subscript"/>
              </w:rPr>
              <w:t>NEOs</w:t>
            </w:r>
            <w:r>
              <w:rPr>
                <w:rFonts w:ascii="Times New Roman" w:cs="Times New Roman" w:eastAsia="Times New Roman" w:hAnsi="Times New Roman"/>
                <w:sz w:val="8"/>
                <w:szCs w:val="8"/>
                <w:b w:val="1"/>
                <w:bCs w:val="1"/>
                <w:color w:val="auto"/>
                <w:w w:val="97"/>
              </w:rPr>
              <w:t>(2,3)</w:t>
            </w: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Return</w:t>
            </w:r>
          </w:p>
        </w:tc>
        <w:tc>
          <w:tcPr>
            <w:tcW w:w="100" w:type="dxa"/>
            <w:vAlign w:val="bottom"/>
          </w:tcPr>
          <w:p>
            <w:pPr>
              <w:spacing w:after="0"/>
              <w:rPr>
                <w:sz w:val="15"/>
                <w:szCs w:val="15"/>
                <w:color w:val="auto"/>
              </w:rPr>
            </w:pPr>
          </w:p>
        </w:tc>
        <w:tc>
          <w:tcPr>
            <w:tcW w:w="640" w:type="dxa"/>
            <w:vAlign w:val="bottom"/>
          </w:tcPr>
          <w:p>
            <w:pPr>
              <w:jc w:val="center"/>
              <w:ind w:left="97"/>
              <w:spacing w:after="0" w:line="175" w:lineRule="exact"/>
              <w:rPr>
                <w:sz w:val="20"/>
                <w:szCs w:val="20"/>
                <w:color w:val="auto"/>
              </w:rPr>
            </w:pPr>
            <w:r>
              <w:rPr>
                <w:rFonts w:ascii="Times New Roman" w:cs="Times New Roman" w:eastAsia="Times New Roman" w:hAnsi="Times New Roman"/>
                <w:sz w:val="13"/>
                <w:szCs w:val="13"/>
                <w:b w:val="1"/>
                <w:bCs w:val="1"/>
                <w:color w:val="auto"/>
                <w:w w:val="91"/>
              </w:rPr>
              <w:t>Return</w:t>
            </w:r>
            <w:r>
              <w:rPr>
                <w:rFonts w:ascii="Times New Roman" w:cs="Times New Roman" w:eastAsia="Times New Roman" w:hAnsi="Times New Roman"/>
                <w:sz w:val="16"/>
                <w:szCs w:val="16"/>
                <w:b w:val="1"/>
                <w:bCs w:val="1"/>
                <w:color w:val="auto"/>
                <w:w w:val="91"/>
                <w:vertAlign w:val="superscript"/>
              </w:rPr>
              <w:t>(4)</w:t>
            </w:r>
          </w:p>
        </w:tc>
        <w:tc>
          <w:tcPr>
            <w:tcW w:w="16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80" w:type="dxa"/>
            <w:vAlign w:val="bottom"/>
          </w:tcPr>
          <w:p>
            <w:pPr>
              <w:spacing w:after="0"/>
              <w:rPr>
                <w:sz w:val="15"/>
                <w:szCs w:val="15"/>
                <w:color w:val="auto"/>
              </w:rPr>
            </w:pPr>
          </w:p>
        </w:tc>
        <w:tc>
          <w:tcPr>
            <w:tcW w:w="8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3"/>
                <w:szCs w:val="13"/>
                <w:b w:val="1"/>
                <w:bCs w:val="1"/>
                <w:color w:val="auto"/>
                <w:w w:val="92"/>
              </w:rPr>
              <w:t>($Millions)</w:t>
            </w:r>
            <w:r>
              <w:rPr>
                <w:rFonts w:ascii="Times New Roman" w:cs="Times New Roman" w:eastAsia="Times New Roman" w:hAnsi="Times New Roman"/>
                <w:sz w:val="16"/>
                <w:szCs w:val="16"/>
                <w:b w:val="1"/>
                <w:bCs w:val="1"/>
                <w:color w:val="auto"/>
                <w:w w:val="92"/>
                <w:vertAlign w:val="superscript"/>
              </w:rPr>
              <w:t>(5)</w:t>
            </w:r>
          </w:p>
        </w:tc>
      </w:tr>
      <w:tr>
        <w:trPr>
          <w:trHeight w:val="155"/>
        </w:trPr>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(d)</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(h)</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100" w:type="dxa"/>
            <w:vAlign w:val="bottom"/>
          </w:tcPr>
          <w:p>
            <w:pPr>
              <w:spacing w:after="0"/>
              <w:rPr>
                <w:sz w:val="13"/>
                <w:szCs w:val="13"/>
                <w:color w:val="auto"/>
              </w:rPr>
            </w:pPr>
          </w:p>
        </w:tc>
      </w:tr>
      <w:tr>
        <w:trPr>
          <w:trHeight w:val="162"/>
        </w:trPr>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894,905</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233,569</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730,912</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563,489</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74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88</w:t>
            </w:r>
          </w:p>
        </w:tc>
        <w:tc>
          <w:tcPr>
            <w:tcW w:w="3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FF0FC"/>
          </w:tcPr>
          <w:p>
            <w:pPr>
              <w:spacing w:after="0"/>
              <w:rPr>
                <w:sz w:val="14"/>
                <w:szCs w:val="14"/>
                <w:color w:val="auto"/>
              </w:rPr>
            </w:pPr>
          </w:p>
        </w:tc>
      </w:tr>
      <w:tr>
        <w:trPr>
          <w:trHeight w:val="162"/>
        </w:trPr>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2,101,058</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1,689,893</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2,446,640</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1,853,678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772,486</w:t>
            </w: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640,229</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740" w:type="dxa"/>
            <w:vAlign w:val="bottom"/>
            <w:gridSpan w:val="2"/>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79</w:t>
            </w:r>
          </w:p>
        </w:tc>
        <w:tc>
          <w:tcPr>
            <w:tcW w:w="38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(32 )</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r>
      <w:tr>
        <w:trPr>
          <w:trHeight w:val="162"/>
        </w:trPr>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2022</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2,528,609</w:t>
            </w:r>
          </w:p>
        </w:tc>
        <w:tc>
          <w:tcPr>
            <w:tcW w:w="3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268,643</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1,260,180</w:t>
            </w:r>
          </w:p>
        </w:tc>
        <w:tc>
          <w:tcPr>
            <w:tcW w:w="3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250,830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740" w:type="dxa"/>
            <w:vAlign w:val="bottom"/>
            <w:gridSpan w:val="2"/>
            <w:shd w:val="clear" w:color="auto" w:fill="CFF0FC"/>
          </w:tcPr>
          <w:p>
            <w:pPr>
              <w:jc w:val="right"/>
              <w:ind w:right="49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73</w:t>
            </w:r>
          </w:p>
        </w:tc>
        <w:tc>
          <w:tcPr>
            <w:tcW w:w="3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shd w:val="clear" w:color="auto" w:fill="CFF0FC"/>
          </w:tcPr>
          <w:p>
            <w:pPr>
              <w:spacing w:after="0"/>
              <w:rPr>
                <w:sz w:val="14"/>
                <w:szCs w:val="14"/>
                <w:color w:val="auto"/>
              </w:rPr>
            </w:pPr>
          </w:p>
        </w:tc>
      </w:tr>
    </w:tbl>
    <w:p>
      <w:pPr>
        <w:spacing w:after="0" w:line="94" w:lineRule="exact"/>
        <w:rPr>
          <w:sz w:val="20"/>
          <w:szCs w:val="20"/>
          <w:color w:val="auto"/>
        </w:rPr>
      </w:pPr>
    </w:p>
    <w:p>
      <w:pPr>
        <w:ind w:left="1020" w:right="320" w:hanging="503"/>
        <w:spacing w:after="0" w:line="298" w:lineRule="auto"/>
        <w:tabs>
          <w:tab w:leader="none" w:pos="10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PVP table reflects required disclosures for fiscal years 2022, 2023 and 2024. The following table reflects our Principal Executive Officer (PEO) and non-PEO NEOs in each of the fiscal years presented:</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6"/>
                <w:szCs w:val="16"/>
                <w:color w:val="auto"/>
              </w:rPr>
            </w:pPr>
          </w:p>
        </w:tc>
        <w:tc>
          <w:tcPr>
            <w:tcW w:w="24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6"/>
                <w:szCs w:val="16"/>
                <w:color w:val="auto"/>
              </w:rPr>
            </w:pPr>
          </w:p>
        </w:tc>
        <w:tc>
          <w:tcPr>
            <w:tcW w:w="53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69"/>
        </w:trPr>
        <w:tc>
          <w:tcPr>
            <w:tcW w:w="1100" w:type="dxa"/>
            <w:vAlign w:val="bottom"/>
            <w:tcBorders>
              <w:bottom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David M. Urso (Current)</w:t>
            </w:r>
          </w:p>
        </w:tc>
        <w:tc>
          <w:tcPr>
            <w:tcW w:w="80" w:type="dxa"/>
            <w:vAlign w:val="bottom"/>
            <w:tcBorders>
              <w:bottom w:val="single" w:sz="8" w:color="CFF0FC"/>
            </w:tcBorders>
            <w:shd w:val="clear" w:color="auto" w:fill="CFF0FC"/>
          </w:tcPr>
          <w:p>
            <w:pPr>
              <w:spacing w:after="0"/>
              <w:rPr>
                <w:sz w:val="14"/>
                <w:szCs w:val="14"/>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Justin J. File and Richard G. Ghalie</w:t>
            </w:r>
          </w:p>
        </w:tc>
        <w:tc>
          <w:tcPr>
            <w:tcW w:w="0" w:type="dxa"/>
            <w:vAlign w:val="bottom"/>
          </w:tcPr>
          <w:p>
            <w:pPr>
              <w:spacing w:after="0"/>
              <w:rPr>
                <w:sz w:val="1"/>
                <w:szCs w:val="1"/>
                <w:color w:val="auto"/>
              </w:rPr>
            </w:pPr>
          </w:p>
        </w:tc>
      </w:tr>
      <w:tr>
        <w:trPr>
          <w:trHeight w:val="133"/>
        </w:trPr>
        <w:tc>
          <w:tcPr>
            <w:tcW w:w="1100" w:type="dxa"/>
            <w:vAlign w:val="bottom"/>
          </w:tcPr>
          <w:p>
            <w:pPr>
              <w:jc w:val="right"/>
              <w:ind w:right="728"/>
              <w:spacing w:after="0" w:line="133" w:lineRule="exact"/>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1"/>
                <w:szCs w:val="11"/>
                <w:color w:val="auto"/>
              </w:rPr>
            </w:pPr>
          </w:p>
        </w:tc>
        <w:tc>
          <w:tcPr>
            <w:tcW w:w="24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David M. Urso (Current)</w:t>
            </w:r>
          </w:p>
        </w:tc>
        <w:tc>
          <w:tcPr>
            <w:tcW w:w="80" w:type="dxa"/>
            <w:vAlign w:val="bottom"/>
          </w:tcPr>
          <w:p>
            <w:pPr>
              <w:spacing w:after="0"/>
              <w:rPr>
                <w:sz w:val="11"/>
                <w:szCs w:val="11"/>
                <w:color w:val="auto"/>
              </w:rPr>
            </w:pPr>
          </w:p>
        </w:tc>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Brian G. Drazba and Richard G. Ghalie</w:t>
            </w:r>
          </w:p>
        </w:tc>
        <w:tc>
          <w:tcPr>
            <w:tcW w:w="0" w:type="dxa"/>
            <w:vAlign w:val="bottom"/>
          </w:tcPr>
          <w:p>
            <w:pPr>
              <w:spacing w:after="0"/>
              <w:rPr>
                <w:sz w:val="1"/>
                <w:szCs w:val="1"/>
                <w:color w:val="auto"/>
              </w:rPr>
            </w:pPr>
          </w:p>
        </w:tc>
      </w:tr>
      <w:tr>
        <w:trPr>
          <w:trHeight w:val="185"/>
        </w:trPr>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Daniel P. Gold (Former)</w:t>
            </w:r>
          </w:p>
        </w:tc>
        <w:tc>
          <w:tcPr>
            <w:tcW w:w="80" w:type="dxa"/>
            <w:vAlign w:val="bottom"/>
          </w:tcPr>
          <w:p>
            <w:pPr>
              <w:spacing w:after="0"/>
              <w:rPr>
                <w:sz w:val="16"/>
                <w:szCs w:val="16"/>
                <w:color w:val="auto"/>
              </w:rPr>
            </w:pPr>
          </w:p>
        </w:tc>
        <w:tc>
          <w:tcPr>
            <w:tcW w:w="5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00" w:type="dxa"/>
            <w:vAlign w:val="bottom"/>
            <w:tcBorders>
              <w:bottom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Daniel P. Gold</w:t>
            </w:r>
          </w:p>
        </w:tc>
        <w:tc>
          <w:tcPr>
            <w:tcW w:w="80" w:type="dxa"/>
            <w:vAlign w:val="bottom"/>
            <w:tcBorders>
              <w:bottom w:val="single" w:sz="8" w:color="CFF0FC"/>
            </w:tcBorders>
            <w:shd w:val="clear" w:color="auto" w:fill="CFF0FC"/>
          </w:tcPr>
          <w:p>
            <w:pPr>
              <w:spacing w:after="0"/>
              <w:rPr>
                <w:sz w:val="14"/>
                <w:szCs w:val="14"/>
                <w:color w:val="auto"/>
              </w:rPr>
            </w:pPr>
          </w:p>
        </w:tc>
        <w:tc>
          <w:tcPr>
            <w:tcW w:w="5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Brian G. Drazba, Richard G. Ghalie and David M. Urso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-342265</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-342265</wp:posOffset>
            </wp:positionV>
            <wp:extent cx="514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-7620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1020" w:right="240" w:hanging="503"/>
        <w:spacing w:after="0" w:line="298" w:lineRule="auto"/>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shown for CAP have been calculated in accordance with Item 402(v) of Regulation S-K and do not reflect compensation earned, realized, or received by our NEOs. These amounts reflect the Summary Compensation Table Total with certain adjustments as described in footnote 3 below.</w:t>
      </w:r>
    </w:p>
    <w:p>
      <w:pPr>
        <w:spacing w:after="0" w:line="56" w:lineRule="exact"/>
        <w:rPr>
          <w:rFonts w:ascii="Times New Roman" w:cs="Times New Roman" w:eastAsia="Times New Roman" w:hAnsi="Times New Roman"/>
          <w:sz w:val="16"/>
          <w:szCs w:val="16"/>
          <w:color w:val="auto"/>
        </w:rPr>
      </w:pPr>
    </w:p>
    <w:p>
      <w:pPr>
        <w:ind w:left="1020" w:right="40" w:hanging="503"/>
        <w:spacing w:after="0" w:line="275" w:lineRule="auto"/>
        <w:tabs>
          <w:tab w:leader="none" w:pos="10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Actually Paid (CAP) is calculated by taking Summary Compensation Table total compensation: a) less the stock award and stock option grant values; b) plus the year over year change in the fair value of stock and option awards that are unvested as of the end of the year, or that vested, or were forfeited during the year. We have not paid dividends historically and does not sponsor any pension arrangements; thus, no adjustments are made for those items. Reconciliation of the Summary Compensation Table total compensation and CAP is summarized in the following table: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Current PEO (Urso)(i)</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r>
      <w:tr>
        <w:trPr>
          <w:trHeight w:val="156"/>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SCT Total</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1,744,152</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2,101,058</w:t>
            </w:r>
          </w:p>
        </w:tc>
        <w:tc>
          <w:tcPr>
            <w:tcW w:w="100" w:type="dxa"/>
            <w:vAlign w:val="bottom"/>
          </w:tcPr>
          <w:p>
            <w:pPr>
              <w:spacing w:after="0"/>
              <w:rPr>
                <w:sz w:val="13"/>
                <w:szCs w:val="13"/>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894,905</w:t>
            </w:r>
          </w:p>
        </w:tc>
        <w:tc>
          <w:tcPr>
            <w:tcW w:w="80" w:type="dxa"/>
            <w:vAlign w:val="bottom"/>
          </w:tcPr>
          <w:p>
            <w:pPr>
              <w:spacing w:after="0"/>
              <w:rPr>
                <w:sz w:val="13"/>
                <w:szCs w:val="13"/>
                <w:color w:val="auto"/>
              </w:rPr>
            </w:pP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(1,078,500 )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(1,352,600 )</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1,064,015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(508,767 )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(70,339 )</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(501,428 )</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(127,938 )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(52,241 )</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(159,908 )</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Compensation Actually Paid</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196,227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1,689,893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233,569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49"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Former PEO (Gold)(i)</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r>
      <w:tr>
        <w:trPr>
          <w:trHeight w:val="15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SCT Total</w:t>
            </w:r>
          </w:p>
        </w:tc>
        <w:tc>
          <w:tcPr>
            <w:tcW w:w="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2,528,609</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2,446,640</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(1,536,800 )</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(584,700 )</w:t>
            </w:r>
          </w:p>
        </w:tc>
        <w:tc>
          <w:tcPr>
            <w:tcW w:w="2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238,374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(747,241 )</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188,782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(214,299 )</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(129,123 )</w:t>
            </w:r>
          </w:p>
        </w:tc>
        <w:tc>
          <w:tcPr>
            <w:tcW w:w="200" w:type="dxa"/>
            <w:vAlign w:val="bottom"/>
          </w:tcPr>
          <w:p>
            <w:pPr>
              <w:spacing w:after="0"/>
              <w:rPr>
                <w:sz w:val="14"/>
                <w:szCs w:val="14"/>
                <w:color w:val="auto"/>
              </w:rPr>
            </w:pP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(67,921 )</w:t>
            </w:r>
          </w:p>
        </w:tc>
        <w:tc>
          <w:tcPr>
            <w:tcW w:w="2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Compensation Actually Paid</w:t>
            </w: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268,643</w:t>
            </w: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1,853,678</w:t>
            </w:r>
          </w:p>
        </w:tc>
        <w:tc>
          <w:tcPr>
            <w:tcW w:w="100" w:type="dxa"/>
            <w:vAlign w:val="bottom"/>
            <w:tcBorders>
              <w:top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CFF0FC"/>
            </w:tcBorders>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-136525</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-136525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9" w:lineRule="exact"/>
        <w:rPr>
          <w:sz w:val="20"/>
          <w:szCs w:val="20"/>
          <w:color w:val="auto"/>
        </w:rPr>
      </w:pPr>
    </w:p>
    <w:tbl>
      <w:tblPr>
        <w:tblLayout w:type="fixed"/>
        <w:tblInd w:w="96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Average Non-PEO (Gold)(i)</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3"/>
                <w:szCs w:val="13"/>
                <w:color w:val="auto"/>
              </w:rPr>
            </w:pPr>
          </w:p>
        </w:tc>
      </w:tr>
      <w:tr>
        <w:trPr>
          <w:trHeight w:val="155"/>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SCT Total</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1,260,180</w:t>
            </w:r>
          </w:p>
        </w:tc>
        <w:tc>
          <w:tcPr>
            <w:tcW w:w="10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772,486</w:t>
            </w:r>
          </w:p>
        </w:tc>
        <w:tc>
          <w:tcPr>
            <w:tcW w:w="100" w:type="dxa"/>
            <w:vAlign w:val="bottom"/>
          </w:tcPr>
          <w:p>
            <w:pPr>
              <w:spacing w:after="0"/>
              <w:rPr>
                <w:sz w:val="13"/>
                <w:szCs w:val="13"/>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730,912</w:t>
            </w:r>
          </w:p>
        </w:tc>
        <w:tc>
          <w:tcPr>
            <w:tcW w:w="80" w:type="dxa"/>
            <w:vAlign w:val="bottom"/>
          </w:tcPr>
          <w:p>
            <w:pPr>
              <w:spacing w:after="0"/>
              <w:rPr>
                <w:sz w:val="13"/>
                <w:szCs w:val="13"/>
                <w:color w:val="auto"/>
              </w:rPr>
            </w:pP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 and Option Award Values Reported in SCT for the Covered Year</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(671,067 )</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(177,850 )</w:t>
            </w:r>
          </w:p>
        </w:tc>
        <w:tc>
          <w:tcPr>
            <w:tcW w:w="2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(79,900 )</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Fair Value of Outstanding Unvested Stock and Option Awards Granted in the Covered Year</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104,085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43,649</w:t>
            </w:r>
          </w:p>
        </w:tc>
        <w:tc>
          <w:tcPr>
            <w:tcW w:w="80" w:type="dxa"/>
            <w:vAlign w:val="bottom"/>
          </w:tcPr>
          <w:p>
            <w:pPr>
              <w:spacing w:after="0"/>
              <w:rPr>
                <w:sz w:val="14"/>
                <w:szCs w:val="14"/>
                <w:color w:val="auto"/>
              </w:rPr>
            </w:pP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Change in Fair Value of Outstanding Unvested Stock and Option Awards from Prior Years</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(349,416 )</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(31,805 )</w:t>
            </w:r>
          </w:p>
        </w:tc>
        <w:tc>
          <w:tcPr>
            <w:tcW w:w="2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(100,239 )</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Fair Value of Stock and Option Awards Granted in Covered Year that Vested</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6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Change in Fair Value of Stock and Option Awards from Prior Years that Vested in Covered Year</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(92,952 )</w:t>
            </w:r>
          </w:p>
        </w:tc>
        <w:tc>
          <w:tcPr>
            <w:tcW w:w="1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(24,282 )</w:t>
            </w:r>
          </w:p>
        </w:tc>
        <w:tc>
          <w:tcPr>
            <w:tcW w:w="2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(30,933 )</w:t>
            </w:r>
          </w:p>
        </w:tc>
      </w:tr>
      <w:tr>
        <w:trPr>
          <w:trHeight w:val="162"/>
        </w:trPr>
        <w:tc>
          <w:tcPr>
            <w:tcW w:w="66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Fair Value of Stock and Option Awards Forfeited during the Covered Year</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95"/>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Compensation Actually Paid</w:t>
            </w: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250,830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640,229</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563,489</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-25400</wp:posOffset>
            </wp:positionV>
            <wp:extent cx="514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-8255</wp:posOffset>
            </wp:positionV>
            <wp:extent cx="514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1" w:lineRule="exact"/>
        <w:rPr>
          <w:sz w:val="20"/>
          <w:szCs w:val="20"/>
          <w:color w:val="auto"/>
        </w:rPr>
      </w:pPr>
    </w:p>
    <w:p>
      <w:pPr>
        <w:ind w:left="1140" w:hanging="160"/>
        <w:spacing w:after="0"/>
        <w:tabs>
          <w:tab w:leader="none" w:pos="114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value of options awards used to calculate CAP was determined using the Black-Scholes option pricing model, in accordance with FASB 718</w:t>
      </w:r>
    </w:p>
    <w:p>
      <w:pPr>
        <w:spacing w:after="0" w:line="313" w:lineRule="exact"/>
        <w:rPr>
          <w:rFonts w:ascii="Times New Roman" w:cs="Times New Roman" w:eastAsia="Times New Roman" w:hAnsi="Times New Roman"/>
          <w:sz w:val="13"/>
          <w:szCs w:val="13"/>
          <w:color w:val="auto"/>
        </w:rPr>
      </w:pPr>
    </w:p>
    <w:p>
      <w:pPr>
        <w:ind w:left="1020" w:right="40" w:hanging="503"/>
        <w:spacing w:after="0" w:line="272"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Peer Group TSR set forth in this table utilizes the Nasdaq Biotechnology Index, which we also utilized in the stock performance graph required by Item 201(e) of Regulation S-K included in our Annual Report for the fiscal year ended June 30, 2019. As a SRC, we do not have to provide, and have not provided, this stock performance graph in subsequent annual reports. The comparison assumes $100 was invested for the period starting June 30, 2021, through the end of the listed year in us and in the Nasdaq Biotechnology Index, respectively. Historical stock performance is not necessarily indicative of future stock performance.</w:t>
      </w:r>
    </w:p>
    <w:p>
      <w:pPr>
        <w:spacing w:after="0" w:line="77" w:lineRule="exact"/>
        <w:rPr>
          <w:rFonts w:ascii="Times New Roman" w:cs="Times New Roman" w:eastAsia="Times New Roman" w:hAnsi="Times New Roman"/>
          <w:sz w:val="16"/>
          <w:szCs w:val="16"/>
          <w:color w:val="auto"/>
        </w:rPr>
      </w:pPr>
    </w:p>
    <w:p>
      <w:pPr>
        <w:ind w:left="1020" w:right="20" w:hanging="503"/>
        <w:spacing w:after="0" w:line="298" w:lineRule="auto"/>
        <w:tabs>
          <w:tab w:leader="none" w:pos="10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determined Total Cash to be the most important financial performance measure used to link our performance to CAP to our PEO and Non-PEO NEOs in 2024. Total Cash is defined as total cash, cash equivalents and short-term investments.</w:t>
      </w:r>
    </w:p>
    <w:p>
      <w:pPr>
        <w:spacing w:after="0" w:line="156"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Relationship between CAP and TSR</w:t>
      </w:r>
      <w:r>
        <w:rPr>
          <w:rFonts w:ascii="Times New Roman" w:cs="Times New Roman" w:eastAsia="Times New Roman" w:hAnsi="Times New Roman"/>
          <w:sz w:val="18"/>
          <w:szCs w:val="18"/>
          <w:color w:val="auto"/>
        </w:rPr>
        <w:t>. The chart below reflects the relationship between the PEO and average non-PEO NEO CAP versus our TSR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43815</wp:posOffset>
            </wp:positionV>
            <wp:extent cx="4509135" cy="24085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09135" cy="240855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Relationship between CAP and GAAP Net Income (Loss)</w:t>
      </w:r>
      <w:r>
        <w:rPr>
          <w:rFonts w:ascii="Times New Roman" w:cs="Times New Roman" w:eastAsia="Times New Roman" w:hAnsi="Times New Roman"/>
          <w:sz w:val="18"/>
          <w:szCs w:val="18"/>
          <w:color w:val="auto"/>
        </w:rPr>
        <w:t>. The chart below reflects the relationship between the PEO and average non-PEO NEO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 and our GAAP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43815</wp:posOffset>
            </wp:positionV>
            <wp:extent cx="4509135" cy="24085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0913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Relationship between CAP and Total Cash (our Selected Measure). </w:t>
      </w:r>
      <w:r>
        <w:rPr>
          <w:rFonts w:ascii="Times New Roman" w:cs="Times New Roman" w:eastAsia="Times New Roman" w:hAnsi="Times New Roman"/>
          <w:sz w:val="18"/>
          <w:szCs w:val="18"/>
          <w:color w:val="auto"/>
        </w:rPr>
        <w:t>The chart below reflects the relationship between the PEO CAP and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non-PEO NEO CAP and our Total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43815</wp:posOffset>
            </wp:positionV>
            <wp:extent cx="4509135" cy="24085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50913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the fees paid to our non-executive directors who served on the Board for the fiscal year ended June 30, 2024.</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OptionAwards($)(2)</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Cash ($) (1)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5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V. Baltic III (3)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96,433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Frederick W. Driscoll (4)</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65,600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Nicholas R. Glover, Ph.D. (5)</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71,183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Thomas C. Reynolds, M.D., Ph.D. (6)</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63,683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 P. Gold (7)</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Tamar D. Howson (8)</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19,367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Sujay R. Kango (9)</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Taheer Datoo (10)</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68,060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68,060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Flynn (11)</w:t>
            </w: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77,000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Steven Wood (12)</w:t>
            </w: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35,400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77,000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112,400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0" w:right="40" w:hanging="479"/>
        <w:spacing w:after="0" w:line="271" w:lineRule="auto"/>
        <w:tabs>
          <w:tab w:leader="none" w:pos="1007"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fiscal year ended June 30, 2024, each of our non-executive directors received an annual cash retainer of $45,600. In addition to the annual cash retainer, the chair received additional annual compensation of $35,000, and each Board Committee chair received additional compensation as follows: Audit Committee: $20,000; Compensation Committee: $15,000; Nominating and Governance Committee: $10,000; and Strategic Committee: $10,000. Committee members not receiving compensation as a committee chairperson received additional compensation as follows: Audit Committee: $10,000; Compensation Committee: $7,500; Nominating and Governance Committee: $5,000; and Strategic Committee: $7,000. Such amounts are pro-rated for periods of service less than the full fiscal year.</w:t>
      </w:r>
    </w:p>
    <w:p>
      <w:pPr>
        <w:spacing w:after="0" w:line="76" w:lineRule="exact"/>
        <w:rPr>
          <w:rFonts w:ascii="Times New Roman" w:cs="Times New Roman" w:eastAsia="Times New Roman" w:hAnsi="Times New Roman"/>
          <w:sz w:val="16"/>
          <w:szCs w:val="16"/>
          <w:color w:val="auto"/>
        </w:rPr>
      </w:pPr>
    </w:p>
    <w:p>
      <w:pPr>
        <w:ind w:left="1020" w:hanging="503"/>
        <w:spacing w:after="0" w:line="268"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grant date fair value of options granted in accordance with FASB ASC Topic 718. All stock options granted to non-employee directors in the fiscal year ended June 30, 2024, were granted under our 2008 Equity Plan, and are ten-year options with an exercise price equal to the closing market price of our common stock on the date of grant. During the fiscal year ended June 30, 2024, Mr. Baltic, Mr. Driscoll, Dr. Glover, Mr. Gold, Ms. Howson, Mr. Kango, and Dr. Reynolds all received an annual grant of 10,000 options at an exercise price of $7.01 per share that vest ratably each month over 12 months, subject to continued service on the Board. Upon joining the Board during the fiscal year ended June 30, 2024, Mr. Flynn and Mr. Wood each received a prorated annual grant of 6,700 options as well as a new director grant of 10,000 options, both at an exercise price of $7.01 per share. The annual grant vests ratably each month over seven months and the new director grant vests ratably each month over three years, subject to continued service on the Board. Mr. Datoo does not receive options, but instead receives in cash the vested portion of the grant date fair value of those options that would have been granted in accordance with FASB ASC Topic 718 (see note 10 below).</w:t>
      </w:r>
    </w:p>
    <w:p>
      <w:pPr>
        <w:spacing w:after="0" w:line="81" w:lineRule="exact"/>
        <w:rPr>
          <w:rFonts w:ascii="Times New Roman" w:cs="Times New Roman" w:eastAsia="Times New Roman" w:hAnsi="Times New Roman"/>
          <w:sz w:val="16"/>
          <w:szCs w:val="16"/>
          <w:color w:val="auto"/>
        </w:rPr>
      </w:pPr>
    </w:p>
    <w:p>
      <w:pPr>
        <w:ind w:left="1020" w:right="140" w:hanging="503"/>
        <w:spacing w:after="0" w:line="281"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Baltic received cash compensation of $80,600 in connection with his service as chair of the board and $10,000 in connection with his service on the Audit Committee, $5,000 in connection with his service on the Nominating and Governance Committee and $833 in connection with his service as chair of the Strategic Committee. Mr. Baltic resigned from the board effective July 22, 2024.</w:t>
      </w:r>
    </w:p>
    <w:p>
      <w:pPr>
        <w:spacing w:after="0" w:line="69" w:lineRule="exact"/>
        <w:rPr>
          <w:rFonts w:ascii="Times New Roman" w:cs="Times New Roman" w:eastAsia="Times New Roman" w:hAnsi="Times New Roman"/>
          <w:sz w:val="16"/>
          <w:szCs w:val="16"/>
          <w:color w:val="auto"/>
        </w:rPr>
      </w:pPr>
    </w:p>
    <w:p>
      <w:pPr>
        <w:ind w:left="1020" w:right="200" w:hanging="503"/>
        <w:spacing w:after="0" w:line="298"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Driscoll received cash compensation of $45,000 in connection with his service on the Board and $20,000 in connection with his service as the chair of the Audit Committee.</w:t>
      </w:r>
    </w:p>
    <w:p>
      <w:pPr>
        <w:spacing w:after="0" w:line="56" w:lineRule="exact"/>
        <w:rPr>
          <w:rFonts w:ascii="Times New Roman" w:cs="Times New Roman" w:eastAsia="Times New Roman" w:hAnsi="Times New Roman"/>
          <w:sz w:val="16"/>
          <w:szCs w:val="16"/>
          <w:color w:val="auto"/>
        </w:rPr>
      </w:pPr>
    </w:p>
    <w:p>
      <w:pPr>
        <w:ind w:left="1020" w:right="540" w:hanging="503"/>
        <w:spacing w:after="0" w:line="281"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Glover received cash compensation of $45,600 in connection with his service on the Board, $15,000 in connection with his service as chair of the Compensation Committee, $10,000 in connection with his service on the Audit Committee and $583 in connection with his service on the Strategic Committee.</w:t>
      </w:r>
    </w:p>
    <w:p>
      <w:pPr>
        <w:spacing w:after="0" w:line="69" w:lineRule="exact"/>
        <w:rPr>
          <w:rFonts w:ascii="Times New Roman" w:cs="Times New Roman" w:eastAsia="Times New Roman" w:hAnsi="Times New Roman"/>
          <w:sz w:val="16"/>
          <w:szCs w:val="16"/>
          <w:color w:val="auto"/>
        </w:rPr>
      </w:pPr>
    </w:p>
    <w:p>
      <w:pPr>
        <w:ind w:left="1020" w:right="200" w:hanging="503"/>
        <w:spacing w:after="0" w:line="281"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Reynolds received cash compensation of $45,600 in connection with his service on the Board, $7,500 in connection with his service on the Compensation Committee, $10,000 in connection with his service as chair of the Nominating and Governance Committee and $583 in connection with his service on the Strategic Committee.</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Gold received cash compensation of $15,200 in connection with his service on the Board. Mr. Gold resigned from the Board effective October 31, 2023.</w:t>
      </w:r>
    </w:p>
    <w:p>
      <w:pPr>
        <w:spacing w:after="0" w:line="126" w:lineRule="exact"/>
        <w:rPr>
          <w:rFonts w:ascii="Times New Roman" w:cs="Times New Roman" w:eastAsia="Times New Roman" w:hAnsi="Times New Roman"/>
          <w:sz w:val="16"/>
          <w:szCs w:val="16"/>
          <w:color w:val="auto"/>
        </w:rPr>
      </w:pPr>
    </w:p>
    <w:p>
      <w:pPr>
        <w:jc w:val="both"/>
        <w:ind w:left="1020" w:right="180" w:hanging="503"/>
        <w:spacing w:after="0" w:line="281"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Howson received cash compensation of $15,200 in connection with her service on the board of directors, $2,500 in connection with her service on the Compensation Committee and $1,667 in connection with her service on the Nominating and Governance committee. Ms. Howson resigned from the board effective October 31, 2023.</w:t>
      </w:r>
    </w:p>
    <w:p>
      <w:pPr>
        <w:spacing w:after="0" w:line="69" w:lineRule="exact"/>
        <w:rPr>
          <w:rFonts w:ascii="Times New Roman" w:cs="Times New Roman" w:eastAsia="Times New Roman" w:hAnsi="Times New Roman"/>
          <w:sz w:val="16"/>
          <w:szCs w:val="16"/>
          <w:color w:val="auto"/>
        </w:rPr>
      </w:pPr>
    </w:p>
    <w:p>
      <w:pPr>
        <w:jc w:val="both"/>
        <w:ind w:left="1020" w:right="320" w:hanging="503"/>
        <w:spacing w:after="0" w:line="281"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Kango received cash compensation of $15,200 in connection with his service on the board of directors, $2,500 in connection with his service on the Compensation Committee and $1,667 in connection with his service on the Nominating and Governance committee. Mr. Kango resigned from the board effective October 31, 2023.</w:t>
      </w:r>
    </w:p>
    <w:p>
      <w:pPr>
        <w:spacing w:after="0" w:line="69" w:lineRule="exact"/>
        <w:rPr>
          <w:rFonts w:ascii="Times New Roman" w:cs="Times New Roman" w:eastAsia="Times New Roman" w:hAnsi="Times New Roman"/>
          <w:sz w:val="16"/>
          <w:szCs w:val="16"/>
          <w:color w:val="auto"/>
        </w:rPr>
      </w:pPr>
    </w:p>
    <w:p>
      <w:pPr>
        <w:jc w:val="both"/>
        <w:ind w:left="1020" w:right="120" w:hanging="503"/>
        <w:spacing w:after="0" w:line="281"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Datoo received cash compensation of $30,400 in connection with his service on the board of directors and $3,333 in connection with his service on the Nominating and Governance committee, both of which commenced October 31, 2023. Mr. Datoo also received $34,327 as the cash equivalent of the vested grant date fair value of options granted in accordance with FASB ASC Topic 718.</w:t>
      </w:r>
    </w:p>
    <w:p>
      <w:pPr>
        <w:spacing w:after="0" w:line="69"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Flynn received cash compensation of $30,400 in connection with his service on the board of directors and $6,666 in connection with his service on the Audit Committee, both of which commenced October 31, 2023.</w:t>
      </w:r>
    </w:p>
    <w:p>
      <w:pPr>
        <w:spacing w:after="0" w:line="56"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Wood received cash compensation of $30,400 in connection with his service on the board of directors and $5,000 in connection with his service on the Compensation Committee, both of which commenced October 31,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directors and executive officers. Subject to certain exceptions, the indemnification agreements provide that an indemnitee will be indemnified for all expenses incurred or paid by the indemnitee in connection with a proceeding to which the indemnitee was or is a party, or is threatened to be made a party, by reason of the indemnitee’s status with or service to us or to another entity at our request. In connection with proceedings other than those by or in the right of our company and to which the indemnitee was or is a party, or is threatened to be made a party, by reason of the indemnitee’s status with or service to us or to another entity at our request, the indemnification agreements provide that an indemnitee will also be indemnified for all liabilities incurred or paid by the indemnitee. The indemnification agreements also provide for advancement of expenses incurred by an indemnitee in connection with an indemnifiable claim, subject to reimbursement in certain circumstances.</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rights of each indemnitee are in addition to any other rights provided for under our amended and restated certificate of incorporation, and our amended and restated by-laws, as may be amended from time to time, and under Delaware law.</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shares of our common stock as of September 13, 2024 (except as otherwise indicated below) by (i) each person known to beneficially own more than 5% of our common stock, (ii) each of our named executive officers and directors, and (iii) our officers and directors as a group. Beneficial ownership is determined in accordance with the rules and regulations of the SEC. In computing the number of shares beneficially owned by a person and the percentage ownership of that person, shares of common stock subject to options, warrants or restricted stock units, exercisable or convertible on or within sixty (60) days of September 13, 2024, are deemed outstanding. Such shares, however, are not deemed outstanding for the purposes of computing the percentage ownership of any other person. The percentage of beneficial ownership described below is based on 6,662,857 shares of common stock outstanding, plus adjustments to the number of shares of common stock outstanding as described above, as of September 13, 2024.</w:t>
      </w:r>
    </w:p>
    <w:p>
      <w:pPr>
        <w:spacing w:after="0" w:line="7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 &amp; Nature of Beneficial</w:t>
            </w:r>
          </w:p>
        </w:tc>
        <w:tc>
          <w:tcPr>
            <w:tcW w:w="24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Shares Beneficially</w:t>
            </w:r>
          </w:p>
        </w:tc>
        <w:tc>
          <w:tcPr>
            <w:tcW w:w="540" w:type="dxa"/>
            <w:vAlign w:val="bottom"/>
          </w:tcPr>
          <w:p>
            <w:pPr>
              <w:spacing w:after="0"/>
              <w:rPr>
                <w:sz w:val="13"/>
                <w:szCs w:val="13"/>
                <w:color w:val="auto"/>
              </w:rPr>
            </w:pPr>
          </w:p>
        </w:tc>
      </w:tr>
      <w:tr>
        <w:trPr>
          <w:trHeight w:val="187"/>
        </w:trPr>
        <w:tc>
          <w:tcPr>
            <w:tcW w:w="552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1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240" w:type="dxa"/>
            <w:vAlign w:val="bottom"/>
          </w:tcPr>
          <w:p>
            <w:pPr>
              <w:spacing w:after="0"/>
              <w:rPr>
                <w:sz w:val="16"/>
                <w:szCs w:val="16"/>
                <w:color w:val="auto"/>
              </w:rPr>
            </w:pPr>
          </w:p>
        </w:tc>
        <w:tc>
          <w:tcPr>
            <w:tcW w:w="214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40" w:type="dxa"/>
            <w:vAlign w:val="bottom"/>
          </w:tcPr>
          <w:p>
            <w:pPr>
              <w:spacing w:after="0"/>
              <w:rPr>
                <w:sz w:val="16"/>
                <w:szCs w:val="16"/>
                <w:color w:val="auto"/>
              </w:rPr>
            </w:pPr>
          </w:p>
        </w:tc>
      </w:tr>
      <w:tr>
        <w:trPr>
          <w:trHeight w:val="169"/>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Anson Funds Management LP (1)</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1,093,188</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5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Cable Car Capital LLC (2)</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611,440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Vanguard Group (3)</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389,807</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5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Justin J. File (4)</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18,878</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5"/>
                <w:szCs w:val="15"/>
                <w:color w:val="auto"/>
              </w:rPr>
            </w:pPr>
          </w:p>
        </w:tc>
      </w:tr>
      <w:tr>
        <w:trPr>
          <w:trHeight w:val="17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Frederick W. Driscoll (5)</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26,916</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r>
      <w:tr>
        <w:trPr>
          <w:trHeight w:val="17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Nicholas R. Glover, Ph.D. (6)</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28,375</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5"/>
                <w:szCs w:val="15"/>
                <w:color w:val="auto"/>
              </w:rPr>
            </w:pPr>
          </w:p>
        </w:tc>
      </w:tr>
      <w:tr>
        <w:trPr>
          <w:trHeight w:val="17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Thomas C. Reynolds, M.D., Ph.D. (7)</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28,875</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r>
      <w:tr>
        <w:trPr>
          <w:trHeight w:val="17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Taheer Datoo (8)</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spacing w:after="0"/>
              <w:rPr>
                <w:sz w:val="15"/>
                <w:szCs w:val="15"/>
                <w:color w:val="auto"/>
              </w:rPr>
            </w:pPr>
          </w:p>
        </w:tc>
      </w:tr>
      <w:tr>
        <w:trPr>
          <w:trHeight w:val="176"/>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Flynn (9)</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17,378</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r>
      <w:tr>
        <w:trPr>
          <w:trHeight w:val="175"/>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Steven Wood (10)</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86,570</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54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All Current Directors and Executive Officers as a Group (7 People)</w:t>
            </w:r>
          </w:p>
        </w:tc>
        <w:tc>
          <w:tcPr>
            <w:tcW w:w="2120" w:type="dxa"/>
            <w:vAlign w:val="bottom"/>
          </w:tcPr>
          <w:p>
            <w:pPr>
              <w:spacing w:after="0"/>
              <w:rPr>
                <w:sz w:val="16"/>
                <w:szCs w:val="16"/>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5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r>
    </w:tbl>
    <w:p>
      <w:pPr>
        <w:spacing w:after="0" w:line="295" w:lineRule="exact"/>
        <w:rPr>
          <w:sz w:val="20"/>
          <w:szCs w:val="20"/>
          <w:color w:val="auto"/>
        </w:rPr>
      </w:pPr>
    </w:p>
    <w:p>
      <w:pPr>
        <w:ind w:left="1020" w:right="160" w:hanging="503"/>
        <w:spacing w:after="0" w:line="272"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Amendment No. 8 to the Statement on Schedule 13D filed by Anson Investments Master Fund LP, AIMF GP LLC, Anson East Master Fund LP, AEMF GP LLC, Anson Opportunities Master Fund LP, AOMF GP, LLC, Anson Funds Management LP, Anson Management GP LLC, Bruce R. Winson, Anson Advisors Inc., Amin Nathoo and Moez Kassam on November 1, 2023, shares beneficially owned consists of 1,093,188 shares of common stock held directly, with respect to which they have shared voting and dispositive power. The shares are held of record by Anson Funds Management LP. The principal address is 16000 Dallas Parkway, Suite 800, Dallas, Texas 75248.</w:t>
      </w:r>
    </w:p>
    <w:p>
      <w:pPr>
        <w:spacing w:after="0" w:line="77" w:lineRule="exact"/>
        <w:rPr>
          <w:rFonts w:ascii="Times New Roman" w:cs="Times New Roman" w:eastAsia="Times New Roman" w:hAnsi="Times New Roman"/>
          <w:sz w:val="16"/>
          <w:szCs w:val="16"/>
          <w:color w:val="auto"/>
        </w:rPr>
      </w:pPr>
    </w:p>
    <w:p>
      <w:pPr>
        <w:ind w:left="1020" w:right="60" w:hanging="503"/>
        <w:spacing w:after="0" w:line="275"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Amendment No. 8 to the Statement on Schedule 13D filed by Funicular Funds, LP, Cable Car Capital LLC and Jacob Ma-Weaver on November 1, 2023, shares beneficially owned consists of 611,440 shares of common stock held directly, with respect to which they have sole voting and dispositive power. The shares are held of record by Cable Car Capital LLC. The principal address is 601 California Street, Suite 1151, San Francisco, California 94108.</w:t>
      </w:r>
    </w:p>
    <w:p>
      <w:pPr>
        <w:spacing w:after="0" w:line="74"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the Statement on Schedule 13G/A filed by the stockholder on February 13, 2024, aggregate shares beneficially owned are 389,807, including 388,006 shares where the stockholder has sole dispositive power and 1,801 shares where the stockholder has shared dispositive power. The principal address is 100 Vanguard Blvd., Malvern, Pennsylvania 19355</w:t>
      </w:r>
    </w:p>
    <w:p>
      <w:pPr>
        <w:spacing w:after="0" w:line="69" w:lineRule="exact"/>
        <w:rPr>
          <w:rFonts w:ascii="Times New Roman" w:cs="Times New Roman" w:eastAsia="Times New Roman" w:hAnsi="Times New Roman"/>
          <w:sz w:val="16"/>
          <w:szCs w:val="16"/>
          <w:color w:val="auto"/>
        </w:rPr>
      </w:pPr>
    </w:p>
    <w:p>
      <w:pPr>
        <w:ind w:left="1020" w:right="20" w:hanging="503"/>
        <w:spacing w:after="0" w:line="281"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18,878 shares issuable to Mr. File upon the exercise of vested stock options that are exercisable within 60 days of September 13, 2024. Mr. File exercises sole voting and investment control with respect to the shares. Mr. File's business address is c/o MEI Pharma,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jc w:val="both"/>
        <w:ind w:left="1020" w:right="360" w:hanging="503"/>
        <w:spacing w:after="0" w:line="281"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25,041 shares issuable to Mr. Driscoll upon the exercise of stock options that are exercisable within 60 days of September 13, 2024, and 1,875 shares of common stock. Mr. Driscoll exercises sole voting and investment control with respect to the shares. Mr. Driscoll’s business address is c/o MEI Pharma,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ind w:left="1020" w:right="340" w:hanging="503"/>
        <w:spacing w:after="0" w:line="298"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28,375 shares issuable to Dr. Glover upon the exercise of stock options that are exercisable within 60 days of September 13, 2024. Dr. Glover’s business address is c/o MEI Pharma, Inc., 9920 Pacific Heights Blvd., Suite 150, San Diego, California, 92121.</w:t>
      </w:r>
    </w:p>
    <w:p>
      <w:pPr>
        <w:spacing w:after="0" w:line="56" w:lineRule="exact"/>
        <w:rPr>
          <w:rFonts w:ascii="Times New Roman" w:cs="Times New Roman" w:eastAsia="Times New Roman" w:hAnsi="Times New Roman"/>
          <w:sz w:val="16"/>
          <w:szCs w:val="16"/>
          <w:color w:val="auto"/>
        </w:rPr>
      </w:pPr>
    </w:p>
    <w:p>
      <w:pPr>
        <w:ind w:left="1020" w:right="20" w:hanging="503"/>
        <w:spacing w:after="0" w:line="281"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28,375 shares issuable to Dr. Reynolds upon the exercise of stock options that are exercisable within 60 days of September 13, 2024, and 500 shares of common stock. Dr. Reynolds exercises sole voting and investment control with respect to the shares. Dr. Reynolds’ business address is c/o MEI Pharma,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ind w:left="1020" w:right="120" w:hanging="503"/>
        <w:spacing w:after="0" w:line="298"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Datoo became a director of MEI Pharma on October 31, 2023. Mr. Datoo’s business address is c/o MEI Pharma, Inc., 9920 Pacific Heights Blvd., Suite 150, San Diego, California, 92121.</w:t>
      </w:r>
    </w:p>
    <w:p>
      <w:pPr>
        <w:spacing w:after="0" w:line="56" w:lineRule="exact"/>
        <w:rPr>
          <w:rFonts w:ascii="Times New Roman" w:cs="Times New Roman" w:eastAsia="Times New Roman" w:hAnsi="Times New Roman"/>
          <w:sz w:val="16"/>
          <w:szCs w:val="16"/>
          <w:color w:val="auto"/>
        </w:rPr>
      </w:pPr>
    </w:p>
    <w:p>
      <w:pPr>
        <w:ind w:left="1020" w:hanging="503"/>
        <w:spacing w:after="0" w:line="281"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Flynn became a director of MEI Pharma on October 31, 2023. Includes 9,478 shares issuable to Mr. Flynn upon the exercise of stock options that are exercisable within 60 days of September 13, 2024, and 7,900 shares of common stock. Mr. Flynn exercises sole voting and investment control with respect to the shares. Mr. Flynn’s business address is c/o MEI Pharma, Inc., 9920 Pacific Heights Blvd., Suite 150, San Diego, California, 92121.</w:t>
      </w:r>
    </w:p>
    <w:p>
      <w:pPr>
        <w:spacing w:after="0" w:line="69" w:lineRule="exact"/>
        <w:rPr>
          <w:rFonts w:ascii="Times New Roman" w:cs="Times New Roman" w:eastAsia="Times New Roman" w:hAnsi="Times New Roman"/>
          <w:sz w:val="16"/>
          <w:szCs w:val="16"/>
          <w:color w:val="auto"/>
        </w:rPr>
      </w:pPr>
    </w:p>
    <w:p>
      <w:pPr>
        <w:ind w:left="1020" w:right="280" w:hanging="503"/>
        <w:spacing w:after="0" w:line="298" w:lineRule="auto"/>
        <w:tabs>
          <w:tab w:leader="none" w:pos="10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Wood became a director of MEI Pharma on October 31, 2023. Includes 9,478 shares issuable to Mr. Wood upon the exercise of stock options that are exercisable within 60 days of September 13, 2024, and 77,092 shares of common stock. Mr. Wood exercises sole</w:t>
      </w:r>
    </w:p>
    <w:p>
      <w:pPr>
        <w:sectPr>
          <w:pgSz w:w="11900" w:h="16838" w:orient="portrait"/>
          <w:cols w:equalWidth="0" w:num="1">
            <w:col w:w="11240"/>
          </w:cols>
          <w:pgMar w:left="320" w:top="117"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0" w:right="200"/>
        <w:spacing w:after="0" w:line="298" w:lineRule="auto"/>
        <w:rPr>
          <w:sz w:val="20"/>
          <w:szCs w:val="20"/>
          <w:color w:val="auto"/>
        </w:rPr>
      </w:pPr>
      <w:r>
        <w:rPr>
          <w:rFonts w:ascii="Times New Roman" w:cs="Times New Roman" w:eastAsia="Times New Roman" w:hAnsi="Times New Roman"/>
          <w:sz w:val="16"/>
          <w:szCs w:val="16"/>
          <w:color w:val="auto"/>
        </w:rPr>
        <w:t>voting and investment control with respect to the shares. Mr. Wood’s business address is c/o MEI Pharma, Inc., 9920 Pacific Heights Blvd., Suite 150, San Diego, California, 92121.</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firstLine="562"/>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and certain of our officers to file reports of holdings and transactions in our equity with the SEC. Based on our records and other information, we believe that in fiscal year 2024 our Directors and our officers who were subject to Section 16(a) met all applicable filing requirements, except as follows: due to an inadvertent administrative error, each member of the Board - Kango Sujay, Thomas Reynolds, Tannar Howson, Daniel Gold, Nicholas Glover, Frederick Driscoll and Charles Baltic III - and our Chief Medical Officer, Richard Ghalie, filed a late Form 4 on October 12, 2023 to report equity grants issued on September 29, 2023.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related party transactions required to be disclosed pursuant to Item 404 of the Regulation S-K during the two years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as independent registered public accounting firm to audit the financial statements of MEI for the fiscal year ending June 30, 2025. The Board is submitting the appointment of Deloitte to the stockholders for ratification as a matter of good corporate practice.</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Representatives of Deloitte are expected to attend the Annual Meeting. The Deloitte representatives will have an opportunity to make a statement at the meeting and are expected to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Independent Registered Public Accounting Firm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independent registered public accounting firm is Deloitte &amp; Touche LLP (Deloitte) Auditor Firm ID: 34.</w:t>
      </w:r>
    </w:p>
    <w:p>
      <w:pPr>
        <w:spacing w:after="0" w:line="11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BDO USA, P.C. (BDO) served as the independent registered public accounting firm for us for the period from January 18, 2011 through the fiscal year ended June 30, 2023 and the subsequent interim period ended September 30, 2023. On December 19, 2023 our Audit Committee approved the change in our independent registered public accounting firm effective December 26, 2023 to Deloitte.</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aggregate fees from our principal accounting firm, Deloitte for the fiscal year ended June 30, 2024 and our former principal accounting firm, BDO, for the fiscal year ended June 30, 2023.</w:t>
      </w:r>
    </w:p>
    <w:p>
      <w:pPr>
        <w:sectPr>
          <w:pgSz w:w="11900" w:h="16838" w:orient="portrait"/>
          <w:cols w:equalWidth="0" w:num="1">
            <w:col w:w="11240"/>
          </w:cols>
          <w:pgMar w:left="320" w:top="117" w:right="339" w:bottom="1440" w:gutter="0" w:footer="0" w:header="0"/>
        </w:sectPr>
      </w:pPr>
    </w:p>
    <w:p>
      <w:pPr>
        <w:spacing w:after="0" w:line="277"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Deloitte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16510</wp:posOffset>
            </wp:positionV>
            <wp:extent cx="9429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9"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BDO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16510</wp:posOffset>
            </wp:positionV>
            <wp:extent cx="10033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June 30, 2023</w:t>
      </w:r>
    </w:p>
    <w:p>
      <w:pPr>
        <w:spacing w:after="0" w:line="25" w:lineRule="exact"/>
        <w:rPr>
          <w:sz w:val="20"/>
          <w:szCs w:val="20"/>
          <w:color w:val="auto"/>
        </w:rPr>
      </w:pPr>
    </w:p>
    <w:p>
      <w:pPr>
        <w:sectPr>
          <w:pgSz w:w="11900" w:h="16838" w:orient="portrait"/>
          <w:cols w:equalWidth="0" w:num="2">
            <w:col w:w="8940" w:space="720"/>
            <w:col w:w="1580"/>
          </w:cols>
          <w:pgMar w:left="320" w:top="117" w:right="339" w:bottom="1440" w:gutter="0" w:footer="0" w:header="0"/>
          <w:type w:val="continuous"/>
        </w:sectPr>
      </w:pPr>
    </w:p>
    <w:tbl>
      <w:tblPr>
        <w:tblLayout w:type="fixed"/>
        <w:tblInd w:w="340" w:type="dxa"/>
        <w:tblCellMar>
          <w:top w:w="0" w:type="dxa"/>
          <w:left w:w="0" w:type="dxa"/>
          <w:bottom w:w="0" w:type="dxa"/>
          <w:right w:w="0" w:type="dxa"/>
        </w:tblCellMar>
      </w:tblPr>
      <w:tr>
        <w:trPr>
          <w:trHeight w:val="169"/>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Audit Fees (1)</w:t>
            </w:r>
          </w:p>
        </w:tc>
        <w:tc>
          <w:tcPr>
            <w:tcW w:w="540" w:type="dxa"/>
            <w:vAlign w:val="bottom"/>
            <w:tcBorders>
              <w:top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528,525</w:t>
            </w:r>
          </w:p>
        </w:tc>
        <w:tc>
          <w:tcPr>
            <w:tcW w:w="22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806,100</w:t>
            </w:r>
          </w:p>
        </w:tc>
        <w:tc>
          <w:tcPr>
            <w:tcW w:w="100" w:type="dxa"/>
            <w:vAlign w:val="bottom"/>
            <w:shd w:val="clear" w:color="auto" w:fill="CFF0FC"/>
          </w:tcPr>
          <w:p>
            <w:pPr>
              <w:spacing w:after="0"/>
              <w:rPr>
                <w:sz w:val="14"/>
                <w:szCs w:val="14"/>
                <w:color w:val="auto"/>
              </w:rPr>
            </w:pPr>
          </w:p>
        </w:tc>
      </w:tr>
      <w:tr>
        <w:trPr>
          <w:trHeight w:val="17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Fees (2)</w:t>
            </w:r>
          </w:p>
        </w:tc>
        <w:tc>
          <w:tcPr>
            <w:tcW w:w="5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76,580</w:t>
            </w:r>
          </w:p>
        </w:tc>
        <w:tc>
          <w:tcPr>
            <w:tcW w:w="100" w:type="dxa"/>
            <w:vAlign w:val="bottom"/>
            <w:shd w:val="clear" w:color="auto" w:fill="CFF0FC"/>
          </w:tcPr>
          <w:p>
            <w:pPr>
              <w:spacing w:after="0"/>
              <w:rPr>
                <w:sz w:val="15"/>
                <w:szCs w:val="15"/>
                <w:color w:val="auto"/>
              </w:rPr>
            </w:pPr>
          </w:p>
        </w:tc>
      </w:tr>
      <w:tr>
        <w:trPr>
          <w:trHeight w:val="17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209"/>
        </w:trPr>
        <w:tc>
          <w:tcPr>
            <w:tcW w:w="7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Total Fees</w:t>
            </w:r>
          </w:p>
        </w:tc>
        <w:tc>
          <w:tcPr>
            <w:tcW w:w="540" w:type="dxa"/>
            <w:vAlign w:val="bottom"/>
            <w:tcBorders>
              <w:bottom w:val="single" w:sz="8" w:color="auto"/>
            </w:tcBorders>
            <w:shd w:val="clear" w:color="auto" w:fill="CFF0FC"/>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528,525</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882,680</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90" w:lineRule="exact"/>
        <w:rPr>
          <w:sz w:val="20"/>
          <w:szCs w:val="20"/>
          <w:color w:val="auto"/>
        </w:rPr>
      </w:pPr>
    </w:p>
    <w:p>
      <w:pPr>
        <w:ind w:left="1020" w:right="120" w:hanging="503"/>
        <w:spacing w:after="0" w:line="272"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relate to professional services rendered in connection with the audit of our annual consolidated financial statements, quarterly review of consolidated financial statements included in our Quarterly Reports on Form 10-Q and audit services provided in connection with other statutory and regulatory filings, including providing consents for inclusion of their opinion in registration statements filed with the Securities and Exchange Commission, and comfort letters in connection with sales of securities. During the fiscal year ended June 30, 2023, Audit Fees include $122,525 of fees related to the proposed Merger transaction.</w:t>
      </w:r>
    </w:p>
    <w:p>
      <w:pPr>
        <w:spacing w:after="0" w:line="77" w:lineRule="exact"/>
        <w:rPr>
          <w:rFonts w:ascii="Times New Roman" w:cs="Times New Roman" w:eastAsia="Times New Roman" w:hAnsi="Times New Roman"/>
          <w:sz w:val="16"/>
          <w:szCs w:val="16"/>
          <w:color w:val="auto"/>
        </w:rPr>
      </w:pPr>
    </w:p>
    <w:p>
      <w:pPr>
        <w:ind w:left="1020" w:right="360" w:hanging="503"/>
        <w:spacing w:after="0" w:line="298"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consist of fees for professional services related to tax compliance and advice. During 2023, Tax Fees include $51,200 of tax due diligence fees related to the proposed Merger transaction.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and procedure for pre-approving all audit and non-audit services to be performed by our independent auditors. The policy requires pre-approval of all services rendered by our independent auditors either as part of the Audit Committee’s approval of the scope of the engagement of the independent auditors or on a case-by-case basis.</w:t>
      </w:r>
    </w:p>
    <w:p>
      <w:pPr>
        <w:sectPr>
          <w:pgSz w:w="11900" w:h="16838" w:orient="portrait"/>
          <w:cols w:equalWidth="0" w:num="1">
            <w:col w:w="11240"/>
          </w:cols>
          <w:pgMar w:left="320" w:top="117" w:right="33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Consolidated Financial Statements</w:t>
      </w:r>
    </w:p>
    <w:p>
      <w:pPr>
        <w:spacing w:after="0" w:line="1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Reference is made to the Consolidated Financial Statements under </w:t>
      </w:r>
      <w:r>
        <w:rPr>
          <w:rFonts w:ascii="Times New Roman" w:cs="Times New Roman" w:eastAsia="Times New Roman" w:hAnsi="Times New Roman"/>
          <w:sz w:val="18"/>
          <w:szCs w:val="18"/>
          <w:i w:val="1"/>
          <w:iCs w:val="1"/>
          <w:u w:val="single" w:color="auto"/>
          <w:color w:val="0000FF"/>
        </w:rPr>
        <w:t>Item 8. Consolidated Financial Statements and Supplementary Data</w:t>
      </w:r>
      <w:r>
        <w:rPr>
          <w:rFonts w:ascii="Times New Roman" w:cs="Times New Roman" w:eastAsia="Times New Roman" w:hAnsi="Times New Roman"/>
          <w:sz w:val="18"/>
          <w:szCs w:val="18"/>
          <w:color w:val="auto"/>
        </w:rPr>
        <w:t xml:space="preserve"> in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-6350</wp:posOffset>
            </wp:positionV>
            <wp:extent cx="31222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2229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have been omitted either because they are not required or because the information has been included in the consolidated financial statements or the notes thereto included in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gridSpan w:val="31"/>
          </w:tcPr>
          <w:p>
            <w:pPr>
              <w:ind w:left="520"/>
              <w:spacing w:after="0"/>
              <w:rPr>
                <w:sz w:val="20"/>
                <w:szCs w:val="20"/>
                <w:color w:val="auto"/>
              </w:rPr>
            </w:pPr>
            <w:r>
              <w:rPr>
                <w:rFonts w:ascii="Times New Roman" w:cs="Times New Roman" w:eastAsia="Times New Roman" w:hAnsi="Times New Roman"/>
                <w:sz w:val="18"/>
                <w:szCs w:val="18"/>
                <w:b w:val="1"/>
                <w:bCs w:val="1"/>
                <w:color w:val="auto"/>
              </w:rPr>
              <w:t>3. Exhibits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66"/>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r>
      <w:tr>
        <w:trPr>
          <w:trHeight w:val="194"/>
        </w:trPr>
        <w:tc>
          <w:tcPr>
            <w:tcW w:w="10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80" w:type="dxa"/>
            <w:vAlign w:val="bottom"/>
            <w:gridSpan w:val="24"/>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20" w:type="dxa"/>
            <w:vAlign w:val="bottom"/>
          </w:tcPr>
          <w:p>
            <w:pPr>
              <w:spacing w:after="0"/>
              <w:rPr>
                <w:sz w:val="16"/>
                <w:szCs w:val="16"/>
                <w:color w:val="auto"/>
              </w:rPr>
            </w:pPr>
          </w:p>
        </w:tc>
        <w:tc>
          <w:tcPr>
            <w:tcW w:w="136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16"/>
                <w:szCs w:val="16"/>
                <w:color w:val="auto"/>
              </w:rPr>
            </w:pPr>
          </w:p>
        </w:tc>
        <w:tc>
          <w:tcPr>
            <w:tcW w:w="1240" w:type="dxa"/>
            <w:vAlign w:val="bottom"/>
            <w:gridSpan w:val="2"/>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Filing Date</w:t>
            </w:r>
          </w:p>
        </w:tc>
      </w:tr>
      <w:tr>
        <w:trPr>
          <w:trHeight w:val="245"/>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175"/>
        </w:trPr>
        <w:tc>
          <w:tcPr>
            <w:tcW w:w="1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5"/>
                <w:szCs w:val="15"/>
                <w:color w:val="auto"/>
              </w:rPr>
            </w:pPr>
          </w:p>
        </w:tc>
        <w:tc>
          <w:tcPr>
            <w:tcW w:w="3620" w:type="dxa"/>
            <w:vAlign w:val="bottom"/>
            <w:tcBorders>
              <w:bottom w:val="single" w:sz="8" w:color="0000FF"/>
            </w:tcBorders>
            <w:gridSpan w:val="18"/>
          </w:tcPr>
          <w:p>
            <w:pPr>
              <w:spacing w:after="0" w:line="17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Agreement and Plan of Merger by and among the</w:t>
              </w:r>
            </w:hyperlink>
          </w:p>
        </w:tc>
        <w:tc>
          <w:tcPr>
            <w:tcW w:w="74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000-50484</w:t>
            </w:r>
          </w:p>
        </w:tc>
        <w:tc>
          <w:tcPr>
            <w:tcW w:w="1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February 23,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Company, Merger Sub and Infinity, dated February 22,</w:t>
              </w:r>
            </w:hyperlink>
          </w:p>
        </w:tc>
        <w:tc>
          <w:tcPr>
            <w:tcW w:w="48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87">
              <w:r>
                <w:rPr>
                  <w:rFonts w:ascii="Times New Roman" w:cs="Times New Roman" w:eastAsia="Times New Roman" w:hAnsi="Times New Roman"/>
                  <w:sz w:val="18"/>
                  <w:szCs w:val="18"/>
                  <w:color w:val="0000FF"/>
                  <w:w w:val="94"/>
                </w:rPr>
                <w:t>2023</w:t>
              </w:r>
            </w:hyperlink>
          </w:p>
        </w:tc>
        <w:tc>
          <w:tcPr>
            <w:tcW w:w="20" w:type="dxa"/>
            <w:vAlign w:val="bottom"/>
            <w:tcBorders>
              <w:bottom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4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Certificate of Amendment of the Amended and Restated</w:t>
              </w:r>
            </w:hyperlink>
          </w:p>
        </w:tc>
        <w:tc>
          <w:tcPr>
            <w:tcW w:w="360" w:type="dxa"/>
            <w:vAlign w:val="bottom"/>
            <w:gridSpan w:val="6"/>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14,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Certificate of Incorporation of MEI Pharma, Inc., filed with</w:t>
              </w:r>
            </w:hyperlink>
          </w:p>
        </w:tc>
        <w:tc>
          <w:tcPr>
            <w:tcW w:w="1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the Delaware Secretary of State on April 14, 2023</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42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Sixth Amended and Restated Bylaws of MEI Pharma, Inc.</w:t>
              </w:r>
            </w:hyperlink>
          </w:p>
        </w:tc>
        <w:tc>
          <w:tcPr>
            <w:tcW w:w="220" w:type="dxa"/>
            <w:vAlign w:val="bottom"/>
            <w:gridSpan w:val="4"/>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001-41827</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22,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adopted as of December 18, 2023</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3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Certificate of Designation of Series A Convertible</w:t>
              </w:r>
            </w:hyperlink>
          </w:p>
        </w:tc>
        <w:tc>
          <w:tcPr>
            <w:tcW w:w="820" w:type="dxa"/>
            <w:vAlign w:val="bottom"/>
            <w:gridSpan w:val="10"/>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2011</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Preferred Stock of Marshall Edwards, Inc.</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412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Certificate of Designation of Series B Preferred Stock of</w:t>
              </w:r>
            </w:hyperlink>
          </w:p>
        </w:tc>
        <w:tc>
          <w:tcPr>
            <w:tcW w:w="360" w:type="dxa"/>
            <w:vAlign w:val="bottom"/>
            <w:gridSpan w:val="6"/>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2011</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Marshall Edwards, Inc.</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34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Certification of Designation of Series A Junior</w:t>
              </w:r>
            </w:hyperlink>
          </w:p>
        </w:tc>
        <w:tc>
          <w:tcPr>
            <w:tcW w:w="1060" w:type="dxa"/>
            <w:vAlign w:val="bottom"/>
            <w:gridSpan w:val="13"/>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Participating Preferred Stock</w:t>
              </w:r>
            </w:hyperlink>
          </w:p>
        </w:tc>
        <w:tc>
          <w:tcPr>
            <w:tcW w:w="2380" w:type="dxa"/>
            <w:vAlign w:val="bottom"/>
            <w:gridSpan w:val="22"/>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9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293">
              <w:r>
                <w:rPr>
                  <w:rFonts w:ascii="Times New Roman" w:cs="Times New Roman" w:eastAsia="Times New Roman" w:hAnsi="Times New Roman"/>
                  <w:sz w:val="18"/>
                  <w:szCs w:val="18"/>
                  <w:color w:val="0000FF"/>
                  <w:w w:val="99"/>
                </w:rPr>
                <w:t>Specimen Stock Certificate</w:t>
              </w:r>
            </w:hyperlink>
          </w:p>
        </w:tc>
        <w:tc>
          <w:tcPr>
            <w:tcW w:w="2500" w:type="dxa"/>
            <w:vAlign w:val="bottom"/>
            <w:gridSpan w:val="23"/>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333-109129</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31, 2023</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Form of Warrant</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16, 2018</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8"/>
                <w:szCs w:val="18"/>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Description of Capital Stock of MEI Pharma, Inc.</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3600" w:type="dxa"/>
            <w:vAlign w:val="bottom"/>
            <w:tcBorders>
              <w:top w:val="single" w:sz="8" w:color="0000FF"/>
            </w:tcBorders>
            <w:gridSpan w:val="17"/>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Description of MEI Common Stock</w:t>
              </w:r>
            </w:hyperlink>
          </w:p>
        </w:tc>
        <w:tc>
          <w:tcPr>
            <w:tcW w:w="880" w:type="dxa"/>
            <w:vAlign w:val="bottom"/>
            <w:gridSpan w:val="12"/>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26, 2023</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39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Rights Agreement dated as of October 1, 2023, by and</w:t>
              </w:r>
            </w:hyperlink>
          </w:p>
        </w:tc>
        <w:tc>
          <w:tcPr>
            <w:tcW w:w="520" w:type="dxa"/>
            <w:vAlign w:val="bottom"/>
            <w:gridSpan w:val="8"/>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3, 2023</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between MEI Pharma, Inc. and Computershare Inc. (as</w:t>
              </w:r>
            </w:hyperlink>
          </w:p>
        </w:tc>
        <w:tc>
          <w:tcPr>
            <w:tcW w:w="48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97">
              <w:r>
                <w:rPr>
                  <w:rFonts w:ascii="Times New Roman" w:cs="Times New Roman" w:eastAsia="Times New Roman" w:hAnsi="Times New Roman"/>
                  <w:sz w:val="18"/>
                  <w:szCs w:val="18"/>
                  <w:color w:val="0000FF"/>
                  <w:w w:val="98"/>
                </w:rPr>
                <w:t>Rights Agent)</w:t>
              </w:r>
            </w:hyperlink>
          </w:p>
        </w:tc>
        <w:tc>
          <w:tcPr>
            <w:tcW w:w="3460" w:type="dxa"/>
            <w:vAlign w:val="bottom"/>
            <w:gridSpan w:val="26"/>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3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Amended and Restated 2008 Stock Omnibus Equity</w:t>
              </w:r>
            </w:hyperlink>
          </w:p>
        </w:tc>
        <w:tc>
          <w:tcPr>
            <w:tcW w:w="680" w:type="dxa"/>
            <w:vAlign w:val="bottom"/>
            <w:gridSpan w:val="9"/>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001-41827</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9, 2024</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98">
              <w:r>
                <w:rPr>
                  <w:rFonts w:ascii="Times New Roman" w:cs="Times New Roman" w:eastAsia="Times New Roman" w:hAnsi="Times New Roman"/>
                  <w:sz w:val="18"/>
                  <w:szCs w:val="18"/>
                  <w:color w:val="0000FF"/>
                  <w:w w:val="99"/>
                </w:rPr>
                <w:t>Compensation Plan (December 2023)</w:t>
              </w:r>
            </w:hyperlink>
          </w:p>
        </w:tc>
        <w:tc>
          <w:tcPr>
            <w:tcW w:w="20" w:type="dxa"/>
            <w:vAlign w:val="bottom"/>
            <w:tcBorders>
              <w:bottom w:val="single" w:sz="8" w:color="0000EE"/>
            </w:tcBorders>
          </w:tcPr>
          <w:p>
            <w:pPr>
              <w:spacing w:after="0"/>
              <w:rPr>
                <w:sz w:val="17"/>
                <w:szCs w:val="17"/>
                <w:color w:val="auto"/>
              </w:rPr>
            </w:pPr>
          </w:p>
        </w:tc>
        <w:tc>
          <w:tcPr>
            <w:tcW w:w="1740" w:type="dxa"/>
            <w:vAlign w:val="bottom"/>
            <w:gridSpan w:val="15"/>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25"/>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41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Employment letter dated February 1, 2017, between MEI</w:t>
              </w:r>
            </w:hyperlink>
          </w:p>
        </w:tc>
        <w:tc>
          <w:tcPr>
            <w:tcW w:w="320" w:type="dxa"/>
            <w:vAlign w:val="bottom"/>
            <w:gridSpan w:val="5"/>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2017</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99">
              <w:r>
                <w:rPr>
                  <w:rFonts w:ascii="Times New Roman" w:cs="Times New Roman" w:eastAsia="Times New Roman" w:hAnsi="Times New Roman"/>
                  <w:sz w:val="18"/>
                  <w:szCs w:val="18"/>
                  <w:color w:val="0000FF"/>
                  <w:w w:val="99"/>
                </w:rPr>
                <w:t>Pharma, Inc. and Brian G. Drazba</w:t>
              </w:r>
            </w:hyperlink>
          </w:p>
        </w:tc>
        <w:tc>
          <w:tcPr>
            <w:tcW w:w="20" w:type="dxa"/>
            <w:vAlign w:val="bottom"/>
            <w:tcBorders>
              <w:bottom w:val="single" w:sz="8" w:color="0000EE"/>
            </w:tcBorders>
          </w:tcPr>
          <w:p>
            <w:pPr>
              <w:spacing w:after="0"/>
              <w:rPr>
                <w:sz w:val="17"/>
                <w:szCs w:val="17"/>
                <w:color w:val="auto"/>
              </w:rPr>
            </w:pPr>
          </w:p>
        </w:tc>
        <w:tc>
          <w:tcPr>
            <w:tcW w:w="2000" w:type="dxa"/>
            <w:vAlign w:val="bottom"/>
            <w:gridSpan w:val="19"/>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42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Employment letter dated February 17, 2016, between MEI</w:t>
              </w:r>
            </w:hyperlink>
          </w:p>
        </w:tc>
        <w:tc>
          <w:tcPr>
            <w:tcW w:w="220" w:type="dxa"/>
            <w:vAlign w:val="bottom"/>
            <w:gridSpan w:val="4"/>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2021</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Pharma, Inc. and Richard G. Ghalie</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80" w:type="dxa"/>
            <w:vAlign w:val="bottom"/>
            <w:gridSpan w:val="11"/>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36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Amendment 2021-1 dated April 29, 2021, to the</w:t>
              </w:r>
            </w:hyperlink>
          </w:p>
        </w:tc>
        <w:tc>
          <w:tcPr>
            <w:tcW w:w="880" w:type="dxa"/>
            <w:vAlign w:val="bottom"/>
            <w:gridSpan w:val="12"/>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 2021</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Employment letter dated February 17, 2016, between MEI</w:t>
              </w:r>
            </w:hyperlink>
          </w:p>
        </w:tc>
        <w:tc>
          <w:tcPr>
            <w:tcW w:w="220" w:type="dxa"/>
            <w:vAlign w:val="bottom"/>
            <w:gridSpan w:val="4"/>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Pharma, Inc. and Richard G. Ghalie</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580" w:type="dxa"/>
            <w:vAlign w:val="bottom"/>
            <w:gridSpan w:val="11"/>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4480" w:type="dxa"/>
            <w:vAlign w:val="bottom"/>
            <w:gridSpan w:val="29"/>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Form of Indemnification Agreement</w:t>
              </w:r>
            </w:hyperlink>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29, 2011</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40" w:type="dxa"/>
            <w:vAlign w:val="bottom"/>
            <w:tcBorders>
              <w:right w:val="single" w:sz="8" w:color="0000EE"/>
            </w:tcBorders>
            <w:gridSpan w:val="12"/>
            <w:shd w:val="clear" w:color="auto" w:fill="0000FF"/>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43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License Agreement, dated as of September 5, 2017, by and</w:t>
              </w:r>
            </w:hyperlink>
          </w:p>
        </w:tc>
        <w:tc>
          <w:tcPr>
            <w:tcW w:w="180" w:type="dxa"/>
            <w:vAlign w:val="bottom"/>
            <w:gridSpan w:val="3"/>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000-50484</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2017</w:t>
            </w: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gridSpan w:val="29"/>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between MEI Pharma, Inc. and Presage Biosciences, Inc.</w:t>
              </w:r>
            </w:hyperlink>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At-The-Market Equity Offering Sales Agreement, dated</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November 10, 2020 between MEI Pharma, Inc., Credit</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Suisse Securities (USA) LLC, and Stifel, Nicolaus &amp;</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Company, Inc.</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Securities Purchase Agreement, dated May 11, 2018,</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between MEI Pharma, Inc. and the purchasers identified in</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Exhibit A therein</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License, Development and Commercialization Agreement,</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w w:val="98"/>
              </w:rPr>
            </w:pPr>
            <w:hyperlink r:id="rId306">
              <w:r>
                <w:rPr>
                  <w:rFonts w:ascii="Times New Roman" w:cs="Times New Roman" w:eastAsia="Times New Roman" w:hAnsi="Times New Roman"/>
                  <w:sz w:val="18"/>
                  <w:szCs w:val="18"/>
                  <w:color w:val="0000FF"/>
                  <w:w w:val="98"/>
                </w:rPr>
                <w:t>dated as of October 31, 2018, by and between the Company</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and Kyowa Hakko Kirin Co., Ltd., now known as Kyowa</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Kirin Company</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License, Development and Commercialization Agreement,</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dated as of April 13, 2020, by and between the Company</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and Kyowa Kirin Co., Ltd. (formerly known as Kyowa</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Hakko Kirin Co., Ltd.)</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Transition and Retirement Agreement between Brian G.</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Drazba and MEI Pharma, Inc., dated as of July 7, 2022</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Letter Agreement between Brian G. Drazba and MEI</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Pharma, Inc., dated as of July 7, 2022</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2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CEO Employment Agreement between MEI Pharma, Inc.</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and David Urso, dated June 2, 2023</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Employee Proprietary Information and Inventions</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Agreement between MEI Pharma, Inc. and Justin J. File,</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dated June 9, 2023</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Employment Agreement between MEI Pharma, Inc. and</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Justin J. File, dated June 9, 2023</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4280" w:type="dxa"/>
            <w:vAlign w:val="bottom"/>
            <w:gridSpan w:val="25"/>
          </w:tcPr>
          <w:p>
            <w:pPr>
              <w:spacing w:after="0"/>
              <w:rPr>
                <w:rFonts w:ascii="Times New Roman" w:cs="Times New Roman" w:eastAsia="Times New Roman" w:hAnsi="Times New Roman"/>
                <w:sz w:val="18"/>
                <w:szCs w:val="18"/>
                <w:color w:val="0000FF"/>
                <w:w w:val="98"/>
              </w:rPr>
            </w:pPr>
            <w:hyperlink r:id="rId313">
              <w:r>
                <w:rPr>
                  <w:rFonts w:ascii="Times New Roman" w:cs="Times New Roman" w:eastAsia="Times New Roman" w:hAnsi="Times New Roman"/>
                  <w:sz w:val="18"/>
                  <w:szCs w:val="18"/>
                  <w:color w:val="0000FF"/>
                  <w:w w:val="98"/>
                </w:rPr>
                <w:t>Amended and Restated MEI Pharma, Inc. 2021 Inducement</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Grant Equity Compensation Plan</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4280" w:type="dxa"/>
            <w:vAlign w:val="bottom"/>
            <w:gridSpan w:val="25"/>
          </w:tcPr>
          <w:p>
            <w:pPr>
              <w:spacing w:after="0"/>
              <w:rPr>
                <w:rFonts w:ascii="Times New Roman" w:cs="Times New Roman" w:eastAsia="Times New Roman" w:hAnsi="Times New Roman"/>
                <w:sz w:val="18"/>
                <w:szCs w:val="18"/>
                <w:color w:val="0000FF"/>
                <w:w w:val="98"/>
              </w:rPr>
            </w:pPr>
            <w:hyperlink r:id="rId314">
              <w:r>
                <w:rPr>
                  <w:rFonts w:ascii="Times New Roman" w:cs="Times New Roman" w:eastAsia="Times New Roman" w:hAnsi="Times New Roman"/>
                  <w:sz w:val="18"/>
                  <w:szCs w:val="18"/>
                  <w:color w:val="0000FF"/>
                  <w:w w:val="98"/>
                </w:rPr>
                <w:t>Termination Agreement, by and between MEI Pharma, Inc.</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and Kyowa Kirin Co., Ltd. (formerly known as Kyowa</w:t>
              </w:r>
            </w:hyperlink>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Hakko Kirin Co., Ltd.) dated as of July 14, 2023</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Termination Letter from MEI Pharma, Inc. to Infinity</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Pharmaceuticals, Inc., dated July 23, 2023</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Separation and Release Agreement between MEI Pharma,</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Inc. and Brian Drazba, dated June 16, 2023</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Form of Warrant</w:t>
              </w:r>
            </w:hyperlink>
          </w:p>
        </w:tc>
        <w:tc>
          <w:tcPr>
            <w:tcW w:w="40" w:type="dxa"/>
            <w:vAlign w:val="bottom"/>
          </w:tcPr>
          <w:p>
            <w:pPr>
              <w:spacing w:after="0"/>
              <w:rPr>
                <w:sz w:val="18"/>
                <w:szCs w:val="18"/>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Cooperation Agreement, dated as of October 31, 2023, by</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and among the Investors and the Company</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4280" w:type="dxa"/>
            <w:vAlign w:val="bottom"/>
            <w:gridSpan w:val="25"/>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Employment Agreement between MEI Pharma, Inc. and</w:t>
              </w:r>
            </w:hyperlink>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Richard Ghalie dated January 16, 2024</w:t>
              </w:r>
            </w:hyperlink>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4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Addendum to Employment Agreement between MEI</w:t>
            </w:r>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Pharma, Inc. and Justin J. File, dated August 1, 2024</w:t>
            </w: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Consent of Deloitte &amp; Touche LLP Independent Registered</w:t>
            </w:r>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Consent of BDO USA, P.C. Independent Registered Public</w:t>
            </w:r>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4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4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4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17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60" w:type="dxa"/>
            <w:vAlign w:val="bottom"/>
            <w:gridSpan w:val="1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required by Rule 13a-14(b) or Rule 15d-</w:t>
            </w: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74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60" w:type="dxa"/>
            <w:vAlign w:val="bottom"/>
            <w:gridSpan w:val="1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42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w:t>
            </w:r>
          </w:p>
        </w:tc>
        <w:tc>
          <w:tcPr>
            <w:tcW w:w="40" w:type="dxa"/>
            <w:vAlign w:val="bottom"/>
          </w:tcPr>
          <w:p>
            <w:pPr>
              <w:spacing w:after="0"/>
              <w:rPr>
                <w:sz w:val="17"/>
                <w:szCs w:val="17"/>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November 10, 2020</w:t>
            </w:r>
          </w:p>
        </w:tc>
      </w:tr>
      <w:tr>
        <w:trPr>
          <w:trHeight w:val="878"/>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May 16, 2018</w:t>
            </w:r>
          </w:p>
        </w:tc>
      </w:tr>
      <w:tr>
        <w:trPr>
          <w:trHeight w:val="662"/>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February 7, 2019</w:t>
            </w:r>
          </w:p>
        </w:tc>
      </w:tr>
      <w:tr>
        <w:trPr>
          <w:trHeight w:val="878"/>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10.12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September 2, 2021</w:t>
            </w:r>
          </w:p>
        </w:tc>
      </w:tr>
      <w:tr>
        <w:trPr>
          <w:trHeight w:val="878"/>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December 23, 2021</w:t>
            </w:r>
          </w:p>
        </w:tc>
      </w:tr>
      <w:tr>
        <w:trPr>
          <w:trHeight w:val="445"/>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July 7, 2022</w:t>
            </w:r>
          </w:p>
        </w:tc>
      </w:tr>
      <w:tr>
        <w:trPr>
          <w:trHeight w:val="446"/>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June 2, 2023</w:t>
            </w:r>
          </w:p>
        </w:tc>
      </w:tr>
      <w:tr>
        <w:trPr>
          <w:trHeight w:val="445"/>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June 13, 2023</w:t>
            </w:r>
          </w:p>
        </w:tc>
      </w:tr>
      <w:tr>
        <w:trPr>
          <w:trHeight w:val="662"/>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June 13, 2023</w:t>
            </w:r>
          </w:p>
        </w:tc>
      </w:tr>
      <w:tr>
        <w:trPr>
          <w:trHeight w:val="445"/>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June 13, 2023</w:t>
            </w:r>
          </w:p>
        </w:tc>
      </w:tr>
      <w:tr>
        <w:trPr>
          <w:trHeight w:val="445"/>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19, 2023</w:t>
            </w:r>
          </w:p>
        </w:tc>
      </w:tr>
      <w:tr>
        <w:trPr>
          <w:trHeight w:val="662"/>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24, 2023</w:t>
            </w:r>
          </w:p>
        </w:tc>
      </w:tr>
      <w:tr>
        <w:trPr>
          <w:trHeight w:val="445"/>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July 27, 2023</w:t>
            </w:r>
          </w:p>
        </w:tc>
      </w:tr>
      <w:tr>
        <w:trPr>
          <w:trHeight w:val="441"/>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000-50484</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10.22</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September 26, 2023</w:t>
            </w:r>
          </w:p>
        </w:tc>
      </w:tr>
      <w:tr>
        <w:trPr>
          <w:trHeight w:val="234"/>
        </w:trPr>
        <w:tc>
          <w:tcPr>
            <w:tcW w:w="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8-K</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001-41827</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c>
          <w:tcPr>
            <w:tcW w:w="17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November 1, 2023</w:t>
            </w:r>
          </w:p>
        </w:tc>
      </w:tr>
      <w:tr>
        <w:trPr>
          <w:trHeight w:val="445"/>
        </w:trPr>
        <w:tc>
          <w:tcPr>
            <w:tcW w:w="8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001-41827</w:t>
            </w:r>
          </w:p>
        </w:tc>
        <w:tc>
          <w:tcPr>
            <w:tcW w:w="10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February 13, 2024</w:t>
            </w:r>
          </w:p>
        </w:tc>
      </w:tr>
    </w:tbl>
    <w:p>
      <w:pPr>
        <w:sectPr>
          <w:pgSz w:w="11900" w:h="16838" w:orient="portrait"/>
          <w:cols w:equalWidth="0" w:num="2">
            <w:col w:w="5720" w:space="380"/>
            <w:col w:w="5120"/>
          </w:cols>
          <w:pgMar w:left="320" w:top="117" w:right="3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1350).</w:t>
      </w:r>
    </w:p>
    <w:p>
      <w:pPr>
        <w:spacing w:after="0" w:line="9"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MEI Clawback Policy</w:t>
      </w:r>
    </w:p>
    <w:p>
      <w:pPr>
        <w:spacing w:after="0" w:line="23"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8"/>
          <w:szCs w:val="18"/>
          <w:color w:val="auto"/>
        </w:rPr>
        <w:t>Inline XBRL Instance Document – the instance document</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p>
      <w:pPr>
        <w:spacing w:after="0" w:line="9" w:lineRule="exact"/>
        <w:rPr>
          <w:sz w:val="20"/>
          <w:szCs w:val="20"/>
          <w:color w:val="auto"/>
        </w:rPr>
      </w:pPr>
    </w:p>
    <w:p>
      <w:pPr>
        <w:ind w:left="1180" w:right="5580" w:hanging="1159"/>
        <w:spacing w:after="0" w:line="259" w:lineRule="auto"/>
        <w:tabs>
          <w:tab w:leader="none" w:pos="1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9" w:lineRule="exact"/>
        <w:rPr>
          <w:sz w:val="20"/>
          <w:szCs w:val="20"/>
          <w:color w:val="auto"/>
        </w:rPr>
      </w:pPr>
    </w:p>
    <w:p>
      <w:pPr>
        <w:ind w:left="1040" w:hanging="10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040" w:hanging="1019"/>
        <w:spacing w:after="0"/>
        <w:tabs>
          <w:tab w:leader="none" w:pos="10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redacted pursuant to a confidential treatment request filed with the Securities and Exchange Commission.</w:t>
      </w:r>
    </w:p>
    <w:p>
      <w:pPr>
        <w:spacing w:after="0" w:line="48" w:lineRule="exact"/>
        <w:rPr>
          <w:sz w:val="20"/>
          <w:szCs w:val="20"/>
          <w:color w:val="auto"/>
        </w:rPr>
      </w:pPr>
    </w:p>
    <w:p>
      <w:pPr>
        <w:ind w:left="1040" w:right="680" w:hanging="1019"/>
        <w:spacing w:after="0" w:line="266"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601(a)(6) and Item 601(b)(10) of Regulation S-K because such information (i) is not material and (ii) is the type that the registrant treats as private or confidential.</w:t>
      </w:r>
    </w:p>
    <w:p>
      <w:pPr>
        <w:ind w:left="1040" w:right="100" w:hanging="1019"/>
        <w:spacing w:after="0" w:line="282" w:lineRule="auto"/>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marked exhibit is a management contract or a compensatory plan, contract or arrangement in which a director or executive officer of the registrant participates or has participated.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report to be signed on its behalf by the undersigned, thereunto duly authorized, on September 19, 2024.</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MEI PHARMA, INC.</w:t>
      </w:r>
    </w:p>
    <w:p>
      <w:pPr>
        <w:spacing w:after="0" w:line="306"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27260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Justin J. File</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Acting Chief Executive Officer,</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Chief Financial Officer and Secretary</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38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364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Signatures</w:t>
            </w:r>
          </w:p>
        </w:tc>
      </w:tr>
      <w:tr>
        <w:trPr>
          <w:trHeight w:val="315"/>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Justin J. File</w:t>
            </w:r>
          </w:p>
        </w:tc>
        <w:tc>
          <w:tcPr>
            <w:tcW w:w="600" w:type="dxa"/>
            <w:vAlign w:val="bottom"/>
            <w:tcBorders>
              <w:top w:val="single" w:sz="8" w:color="auto"/>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Justin J. File</w:t>
            </w:r>
          </w:p>
        </w:tc>
      </w:tr>
      <w:tr>
        <w:trPr>
          <w:trHeight w:val="202"/>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Acting Chief Executive Officer, Chief Financial Officer</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and Secretary (Principal Executive Officer, Principal</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Financial and Accounting Officer)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Thomas C. Reynolds</w:t>
            </w: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C. Reynolds</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Nicholas R. Glover</w:t>
            </w: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Nicholas R. Glover</w:t>
            </w:r>
          </w:p>
        </w:tc>
      </w:tr>
      <w:tr>
        <w:trPr>
          <w:trHeight w:val="202"/>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Steven Wood</w:t>
            </w: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Steven Wood</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Frederick W. Driscoll</w:t>
            </w: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Frederick W. Driscoll</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James Flynn</w:t>
            </w: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Flynn</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r>
        <w:trPr>
          <w:trHeight w:val="503"/>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/s/ Taheer Datoo</w:t>
            </w:r>
          </w:p>
        </w:tc>
      </w:tr>
      <w:tr>
        <w:trPr>
          <w:trHeight w:val="212"/>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Taheer Datoo</w:t>
            </w:r>
          </w:p>
        </w:tc>
      </w:tr>
      <w:tr>
        <w:trPr>
          <w:trHeight w:val="203"/>
        </w:trPr>
        <w:tc>
          <w:tcPr>
            <w:tcW w:w="920" w:type="dxa"/>
            <w:vAlign w:val="bottom"/>
          </w:tcPr>
          <w:p>
            <w:pPr>
              <w:spacing w:after="0"/>
              <w:rPr>
                <w:sz w:val="17"/>
                <w:szCs w:val="17"/>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9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September 19, 2024</w:t>
            </w:r>
          </w:p>
        </w:tc>
      </w:tr>
    </w:tbl>
    <w:p>
      <w:pPr>
        <w:spacing w:after="0" w:line="200" w:lineRule="exact"/>
        <w:rPr>
          <w:sz w:val="20"/>
          <w:szCs w:val="20"/>
          <w:color w:val="auto"/>
        </w:rPr>
      </w:pPr>
    </w:p>
    <w:p>
      <w:pPr>
        <w:sectPr>
          <w:pgSz w:w="11900" w:h="16838" w:orient="portrait"/>
          <w:cols w:equalWidth="0" w:num="1">
            <w:col w:w="11140"/>
          </w:cols>
          <w:pgMar w:left="320" w:top="117" w:right="439" w:bottom="1440" w:gutter="0" w:footer="0" w:header="0"/>
        </w:sectPr>
      </w:pPr>
    </w:p>
    <w:p>
      <w:pPr>
        <w:spacing w:after="0" w:line="3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10.24</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156970" cy="942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115697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that the registrant treats as private or confidential.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Justin "Jay" File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11455 El Camino Real, Suite 250</w:t>
      </w:r>
    </w:p>
    <w:p>
      <w:pPr>
        <w:spacing w:after="0"/>
        <w:rPr>
          <w:sz w:val="20"/>
          <w:szCs w:val="20"/>
          <w:color w:val="auto"/>
        </w:rPr>
      </w:pPr>
      <w:r>
        <w:rPr>
          <w:rFonts w:ascii="Times New Roman" w:cs="Times New Roman" w:eastAsia="Times New Roman" w:hAnsi="Times New Roman"/>
          <w:sz w:val="22"/>
          <w:szCs w:val="22"/>
          <w:color w:val="auto"/>
        </w:rPr>
        <w:t>San Diego, CA 92130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Jay,</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This addendum (this “</w:t>
      </w:r>
      <w:r>
        <w:rPr>
          <w:rFonts w:ascii="Times New Roman" w:cs="Times New Roman" w:eastAsia="Times New Roman" w:hAnsi="Times New Roman"/>
          <w:sz w:val="22"/>
          <w:szCs w:val="22"/>
          <w:b w:val="1"/>
          <w:bCs w:val="1"/>
          <w:color w:val="auto"/>
        </w:rPr>
        <w:t>Addendum</w:t>
      </w:r>
      <w:r>
        <w:rPr>
          <w:rFonts w:ascii="Times New Roman" w:cs="Times New Roman" w:eastAsia="Times New Roman" w:hAnsi="Times New Roman"/>
          <w:sz w:val="22"/>
          <w:szCs w:val="22"/>
          <w:color w:val="auto"/>
        </w:rPr>
        <w:t>”) to your Employment Agreement with MEI Pharma. Inc., dated June 9, 2023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hereby amends the Employment Agreement, effective August 1, 2024. Except as modified by this Addendum, the Employment Agreement will remain in full force and effect.</w:t>
      </w:r>
    </w:p>
    <w:p>
      <w:pPr>
        <w:spacing w:after="0" w:line="167" w:lineRule="exact"/>
        <w:rPr>
          <w:sz w:val="20"/>
          <w:szCs w:val="20"/>
          <w:color w:val="auto"/>
        </w:rPr>
      </w:pPr>
    </w:p>
    <w:p>
      <w:pPr>
        <w:jc w:val="both"/>
        <w:ind w:firstLine="757"/>
        <w:spacing w:after="0" w:line="241"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You and MEI Pharma.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agree that, as of August 1, 2024, you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appointed to serve as the Acting Chief Executive Officer (“</w:t>
      </w:r>
      <w:r>
        <w:rPr>
          <w:rFonts w:ascii="Times New Roman" w:cs="Times New Roman" w:eastAsia="Times New Roman" w:hAnsi="Times New Roman"/>
          <w:sz w:val="22"/>
          <w:szCs w:val="22"/>
          <w:b w:val="1"/>
          <w:bCs w:val="1"/>
          <w:color w:val="auto"/>
        </w:rPr>
        <w:t>Acting CEO</w:t>
      </w:r>
      <w:r>
        <w:rPr>
          <w:rFonts w:ascii="Times New Roman" w:cs="Times New Roman" w:eastAsia="Times New Roman" w:hAnsi="Times New Roman"/>
          <w:sz w:val="22"/>
          <w:szCs w:val="22"/>
          <w:color w:val="auto"/>
        </w:rPr>
        <w:t>”) of the Company, reporting to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Your role as Acting CEO will be in addition to your current position as the Company’s Chief Financial Officer and Secretary.</w:t>
      </w:r>
    </w:p>
    <w:p>
      <w:pPr>
        <w:spacing w:after="0" w:line="171" w:lineRule="exact"/>
        <w:rPr>
          <w:rFonts w:ascii="Times New Roman" w:cs="Times New Roman" w:eastAsia="Times New Roman" w:hAnsi="Times New Roman"/>
          <w:sz w:val="22"/>
          <w:szCs w:val="22"/>
          <w:b w:val="1"/>
          <w:bCs w:val="1"/>
          <w:color w:val="auto"/>
        </w:rPr>
      </w:pPr>
    </w:p>
    <w:p>
      <w:pPr>
        <w:ind w:right="20" w:firstLine="757"/>
        <w:spacing w:after="0" w:line="262"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Effective as of the first payroll date following August 1, 2024, your annual base salary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increased from its current level of $450,000 to $550,000.</w:t>
      </w:r>
    </w:p>
    <w:p>
      <w:pPr>
        <w:spacing w:after="0" w:line="149" w:lineRule="exact"/>
        <w:rPr>
          <w:rFonts w:ascii="Times New Roman" w:cs="Times New Roman" w:eastAsia="Times New Roman" w:hAnsi="Times New Roman"/>
          <w:sz w:val="22"/>
          <w:szCs w:val="22"/>
          <w:b w:val="1"/>
          <w:bCs w:val="1"/>
          <w:color w:val="auto"/>
        </w:rPr>
      </w:pPr>
    </w:p>
    <w:p>
      <w:pPr>
        <w:jc w:val="both"/>
        <w:ind w:firstLine="757"/>
        <w:spacing w:after="0" w:line="241"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Notwithstanding anything to the contrary in the Employment Agreement, for the fiscal year 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June 30, 2025, your target annual bonus will be 50% of your base salary. Any annual bonus will be paid at the discretion of the Compensation Committee of the Board (the “</w:t>
      </w:r>
      <w:r>
        <w:rPr>
          <w:rFonts w:ascii="Times New Roman" w:cs="Times New Roman" w:eastAsia="Times New Roman" w:hAnsi="Times New Roman"/>
          <w:sz w:val="22"/>
          <w:szCs w:val="22"/>
          <w:b w:val="1"/>
          <w:bCs w:val="1"/>
          <w:color w:val="auto"/>
        </w:rPr>
        <w:t>Compensation Committee</w:t>
      </w:r>
      <w:r>
        <w:rPr>
          <w:rFonts w:ascii="Times New Roman" w:cs="Times New Roman" w:eastAsia="Times New Roman" w:hAnsi="Times New Roman"/>
          <w:sz w:val="22"/>
          <w:szCs w:val="22"/>
          <w:color w:val="auto"/>
        </w:rPr>
        <w:t>”) and may be subject to the achievement of corporate and individual performance goals established by the Compensation Committee.</w:t>
      </w:r>
    </w:p>
    <w:p>
      <w:pPr>
        <w:spacing w:after="0" w:line="171"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 Fee</w:t>
      </w:r>
      <w:r>
        <w:rPr>
          <w:rFonts w:ascii="Times New Roman" w:cs="Times New Roman" w:eastAsia="Times New Roman" w:hAnsi="Times New Roman"/>
          <w:sz w:val="22"/>
          <w:szCs w:val="22"/>
          <w:color w:val="auto"/>
        </w:rPr>
        <w:t>. If the closing cash balance of the Company as of the Measurement Date (as defined below) exceeds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you will be eligible to receive a lump sum cash payment equal to [***]% of the closing cash balance of the Company as of the Measurement Date in excess of $[***], subject to your continued service as described below (the “</w:t>
      </w:r>
      <w:r>
        <w:rPr>
          <w:rFonts w:ascii="Times New Roman" w:cs="Times New Roman" w:eastAsia="Times New Roman" w:hAnsi="Times New Roman"/>
          <w:sz w:val="22"/>
          <w:szCs w:val="22"/>
          <w:b w:val="1"/>
          <w:bCs w:val="1"/>
          <w:color w:val="auto"/>
        </w:rPr>
        <w:t>Success Fee</w:t>
      </w:r>
      <w:r>
        <w:rPr>
          <w:rFonts w:ascii="Times New Roman" w:cs="Times New Roman" w:eastAsia="Times New Roman" w:hAnsi="Times New Roman"/>
          <w:sz w:val="22"/>
          <w:szCs w:val="22"/>
          <w:color w:val="auto"/>
        </w:rPr>
        <w:t>”). Notwithstanding the foregoing, the Board may adjust the closing balance percentage or the hurdle applicable to the Success Fee in the Board’s sole discretion based on the occurrence of events or initiatives that the Board determines make an adjustment appropriate (including without limitation any corporate transaction). The “</w:t>
      </w:r>
      <w:r>
        <w:rPr>
          <w:rFonts w:ascii="Times New Roman" w:cs="Times New Roman" w:eastAsia="Times New Roman" w:hAnsi="Times New Roman"/>
          <w:sz w:val="22"/>
          <w:szCs w:val="22"/>
          <w:b w:val="1"/>
          <w:bCs w:val="1"/>
          <w:color w:val="auto"/>
        </w:rPr>
        <w:t>Measurement Date</w:t>
      </w:r>
      <w:r>
        <w:rPr>
          <w:rFonts w:ascii="Times New Roman" w:cs="Times New Roman" w:eastAsia="Times New Roman" w:hAnsi="Times New Roman"/>
          <w:sz w:val="22"/>
          <w:szCs w:val="22"/>
          <w:color w:val="auto"/>
        </w:rPr>
        <w:t>” is the first to occur of (i) [***] or (ii) the closing date of a Change in Control as defined in the Company’s Equity Compensation Plan.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91" w:name="page92"/>
    <w:bookmarkEnd w:id="91"/>
    <w:p>
      <w:pPr>
        <w:jc w:val="both"/>
        <w:spacing w:after="0" w:line="239" w:lineRule="auto"/>
        <w:rPr>
          <w:sz w:val="20"/>
          <w:szCs w:val="20"/>
          <w:color w:val="auto"/>
        </w:rPr>
      </w:pPr>
      <w:r>
        <w:rPr>
          <w:rFonts w:ascii="Times New Roman" w:cs="Times New Roman" w:eastAsia="Times New Roman" w:hAnsi="Times New Roman"/>
          <w:sz w:val="22"/>
          <w:szCs w:val="22"/>
          <w:color w:val="auto"/>
        </w:rPr>
        <w:t>Success Fee shall be paid on the first to occur of (i) [***] or (ii) your termination of employment by the Company without Cause (as defined in the Employment Agreement), provided that you remain employed by the Company through the payment date of the Success Fee. Nothing in this Section 4 shall affect the Board’s discretion to manage the Company and the Company’s cash as it deems appropriate.</w:t>
      </w:r>
    </w:p>
    <w:p>
      <w:pPr>
        <w:spacing w:after="0" w:line="176" w:lineRule="exact"/>
        <w:rPr>
          <w:sz w:val="20"/>
          <w:szCs w:val="20"/>
          <w:color w:val="auto"/>
        </w:rPr>
      </w:pPr>
    </w:p>
    <w:p>
      <w:pPr>
        <w:jc w:val="both"/>
        <w:ind w:firstLine="757"/>
        <w:spacing w:after="0" w:line="241" w:lineRule="auto"/>
        <w:tabs>
          <w:tab w:leader="none" w:pos="10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Addendum, together with the Employment Agreement and Employee Proprietary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Information and Inventions Agreement, dated June 9, 2023, constitute the entire understanding of the Company and you with respect to the matters set forth herein and therein, and may not be amended except by a written instrument signed by both you and the Company.</w:t>
      </w:r>
    </w:p>
    <w:p>
      <w:pPr>
        <w:spacing w:after="0" w:line="171" w:lineRule="exact"/>
        <w:rPr>
          <w:rFonts w:ascii="Times New Roman" w:cs="Times New Roman" w:eastAsia="Times New Roman" w:hAnsi="Times New Roman"/>
          <w:sz w:val="22"/>
          <w:szCs w:val="22"/>
          <w:b w:val="1"/>
          <w:bCs w:val="1"/>
          <w:color w:val="auto"/>
        </w:rPr>
      </w:pPr>
    </w:p>
    <w:p>
      <w:pPr>
        <w:ind w:firstLine="757"/>
        <w:spacing w:after="0" w:line="286" w:lineRule="auto"/>
        <w:tabs>
          <w:tab w:leader="none" w:pos="1018"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All payments under this Addendum are subject to applicable tax withholding and are subject to the provisions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Employment Agreement relating to Sections 409A and 280G of the Internal Revenue Code of 1986, as amended.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2" w:name="page93"/>
    <w:bookmarkEnd w:id="92"/>
    <w:p>
      <w:pPr>
        <w:ind w:left="760"/>
        <w:spacing w:after="0"/>
        <w:rPr>
          <w:sz w:val="20"/>
          <w:szCs w:val="20"/>
          <w:color w:val="auto"/>
        </w:rPr>
      </w:pPr>
      <w:r>
        <w:rPr>
          <w:rFonts w:ascii="Times New Roman" w:cs="Times New Roman" w:eastAsia="Times New Roman" w:hAnsi="Times New Roman"/>
          <w:sz w:val="21"/>
          <w:szCs w:val="21"/>
          <w:color w:val="auto"/>
        </w:rPr>
        <w:t>Please confirm your agreement to the terms of this Addendum by countersigning below where indicated.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MEI Pharma,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1734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3716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Justin J. File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Addendum to Employment Agreement</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333-277201, 333-186070, 333-184011, 333-174789, 333-146453, and 333-136440 on Form S-3 and Registration Statement Nos. 333-272627, 333-269666, 333-255830, 333-251976, 333-229554, 333-216103, 333-213278, 333-201703, 333-179591, 333-174790, 333-169719, and 333-156985 on Form S-8 of our report dated September 19, 2024 relating to the financial statements of MEI Pharma, Inc. appearing in this Annual Report on Form 10-K for the year ended June 30,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MEI Pharma,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166" w:lineRule="exact"/>
        <w:rPr>
          <w:sz w:val="20"/>
          <w:szCs w:val="20"/>
          <w:color w:val="auto"/>
        </w:rPr>
      </w:pPr>
    </w:p>
    <w:p>
      <w:pPr>
        <w:ind w:right="40"/>
        <w:spacing w:after="0" w:line="238"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333-277201,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186070, 333-184011, 333-174789, 333-146453, and 333-136440) and Form S-8 (No. 333-272627, 333-269666, 333-255830, 333-251976, 333-229554, 333-216103, 333-213278, 333-201703, 333-179591, 333-174790, 333-169719, and 333-156985) of MEI Pharma, Inc. of our report dated September 26, 2023, relating to the consolidated financial statements, which appears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June 30, 2024, of MEI Pharma,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September 19, 2024</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Justin J. File</w:t>
            </w:r>
          </w:p>
        </w:tc>
        <w:tc>
          <w:tcPr>
            <w:tcW w:w="20" w:type="dxa"/>
            <w:vAlign w:val="bottom"/>
          </w:tcPr>
          <w:p>
            <w:pPr>
              <w:spacing w:after="0"/>
              <w:rPr>
                <w:sz w:val="18"/>
                <w:szCs w:val="18"/>
                <w:color w:val="auto"/>
              </w:rPr>
            </w:pPr>
          </w:p>
        </w:tc>
      </w:tr>
      <w:tr>
        <w:trPr>
          <w:trHeight w:val="207"/>
        </w:trPr>
        <w:tc>
          <w:tcPr>
            <w:tcW w:w="576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Justin J. File</w:t>
            </w:r>
          </w:p>
        </w:tc>
        <w:tc>
          <w:tcPr>
            <w:tcW w:w="20" w:type="dxa"/>
            <w:vAlign w:val="bottom"/>
          </w:tcPr>
          <w:p>
            <w:pPr>
              <w:spacing w:after="0"/>
              <w:rPr>
                <w:sz w:val="17"/>
                <w:szCs w:val="17"/>
                <w:color w:val="auto"/>
              </w:rPr>
            </w:pPr>
          </w:p>
        </w:tc>
      </w:tr>
      <w:tr>
        <w:trPr>
          <w:trHeight w:val="256"/>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Acting Chief Executive Officer and</w:t>
            </w:r>
          </w:p>
        </w:tc>
        <w:tc>
          <w:tcPr>
            <w:tcW w:w="20" w:type="dxa"/>
            <w:vAlign w:val="bottom"/>
          </w:tcPr>
          <w:p>
            <w:pPr>
              <w:spacing w:after="0"/>
              <w:rPr>
                <w:sz w:val="22"/>
                <w:szCs w:val="22"/>
                <w:color w:val="auto"/>
              </w:rPr>
            </w:pPr>
          </w:p>
        </w:tc>
      </w:tr>
      <w:tr>
        <w:trPr>
          <w:trHeight w:val="257"/>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and Secretary</w:t>
            </w:r>
          </w:p>
        </w:tc>
        <w:tc>
          <w:tcPr>
            <w:tcW w:w="20" w:type="dxa"/>
            <w:vAlign w:val="bottom"/>
          </w:tcPr>
          <w:p>
            <w:pPr>
              <w:spacing w:after="0"/>
              <w:rPr>
                <w:sz w:val="22"/>
                <w:szCs w:val="22"/>
                <w:color w:val="auto"/>
              </w:rPr>
            </w:pPr>
          </w:p>
        </w:tc>
      </w:tr>
      <w:tr>
        <w:trPr>
          <w:trHeight w:val="256"/>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 and Principal Financial Officer)</w:t>
            </w:r>
          </w:p>
        </w:tc>
        <w:tc>
          <w:tcPr>
            <w:tcW w:w="20" w:type="dxa"/>
            <w:vAlign w:val="bottom"/>
          </w:tcPr>
          <w:p>
            <w:pPr>
              <w:spacing w:after="0"/>
              <w:rPr>
                <w:sz w:val="22"/>
                <w:szCs w:val="22"/>
                <w:color w:val="auto"/>
              </w:rPr>
            </w:pPr>
          </w:p>
        </w:tc>
      </w:tr>
      <w:tr>
        <w:trPr>
          <w:trHeight w:val="1039"/>
        </w:trPr>
        <w:tc>
          <w:tcPr>
            <w:tcW w:w="57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an Acting Chief Executive Officer and Chief Financial Officer of MEI Pharma, Inc. (“MEI Pharma”) that, to his knowledge, this Annual Report on Form 10-K of MEI Pharma, for the year ended June 30, 2024,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2024</w:t>
      </w:r>
    </w:p>
    <w:p>
      <w:pPr>
        <w:spacing w:after="0" w:line="200" w:lineRule="exact"/>
        <w:rPr>
          <w:sz w:val="20"/>
          <w:szCs w:val="20"/>
          <w:color w:val="auto"/>
        </w:rPr>
      </w:pPr>
    </w:p>
    <w:p>
      <w:pPr>
        <w:spacing w:after="0" w:line="28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20320</wp:posOffset>
            </wp:positionV>
            <wp:extent cx="33172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Justin J. File</w:t>
      </w:r>
    </w:p>
    <w:p>
      <w:pPr>
        <w:spacing w:after="0" w:line="3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Acting Chief Executive Officer and Chief Financial Officer</w:t>
      </w:r>
    </w:p>
    <w:p>
      <w:pPr>
        <w:spacing w:after="0" w:line="3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6"/>
          <w:szCs w:val="16"/>
          <w:color w:val="auto"/>
        </w:rPr>
        <w:t>(Principal Executive Officer and Principal Financial Officer)</w:t>
      </w:r>
    </w:p>
    <w:p>
      <w:pPr>
        <w:spacing w:after="0" w:line="24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w:t>
      </w:r>
      <w:r>
        <w:rPr>
          <w:rFonts w:ascii="Times New Roman" w:cs="Times New Roman" w:eastAsia="Times New Roman" w:hAnsi="Times New Roman"/>
          <w:sz w:val="25"/>
          <w:szCs w:val="25"/>
          <w:b w:val="1"/>
          <w:bCs w:val="1"/>
          <w:color w:val="auto"/>
        </w:rPr>
        <w:t>ompensation</w:t>
      </w:r>
      <w:r>
        <w:rPr>
          <w:rFonts w:ascii="Times New Roman" w:cs="Times New Roman" w:eastAsia="Times New Roman" w:hAnsi="Times New Roman"/>
          <w:sz w:val="36"/>
          <w:szCs w:val="36"/>
          <w:b w:val="1"/>
          <w:bCs w:val="1"/>
          <w:color w:val="auto"/>
        </w:rPr>
        <w:t xml:space="preserve"> R</w:t>
      </w:r>
      <w:r>
        <w:rPr>
          <w:rFonts w:ascii="Times New Roman" w:cs="Times New Roman" w:eastAsia="Times New Roman" w:hAnsi="Times New Roman"/>
          <w:sz w:val="25"/>
          <w:szCs w:val="25"/>
          <w:b w:val="1"/>
          <w:bCs w:val="1"/>
          <w:color w:val="auto"/>
        </w:rPr>
        <w:t>ecoupment</w:t>
      </w:r>
      <w:r>
        <w:rPr>
          <w:rFonts w:ascii="Times New Roman" w:cs="Times New Roman" w:eastAsia="Times New Roman" w:hAnsi="Times New Roman"/>
          <w:sz w:val="36"/>
          <w:szCs w:val="36"/>
          <w:b w:val="1"/>
          <w:bCs w:val="1"/>
          <w:color w:val="auto"/>
        </w:rPr>
        <w:t xml:space="preserve"> P</w:t>
      </w:r>
      <w:r>
        <w:rPr>
          <w:rFonts w:ascii="Times New Roman" w:cs="Times New Roman" w:eastAsia="Times New Roman" w:hAnsi="Times New Roman"/>
          <w:sz w:val="25"/>
          <w:szCs w:val="25"/>
          <w:b w:val="1"/>
          <w:bCs w:val="1"/>
          <w:color w:val="auto"/>
        </w:rPr>
        <w:t>olicy of</w:t>
      </w:r>
    </w:p>
    <w:p>
      <w:pPr>
        <w:spacing w:after="0" w:line="11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36"/>
          <w:szCs w:val="36"/>
          <w:b w:val="1"/>
          <w:bCs w:val="1"/>
          <w:color w:val="auto"/>
        </w:rPr>
        <w:t>MEI P</w:t>
      </w:r>
      <w:r>
        <w:rPr>
          <w:rFonts w:ascii="Times New Roman" w:cs="Times New Roman" w:eastAsia="Times New Roman" w:hAnsi="Times New Roman"/>
          <w:sz w:val="25"/>
          <w:szCs w:val="25"/>
          <w:b w:val="1"/>
          <w:bCs w:val="1"/>
          <w:color w:val="auto"/>
        </w:rPr>
        <w:t>harma</w:t>
      </w:r>
      <w:r>
        <w:rPr>
          <w:rFonts w:ascii="Times New Roman" w:cs="Times New Roman" w:eastAsia="Times New Roman" w:hAnsi="Times New Roman"/>
          <w:sz w:val="36"/>
          <w:szCs w:val="36"/>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6"/>
          <w:szCs w:val="36"/>
          <w:b w:val="1"/>
          <w:bCs w:val="1"/>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October 2, 2023</w:t>
      </w: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u w:val="single" w:color="auto"/>
          <w:color w:val="auto"/>
        </w:rPr>
        <w:t>ARTICLE A.</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14"/>
          <w:szCs w:val="14"/>
          <w:color w:val="auto"/>
        </w:rPr>
        <w:t>urpose and</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A-1.</w:t>
      </w: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MEI Pharma,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Compensation Recoupment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to:</w:t>
      </w:r>
    </w:p>
    <w:p>
      <w:pPr>
        <w:spacing w:after="0" w:line="212" w:lineRule="exact"/>
        <w:rPr>
          <w:sz w:val="20"/>
          <w:szCs w:val="20"/>
          <w:color w:val="auto"/>
        </w:rPr>
      </w:pPr>
    </w:p>
    <w:p>
      <w:pPr>
        <w:ind w:left="760" w:hanging="378"/>
        <w:spacing w:after="0" w:line="258" w:lineRule="auto"/>
        <w:tabs>
          <w:tab w:leader="none" w:pos="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implement a mandatory clawback policy in the event of a Restatement in compliance with the applicable rules of the Nasdaq exchange, which is set forth in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of this Policy; and</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implement a discretionary clawback policy to recoup certain compensation in circumstances involving misconduct, as determined advisable in the discretion of the Committee, which is set forth in </w:t>
      </w: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 xml:space="preserve"> of this Policy.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Any capitalized terms used, but not immediately defined, in this Policy shall have the meanings set forth in Section A-7, Section B-1 or Section C-1, as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Policy shall be administered in the sole discretion of the Committee. The Committee shall have the discretion to interpret this Policy and make all determinations with respect to this Policy, consistent with applicable law and this Policy. Without limiting the foregoing:</w:t>
      </w:r>
    </w:p>
    <w:p>
      <w:pPr>
        <w:spacing w:after="0" w:line="173" w:lineRule="exact"/>
        <w:rPr>
          <w:sz w:val="20"/>
          <w:szCs w:val="20"/>
          <w:color w:val="auto"/>
        </w:rPr>
      </w:pPr>
    </w:p>
    <w:p>
      <w:pPr>
        <w:ind w:left="760" w:hanging="378"/>
        <w:spacing w:after="0" w:line="282" w:lineRule="auto"/>
        <w:tabs>
          <w:tab w:leader="none" w:pos="760" w:val="left"/>
        </w:tabs>
        <w:numPr>
          <w:ilvl w:val="0"/>
          <w:numId w:val="5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Article B</w:t>
      </w:r>
      <w:r>
        <w:rPr>
          <w:rFonts w:ascii="Times New Roman" w:cs="Times New Roman" w:eastAsia="Times New Roman" w:hAnsi="Times New Roman"/>
          <w:sz w:val="21"/>
          <w:szCs w:val="21"/>
          <w:color w:val="auto"/>
        </w:rPr>
        <w:t xml:space="preserve"> of this Policy shall be interpreted in a manner that is consistent with the requirements of the Applicable Rules, and compliance with this Policy shall not be waived by the Committee, the Board, or the Company in any respect; and</w:t>
      </w:r>
    </w:p>
    <w:p>
      <w:pPr>
        <w:spacing w:after="0" w:line="130" w:lineRule="exact"/>
        <w:rPr>
          <w:rFonts w:ascii="Times New Roman" w:cs="Times New Roman" w:eastAsia="Times New Roman" w:hAnsi="Times New Roman"/>
          <w:sz w:val="21"/>
          <w:szCs w:val="21"/>
          <w:u w:val="single" w:color="auto"/>
          <w:color w:val="auto"/>
        </w:rPr>
      </w:pPr>
    </w:p>
    <w:p>
      <w:pPr>
        <w:jc w:val="both"/>
        <w:ind w:left="760" w:hanging="378"/>
        <w:spacing w:after="0" w:line="246" w:lineRule="auto"/>
        <w:tabs>
          <w:tab w:leader="none" w:pos="760" w:val="left"/>
        </w:tabs>
        <w:numPr>
          <w:ilvl w:val="0"/>
          <w:numId w:val="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 xml:space="preserve"> of this Policy shall be interpreted in the Committee’s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Board may assume any or all powers and authority of the Committee with respect to administration of </w:t>
      </w: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 in which case references to the Committee shall be deemed to include the Board, as applicable.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interpretations and determinations made by the Committee shall be final and binding on all affected individuals.</w:t>
      </w:r>
    </w:p>
    <w:p>
      <w:pPr>
        <w:spacing w:after="0" w:line="200" w:lineRule="exact"/>
        <w:rPr>
          <w:sz w:val="20"/>
          <w:szCs w:val="20"/>
          <w:color w:val="auto"/>
        </w:rPr>
      </w:pPr>
    </w:p>
    <w:p>
      <w:pPr>
        <w:spacing w:after="0" w:line="25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A-3.</w:t>
      </w:r>
      <w:r>
        <w:rPr>
          <w:rFonts w:ascii="Times New Roman" w:cs="Times New Roman" w:eastAsia="Times New Roman" w:hAnsi="Times New Roman"/>
          <w:sz w:val="22"/>
          <w:szCs w:val="22"/>
          <w:u w:val="single" w:color="auto"/>
          <w:color w:val="auto"/>
        </w:rPr>
        <w:t>Effective Date; Term</w:t>
      </w:r>
      <w:r>
        <w:rPr>
          <w:rFonts w:ascii="Times New Roman" w:cs="Times New Roman" w:eastAsia="Times New Roman" w:hAnsi="Times New Roman"/>
          <w:sz w:val="22"/>
          <w:szCs w:val="22"/>
          <w:color w:val="auto"/>
        </w:rPr>
        <w:t>.</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color w:val="auto"/>
        </w:rPr>
        <w:t>This Policy is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of this Policy applies to Incentive-Based Compensation that is Received by any Executive Officer on or after the Effective Date as described in Section B-3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A-4.</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Board may amend this Policy from time to time in its discretion, subject to any limitations under applicable law or listing standards, including, in the case of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the Applicable Rules. Without limiting the forgoing, the Board may amend this Policy as it deems necessary to reflect any amendment of the Applicable Rules or regulations or guidance issued under the Applicable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A-5.</w:t>
      </w:r>
      <w:r>
        <w:rPr>
          <w:rFonts w:ascii="Times New Roman" w:cs="Times New Roman" w:eastAsia="Times New Roman" w:hAnsi="Times New Roman"/>
          <w:sz w:val="22"/>
          <w:szCs w:val="22"/>
          <w:u w:val="single" w:color="auto"/>
          <w:color w:val="auto"/>
        </w:rPr>
        <w:t>No Substitution of Rights; Non-Exhaustive Rights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right of recoupment under this Policy is in addition to, and not in lieu of, any other remedies or rights that may be available to the Company pursuant to (a) the Company’s Amended and Restated 2008 Stock Omnibus Equity Compensation Plan and Amended and Restated 2021 Inducement Grant Equity Compensation Plan, any successor plans thereto, and any other incentive plan of the Company or any of its subsidiaries, (b) the terms of any recoupment policy or provision in any employment agreement, compensation agreement or arrangement, or other agreement, or (c) any other legal remedies available to the Company under applicable law.</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to recovery of compensation as provided for in this Policy, the Company may take any and all other actions as it deems necessary, appropriate, and in the Company’s best interest in connection with the Committee determining that this Policy should apply, including termination of the employment of, or initiating legal action against, an Executive Officer or Covered Person (as applicable), and nothing in this Policy limits the Company’s rights to take any such appropriate 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A-6.</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and all determinations made and actions taken pursuant hereto, to the extent not otherwise governed by mandatory provisions of the Applicable Rules, shall be governed by and construed in accordance with the laws of the State of Delaware without regard to choice of law principles. If any provision of this Policy shall be held illegal or invalid for any reason, such illegality or invalidity shall not affect the remaining parts of this Policy, but this Policy shall be construed and enforced as if the illegal or invalid provision had never been included in this Policy.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A-7.</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capitalized terms used in this Policy have the following meanings:</w:t>
      </w:r>
    </w:p>
    <w:p>
      <w:pPr>
        <w:spacing w:after="0" w:line="227" w:lineRule="exact"/>
        <w:rPr>
          <w:sz w:val="20"/>
          <w:szCs w:val="20"/>
          <w:color w:val="auto"/>
        </w:rPr>
      </w:pPr>
    </w:p>
    <w:p>
      <w:pPr>
        <w:ind w:left="760" w:hanging="378"/>
        <w:spacing w:after="0" w:line="264"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and Rule 10D-1 promulgated thereunder and Listing Rule 5608 of the Listing Rules of the Nasdaq Stock Market.</w:t>
      </w:r>
    </w:p>
    <w:p>
      <w:pPr>
        <w:spacing w:after="0" w:line="3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26"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760" w:hanging="378"/>
        <w:spacing w:after="0" w:line="264" w:lineRule="auto"/>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Compensation</w:t>
      </w:r>
      <w:r>
        <w:rPr>
          <w:rFonts w:ascii="Times New Roman" w:cs="Times New Roman" w:eastAsia="Times New Roman" w:hAnsi="Times New Roman"/>
          <w:sz w:val="22"/>
          <w:szCs w:val="22"/>
          <w:color w:val="auto"/>
        </w:rPr>
        <w:t xml:space="preserve">” means, for the purposes of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Incentive-Based Compensation and, for the purposes of </w:t>
      </w: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 Covered Compensation, in each case as determined to be subject to repayment pursuant to this Policy.</w:t>
      </w:r>
    </w:p>
    <w:p>
      <w:pPr>
        <w:spacing w:after="0" w:line="145" w:lineRule="exact"/>
        <w:rPr>
          <w:rFonts w:ascii="Times New Roman" w:cs="Times New Roman" w:eastAsia="Times New Roman" w:hAnsi="Times New Roman"/>
          <w:sz w:val="22"/>
          <w:szCs w:val="22"/>
          <w:color w:val="auto"/>
        </w:rPr>
      </w:pPr>
    </w:p>
    <w:p>
      <w:pPr>
        <w:ind w:left="760" w:hanging="378"/>
        <w:spacing w:after="0" w:line="264" w:lineRule="auto"/>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Compensation Committee of the Company, or, in the absence of such committee, a majority of independent directors serving on the Board.</w:t>
      </w:r>
    </w:p>
    <w:p>
      <w:pPr>
        <w:spacing w:after="0" w:line="14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Regulators</w:t>
      </w:r>
      <w:r>
        <w:rPr>
          <w:rFonts w:ascii="Times New Roman" w:cs="Times New Roman" w:eastAsia="Times New Roman" w:hAnsi="Times New Roman"/>
          <w:sz w:val="21"/>
          <w:szCs w:val="21"/>
          <w:color w:val="auto"/>
        </w:rPr>
        <w:t>” means, as applicable, the Securities and Exchange Commission and the Nasdaq Stock Market (“</w:t>
      </w:r>
      <w:r>
        <w:rPr>
          <w:rFonts w:ascii="Times New Roman" w:cs="Times New Roman" w:eastAsia="Times New Roman" w:hAnsi="Times New Roman"/>
          <w:sz w:val="21"/>
          <w:szCs w:val="21"/>
          <w:b w:val="1"/>
          <w:bCs w:val="1"/>
          <w:i w:val="1"/>
          <w:iCs w:val="1"/>
          <w:color w:val="auto"/>
        </w:rPr>
        <w:t>Nasdaq</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B.</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odd</w:t>
      </w:r>
      <w:r>
        <w:rPr>
          <w:rFonts w:ascii="Times New Roman" w:cs="Times New Roman" w:eastAsia="Times New Roman" w:hAnsi="Times New Roman"/>
          <w:sz w:val="22"/>
          <w:szCs w:val="22"/>
          <w:color w:val="auto"/>
        </w:rPr>
        <w:t>-F</w:t>
      </w:r>
      <w:r>
        <w:rPr>
          <w:rFonts w:ascii="Times New Roman" w:cs="Times New Roman" w:eastAsia="Times New Roman" w:hAnsi="Times New Roman"/>
          <w:sz w:val="14"/>
          <w:szCs w:val="14"/>
          <w:color w:val="auto"/>
        </w:rPr>
        <w:t>rank</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ecoupment</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olicy for</w:t>
      </w:r>
    </w:p>
    <w:p>
      <w:pPr>
        <w:jc w:val="center"/>
        <w:spacing w:after="0"/>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14"/>
          <w:szCs w:val="14"/>
          <w:color w:val="auto"/>
        </w:rPr>
        <w:t>xecutive</w:t>
      </w:r>
      <w:r>
        <w:rPr>
          <w:rFonts w:ascii="Times New Roman" w:cs="Times New Roman" w:eastAsia="Times New Roman" w:hAnsi="Times New Roman"/>
          <w:sz w:val="22"/>
          <w:szCs w:val="22"/>
          <w:color w:val="auto"/>
        </w:rPr>
        <w:t xml:space="preserve"> O</w:t>
      </w:r>
      <w:r>
        <w:rPr>
          <w:rFonts w:ascii="Times New Roman" w:cs="Times New Roman" w:eastAsia="Times New Roman" w:hAnsi="Times New Roman"/>
          <w:sz w:val="14"/>
          <w:szCs w:val="14"/>
          <w:color w:val="auto"/>
        </w:rPr>
        <w:t>fficers</w:t>
      </w:r>
    </w:p>
    <w:p>
      <w:pPr>
        <w:spacing w:after="0" w:line="1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u w:val="single" w:color="auto"/>
          <w:color w:val="auto"/>
        </w:rPr>
        <w:t>Section B-1.</w:t>
      </w:r>
      <w:r>
        <w:rPr>
          <w:rFonts w:ascii="Times New Roman" w:cs="Times New Roman" w:eastAsia="Times New Roman" w:hAnsi="Times New Roman"/>
          <w:sz w:val="22"/>
          <w:szCs w:val="22"/>
          <w:u w:val="single" w:color="auto"/>
          <w:color w:val="auto"/>
        </w:rPr>
        <w:t>Specific Defined Terms</w:t>
      </w:r>
      <w:r>
        <w:rPr>
          <w:rFonts w:ascii="Times New Roman" w:cs="Times New Roman" w:eastAsia="Times New Roman" w:hAnsi="Times New Roman"/>
          <w:sz w:val="22"/>
          <w:szCs w:val="22"/>
          <w:color w:val="auto"/>
        </w:rPr>
        <w:t>. For the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the following terms have the following meanings,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interpreted to comply with the Applicable Rules:</w:t>
      </w:r>
    </w:p>
    <w:p>
      <w:pPr>
        <w:spacing w:after="0" w:line="175" w:lineRule="exact"/>
        <w:rPr>
          <w:sz w:val="20"/>
          <w:szCs w:val="20"/>
          <w:color w:val="auto"/>
        </w:rPr>
      </w:pPr>
    </w:p>
    <w:p>
      <w:pPr>
        <w:jc w:val="both"/>
        <w:ind w:left="760" w:hanging="378"/>
        <w:spacing w:after="0" w:line="237"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each officer of the Company who is identified as an executive officer for the purposes of 17 CFR § 229.401(b), which is defined as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w:t>
      </w:r>
    </w:p>
    <w:p>
      <w:pPr>
        <w:spacing w:after="0" w:line="175"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means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Securities and Exchange Commission.</w:t>
      </w:r>
    </w:p>
    <w:p>
      <w:pPr>
        <w:spacing w:after="0" w:line="171"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p>
      <w:pPr>
        <w:spacing w:after="0" w:line="171" w:lineRule="exact"/>
        <w:rPr>
          <w:rFonts w:ascii="Times New Roman" w:cs="Times New Roman" w:eastAsia="Times New Roman" w:hAnsi="Times New Roman"/>
          <w:sz w:val="22"/>
          <w:szCs w:val="22"/>
          <w:color w:val="auto"/>
        </w:rPr>
      </w:pPr>
    </w:p>
    <w:p>
      <w:pPr>
        <w:ind w:left="760" w:right="20" w:hanging="378"/>
        <w:spacing w:after="0" w:line="264" w:lineRule="auto"/>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 Incentive-Based Compensation is deemed “Received” for the purposes of this Policy in the Company’s fiscal period during which the Financial Reporting Measure</w:t>
      </w:r>
    </w:p>
    <w:p>
      <w:pPr>
        <w:spacing w:after="0" w:line="3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3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applicable to the Incentive-Based Compensation award is attained, even if the payment or grant of the Incentive-Based Compensation occurs after the end of that period.</w:t>
      </w:r>
    </w:p>
    <w:p>
      <w:pPr>
        <w:spacing w:after="0" w:line="152" w:lineRule="exact"/>
        <w:rPr>
          <w:sz w:val="20"/>
          <w:szCs w:val="20"/>
          <w:color w:val="auto"/>
        </w:rPr>
      </w:pPr>
    </w:p>
    <w:p>
      <w:pPr>
        <w:jc w:val="both"/>
        <w:ind w:left="760" w:hanging="378"/>
        <w:spacing w:after="0" w:line="239" w:lineRule="auto"/>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Recovery Period</w:t>
      </w:r>
      <w:r>
        <w:rPr>
          <w:rFonts w:ascii="Times New Roman" w:cs="Times New Roman" w:eastAsia="Times New Roman" w:hAnsi="Times New Roman"/>
          <w:sz w:val="22"/>
          <w:szCs w:val="22"/>
          <w:color w:val="auto"/>
        </w:rPr>
        <w:t>” means the three completed fiscal years immediately preceding the date on which the Company is required to prepare a Restatement, which date is the earlier of (i) the date the Board,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spacing w:after="0" w:line="171"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that the Company is required to prepare an accounting restatement due to a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would result in a material misstatement if the error were corrected in the current period or left uncorrected in the current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B-2.</w:t>
      </w:r>
      <w:r>
        <w:rPr>
          <w:rFonts w:ascii="Times New Roman" w:cs="Times New Roman" w:eastAsia="Times New Roman" w:hAnsi="Times New Roman"/>
          <w:sz w:val="22"/>
          <w:szCs w:val="22"/>
          <w:u w:val="single" w:color="auto"/>
          <w:color w:val="auto"/>
        </w:rPr>
        <w:t>Recovery on a Restatement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reasonably promptly recover from an Executive Officer the amount of any erroneously awarded Incentive-Based Compensation that is Received by such Executive Officer during the Recovery Period. The amount of erroneously Received Incentive-Based Compensation will be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Recovery of any erroneously awarded compensation under this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is not dependent on fraud or misconduct by any Executive Officer in connection with a Restatement.</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Without limiting the foregoing, for Incentive-Based Compensation based on the Company’s stock price or total shareholder return, where the amount of erroneously awarded compensation is not subject to mathematical recalculation directly from the information in the Restatement, (a) the amount shall be based on the Company’s reasonable estimate of the effect of the Restatement on the stock price or total shareholder return upon which the Incentive-Based Compensation was Received, and (b) the Company shall maintain documentation of the determination of that reasonable estimate and provide such estimate to Nasdaq, as required by the Applicable Rules.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B-3.</w:t>
      </w:r>
      <w:r>
        <w:rPr>
          <w:rFonts w:ascii="Times New Roman" w:cs="Times New Roman" w:eastAsia="Times New Roman" w:hAnsi="Times New Roman"/>
          <w:sz w:val="22"/>
          <w:szCs w:val="22"/>
          <w:u w:val="single" w:color="auto"/>
          <w:color w:val="auto"/>
        </w:rPr>
        <w:t>Covered Executive Officers and Covered Incentive-Based Compensation</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Article B</w:t>
      </w:r>
      <w:r>
        <w:rPr>
          <w:rFonts w:ascii="Times New Roman" w:cs="Times New Roman" w:eastAsia="Times New Roman" w:hAnsi="Times New Roman"/>
          <w:sz w:val="21"/>
          <w:szCs w:val="21"/>
          <w:color w:val="auto"/>
        </w:rPr>
        <w:t xml:space="preserve"> covers all persons who are Executive Officers at any time during the Recovery Period for which Incentive-Based Compensation is Received or during the performance period applicable to such Incentive-Based Compensation. Incentive-Based Compensation shall not be recovered under this </w:t>
      </w:r>
      <w:r>
        <w:rPr>
          <w:rFonts w:ascii="Times New Roman" w:cs="Times New Roman" w:eastAsia="Times New Roman" w:hAnsi="Times New Roman"/>
          <w:sz w:val="21"/>
          <w:szCs w:val="21"/>
          <w:u w:val="single" w:color="auto"/>
          <w:color w:val="auto"/>
        </w:rPr>
        <w:t>Article B</w:t>
      </w:r>
      <w:r>
        <w:rPr>
          <w:rFonts w:ascii="Times New Roman" w:cs="Times New Roman" w:eastAsia="Times New Roman" w:hAnsi="Times New Roman"/>
          <w:sz w:val="21"/>
          <w:szCs w:val="21"/>
          <w:color w:val="auto"/>
        </w:rPr>
        <w:t xml:space="preserve"> to the extent Received by any person before the date the person</w:t>
      </w:r>
    </w:p>
    <w:p>
      <w:pPr>
        <w:spacing w:after="0" w:line="200" w:lineRule="exact"/>
        <w:rPr>
          <w:sz w:val="20"/>
          <w:szCs w:val="20"/>
          <w:color w:val="auto"/>
        </w:rPr>
      </w:pPr>
    </w:p>
    <w:p>
      <w:pPr>
        <w:spacing w:after="0" w:line="20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32"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 xml:space="preserve">served as an Executive Officer. Subsequent changes in an Executive Officer’s employment status, including retirement or termination of employment, do not affect the Company’s right to recover Incentive-Based Compensation pursuant to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of this Policy shall apply to Incentive-Based Compensation that is Received by any Executive Officer on or after the Effective Date and that results from attainment of a Financial Reporting Measure based on or derived from financial information for any fiscal period ending on or after the Effective Date. For the avoidance of doubt, this will include Incentive-Based Compensation that may have been approved, awarded, or granted to an Executive Officer on or before the Effective Date if such Incentive-Based Compensation is Received on or after the Effective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B-4.</w:t>
      </w:r>
      <w:r>
        <w:rPr>
          <w:rFonts w:ascii="Times New Roman" w:cs="Times New Roman" w:eastAsia="Times New Roman" w:hAnsi="Times New Roman"/>
          <w:sz w:val="22"/>
          <w:szCs w:val="22"/>
          <w:u w:val="single" w:color="auto"/>
          <w:color w:val="auto"/>
        </w:rPr>
        <w:t>Methods of Recovery; Limited Exceptions</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Committee shall determine, in its sole discretion, the method of recovering any Incentive-Based Compensation Received pursuant to this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consistent with applicable law, which may include, without limitation, the methods of recovery described in </w:t>
      </w:r>
      <w:r>
        <w:rPr>
          <w:rFonts w:ascii="Times New Roman" w:cs="Times New Roman" w:eastAsia="Times New Roman" w:hAnsi="Times New Roman"/>
          <w:sz w:val="22"/>
          <w:szCs w:val="22"/>
          <w:u w:val="single" w:color="auto"/>
          <w:color w:val="auto"/>
        </w:rPr>
        <w:t>Article 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 recovery shall be required if any of the following conditions are met and the Committee determines that, on such basis, recovery would be impracticable:</w:t>
      </w:r>
    </w:p>
    <w:p>
      <w:pPr>
        <w:spacing w:after="0" w:line="158" w:lineRule="exact"/>
        <w:rPr>
          <w:sz w:val="20"/>
          <w:szCs w:val="20"/>
          <w:color w:val="auto"/>
        </w:rPr>
      </w:pPr>
    </w:p>
    <w:p>
      <w:pPr>
        <w:jc w:val="both"/>
        <w:ind w:left="760" w:hanging="378"/>
        <w:spacing w:after="0" w:line="238"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direct expense paid to a third party to assist in enforcing this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xml:space="preserve"> would exceed the amount to be recovered;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prior to making a determination that it would be impracticable to recover any Incentive-Based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based on the expense of enforcement, the Company shall (i) have made a reasonable attempt to recover the Incentive-Based Compensation, (ii) have documented such reasonable attempts to recover, and (iii) provide the documentation to Nasdaq;</w:t>
      </w:r>
    </w:p>
    <w:p>
      <w:pPr>
        <w:spacing w:after="0" w:line="172"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recovery would violate home country law where that law was adopted prior to November 28, 2022;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making a determination that it would be impracticable to recover any Incentive-Based Compensation based on a violation of home country law, the Company shall (i) have obtained an opinion of home country counsel, acceptable to Nasdaq, that recovery would result in such violation, and (ii) provide a copy of such opinion to Nasdaq; or</w:t>
      </w:r>
    </w:p>
    <w:p>
      <w:pPr>
        <w:spacing w:after="0" w:line="175"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to fail to meet the requirements of Section 401(a)(13) or Section 411(a) of the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U.S. Treasury regulations promulgated thereunder.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B-5.</w:t>
      </w:r>
      <w:r>
        <w:rPr>
          <w:rFonts w:ascii="Times New Roman" w:cs="Times New Roman" w:eastAsia="Times New Roman" w:hAnsi="Times New Roman"/>
          <w:sz w:val="22"/>
          <w:szCs w:val="22"/>
          <w:u w:val="single" w:color="auto"/>
          <w:color w:val="auto"/>
        </w:rPr>
        <w:t>Reporting; Disclosure; Monitoring</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shall make all required disclosures and filings with the Regulators with respect to this Policy in accordance with the requirements of the Applicable Rules, and any other requirements applicable to the Company, including the disclosures required in connection with Securities and Exchange Commission filings.</w:t>
      </w:r>
    </w:p>
    <w:p>
      <w:pPr>
        <w:spacing w:after="0" w:line="200" w:lineRule="exact"/>
        <w:rPr>
          <w:sz w:val="20"/>
          <w:szCs w:val="20"/>
          <w:color w:val="auto"/>
        </w:rPr>
      </w:pP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C.</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14"/>
          <w:szCs w:val="14"/>
          <w:color w:val="auto"/>
        </w:rPr>
        <w:t>iscretionary</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ompensation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4"/>
          <w:szCs w:val="14"/>
          <w:color w:val="auto"/>
        </w:rPr>
        <w:t>lawback</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olicy for</w:t>
      </w: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ertain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cts of</w:t>
      </w:r>
      <w:r>
        <w:rPr>
          <w:rFonts w:ascii="Times New Roman" w:cs="Times New Roman" w:eastAsia="Times New Roman" w:hAnsi="Times New Roman"/>
          <w:sz w:val="22"/>
          <w:szCs w:val="22"/>
          <w:color w:val="auto"/>
        </w:rPr>
        <w:t xml:space="preserve"> M</w:t>
      </w:r>
      <w:r>
        <w:rPr>
          <w:rFonts w:ascii="Times New Roman" w:cs="Times New Roman" w:eastAsia="Times New Roman" w:hAnsi="Times New Roman"/>
          <w:sz w:val="14"/>
          <w:szCs w:val="14"/>
          <w:color w:val="auto"/>
        </w:rPr>
        <w:t>isconduct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C-1.</w:t>
      </w:r>
      <w:r>
        <w:rPr>
          <w:rFonts w:ascii="Times New Roman" w:cs="Times New Roman" w:eastAsia="Times New Roman" w:hAnsi="Times New Roman"/>
          <w:sz w:val="22"/>
          <w:szCs w:val="22"/>
          <w:u w:val="single" w:color="auto"/>
          <w:color w:val="auto"/>
        </w:rPr>
        <w:t>Specific Defined Terms</w:t>
      </w:r>
      <w:r>
        <w:rPr>
          <w:rFonts w:ascii="Times New Roman" w:cs="Times New Roman" w:eastAsia="Times New Roman" w:hAnsi="Times New Roman"/>
          <w:sz w:val="22"/>
          <w:szCs w:val="22"/>
          <w:color w:val="auto"/>
        </w:rPr>
        <w:t>. For the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 the following terms have the following meanings:</w:t>
      </w:r>
    </w:p>
    <w:p>
      <w:pPr>
        <w:spacing w:after="0" w:line="231" w:lineRule="exact"/>
        <w:rPr>
          <w:sz w:val="20"/>
          <w:szCs w:val="20"/>
          <w:color w:val="auto"/>
        </w:rPr>
      </w:pPr>
    </w:p>
    <w:p>
      <w:pPr>
        <w:jc w:val="both"/>
        <w:ind w:left="760" w:hanging="378"/>
        <w:spacing w:after="0" w:line="237"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Compensation</w:t>
      </w:r>
      <w:r>
        <w:rPr>
          <w:rFonts w:ascii="Times New Roman" w:cs="Times New Roman" w:eastAsia="Times New Roman" w:hAnsi="Times New Roman"/>
          <w:sz w:val="22"/>
          <w:szCs w:val="22"/>
          <w:color w:val="auto"/>
        </w:rPr>
        <w:t>” means all (i) incentive-based cash compensation granted to a Covered Person, including, without limitation, any annual bonuses and other short- and long-term cash incentives, (ii) equity based compensation, including without limitation, stock options, restricted stock, restricted stock units, and performance share units, and (iii) any proceeds or earnings received in respect of (i) or (ii). For the avoidance of doubt, the foregoing includes any such compensation that is paid, earned, vested, deferred or paid or payable as a component of severance or termination compensation.</w:t>
      </w:r>
    </w:p>
    <w:p>
      <w:pPr>
        <w:spacing w:after="0" w:line="175"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Event</w:t>
      </w:r>
      <w:r>
        <w:rPr>
          <w:rFonts w:ascii="Times New Roman" w:cs="Times New Roman" w:eastAsia="Times New Roman" w:hAnsi="Times New Roman"/>
          <w:sz w:val="22"/>
          <w:szCs w:val="22"/>
          <w:color w:val="auto"/>
        </w:rPr>
        <w:t>” means the date on which the Committee makes the following determination:</w:t>
      </w:r>
    </w:p>
    <w:p>
      <w:pPr>
        <w:spacing w:after="0" w:line="212"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Restatement has occurred and the Committee determines that a Covered Person engaged in misconduct that directly or indirectly resulted in the Restatement, or</w:t>
      </w:r>
    </w:p>
    <w:p>
      <w:pPr>
        <w:spacing w:after="0" w:line="158" w:lineRule="exact"/>
        <w:rPr>
          <w:rFonts w:ascii="Times New Roman" w:cs="Times New Roman" w:eastAsia="Times New Roman" w:hAnsi="Times New Roman"/>
          <w:sz w:val="22"/>
          <w:szCs w:val="22"/>
          <w:color w:val="auto"/>
        </w:rPr>
      </w:pPr>
    </w:p>
    <w:p>
      <w:pPr>
        <w:jc w:val="both"/>
        <w:ind w:left="1500" w:hanging="369"/>
        <w:spacing w:after="0" w:line="235" w:lineRule="auto"/>
        <w:tabs>
          <w:tab w:leader="none" w:pos="1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Person has engaged in any of the following acts or failures to act: (A) conviction of, or a plea of nolo contendere to, a felony or a crime involving moral turpitude, (B) commission of an act of gross negligence or fraud with respect to the Company’s business, (C) failure, refusal or neglecting to substantially perform the Covered Person’s duties or to implement the lawful directives of the Board that continued for 30 days after the Covered Person was provided with specific written notice thereof, (D) material failure to follow the Company’s employment or other applicable policies, or (E) willful engagement in conduct that is materially injurious to the Company, monetarily or otherwise; provided that the Covered Person has 30 days after notice from the Board to cure a failure or a breach set forth above, if curable.</w:t>
      </w:r>
    </w:p>
    <w:p>
      <w:pPr>
        <w:spacing w:after="0" w:line="172" w:lineRule="exact"/>
        <w:rPr>
          <w:rFonts w:ascii="Times New Roman" w:cs="Times New Roman" w:eastAsia="Times New Roman" w:hAnsi="Times New Roman"/>
          <w:sz w:val="22"/>
          <w:szCs w:val="22"/>
          <w:color w:val="auto"/>
        </w:rPr>
      </w:pPr>
    </w:p>
    <w:p>
      <w:pPr>
        <w:ind w:left="760" w:hanging="378"/>
        <w:spacing w:after="0" w:line="264"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Period</w:t>
      </w:r>
      <w:r>
        <w:rPr>
          <w:rFonts w:ascii="Times New Roman" w:cs="Times New Roman" w:eastAsia="Times New Roman" w:hAnsi="Times New Roman"/>
          <w:sz w:val="22"/>
          <w:szCs w:val="22"/>
          <w:color w:val="auto"/>
        </w:rPr>
        <w:t>” means the fiscal year in which the Committee determines a Covered Event has occurred and the three completed fiscal years immediately preceding such fiscal year.</w:t>
      </w:r>
    </w:p>
    <w:p>
      <w:pPr>
        <w:spacing w:after="0" w:line="145" w:lineRule="exact"/>
        <w:rPr>
          <w:rFonts w:ascii="Times New Roman" w:cs="Times New Roman" w:eastAsia="Times New Roman" w:hAnsi="Times New Roman"/>
          <w:sz w:val="22"/>
          <w:szCs w:val="22"/>
          <w:color w:val="auto"/>
        </w:rPr>
      </w:pPr>
    </w:p>
    <w:p>
      <w:pPr>
        <w:ind w:left="760" w:hanging="378"/>
        <w:spacing w:after="0" w:line="264" w:lineRule="auto"/>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Person</w:t>
      </w:r>
      <w:r>
        <w:rPr>
          <w:rFonts w:ascii="Times New Roman" w:cs="Times New Roman" w:eastAsia="Times New Roman" w:hAnsi="Times New Roman"/>
          <w:sz w:val="22"/>
          <w:szCs w:val="22"/>
          <w:color w:val="auto"/>
        </w:rPr>
        <w:t xml:space="preserve">” means (i) each Executive Officer and (ii) such other executives of the Company and its subsidiaries or affiliates as may be determined by the Committee to be subject to this </w:t>
      </w: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C-2.</w:t>
      </w:r>
      <w:r>
        <w:rPr>
          <w:rFonts w:ascii="Times New Roman" w:cs="Times New Roman" w:eastAsia="Times New Roman" w:hAnsi="Times New Roman"/>
          <w:sz w:val="22"/>
          <w:szCs w:val="22"/>
          <w:u w:val="single" w:color="auto"/>
          <w:color w:val="auto"/>
        </w:rPr>
        <w:t>Discretionary Recovery on a Covered Event</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Covered Event occurs with respect to a Covered Person, the Committee may determine whether, and the extent to which, the following forms of Covered Compensation should be recovered from such Covered Person: (a) Covered Compensation that is outstanding (whether vested or unvested) as of the date of the Committee’s Covered Event determination, and (b)</w:t>
      </w:r>
    </w:p>
    <w:p>
      <w:pPr>
        <w:spacing w:after="0" w:line="200" w:lineRule="exact"/>
        <w:rPr>
          <w:sz w:val="20"/>
          <w:szCs w:val="20"/>
          <w:color w:val="auto"/>
        </w:rPr>
      </w:pPr>
    </w:p>
    <w:p>
      <w:pPr>
        <w:spacing w:after="0" w:line="2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Covered Compensation that is or was granted, Received (as defined for purposes of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vested, settled or distributed (including, in the case of stock options or stock appreciation rights, compensation received upon exercise) during the Covered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C-3.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Coverage</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Subsequent changes in a Covered Person’s employment status or status as a service provider, including retirement or termination of employment, do not affect the Company’s rights to recover Covered Compensation pursuant to this </w:t>
      </w:r>
      <w:r>
        <w:rPr>
          <w:rFonts w:ascii="Times New Roman" w:cs="Times New Roman" w:eastAsia="Times New Roman" w:hAnsi="Times New Roman"/>
          <w:sz w:val="22"/>
          <w:szCs w:val="22"/>
          <w:u w:val="single" w:color="auto"/>
          <w:color w:val="auto"/>
        </w:rPr>
        <w:t>Article C</w:t>
      </w:r>
      <w:r>
        <w:rPr>
          <w:rFonts w:ascii="Times New Roman" w:cs="Times New Roman" w:eastAsia="Times New Roman" w:hAnsi="Times New Roman"/>
          <w:sz w:val="22"/>
          <w:szCs w:val="22"/>
          <w:color w:val="auto"/>
        </w:rPr>
        <w:t>.</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u w:val="single" w:color="auto"/>
          <w:color w:val="auto"/>
        </w:rPr>
        <w:t>ARTICLE 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14"/>
          <w:szCs w:val="14"/>
          <w:color w:val="auto"/>
        </w:rPr>
        <w:t>ethods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ecovery</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D-1.</w:t>
      </w:r>
      <w:r>
        <w:rPr>
          <w:rFonts w:ascii="Times New Roman" w:cs="Times New Roman" w:eastAsia="Times New Roman" w:hAnsi="Times New Roman"/>
          <w:sz w:val="22"/>
          <w:szCs w:val="22"/>
          <w:color w:val="auto"/>
        </w:rPr>
        <w:t>Subject to Section B-4, in the event that the Committee determines that this Policy should apply,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permitted by applicable law, the Company shall, as determined by the Committee in its sole discretion, take any such actions as it deems necessary or appropriate to recover Clawback Compensation. The actions may include, without limitation (and as applicable):</w:t>
      </w:r>
    </w:p>
    <w:p>
      <w:pPr>
        <w:spacing w:after="0" w:line="203" w:lineRule="exact"/>
        <w:rPr>
          <w:sz w:val="20"/>
          <w:szCs w:val="20"/>
          <w:color w:val="auto"/>
        </w:rPr>
      </w:pPr>
    </w:p>
    <w:p>
      <w:pPr>
        <w:ind w:left="760" w:hanging="378"/>
        <w:spacing w:after="0" w:line="258"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forfeit, reduce, or cancel any Clawback Compensation (whether vested or unvested) that has not been distributed or otherwise settled;</w:t>
      </w:r>
    </w:p>
    <w:p>
      <w:pPr>
        <w:spacing w:after="0" w:line="158"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recovery of any Clawback Compensation that was previously paid to the Executive Officer or Covered Person (as applicable);</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 recovery of any amounts realized on the vesting, exercise, settlement, sale, transfer, or other disposition of any equity-based Clawback Compensation;</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 any amount in respect of Clawback Compensation that was contributed or deferred to a plan that takes into account Clawback Compensation (excluding certain tax-qualified plans, but including deferred compensation plans, and supplemental executive retirement plans, and insurance plans to the extent otherwise permitted by applicable law, including Section 409A of the Code) and any earnings accrued on such Clawback Compensation;</w:t>
      </w:r>
    </w:p>
    <w:p>
      <w:pPr>
        <w:spacing w:after="0" w:line="180"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required by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 determine whether Clawback Compensation should be recouped on a pre-tax or after-tax basis;</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 withhold, eliminate or cause to be forfeited any amount that could be paid or awarded to the Executive Officer or Covered Person (as applicable) after the date of determination; and</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remedial and recovery action permitted by law, as determined by the Committee.</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addition, the Committee may authorize legal action for breach of fiduciary duty or other violation of law and take such other actions to enforce the obligations of the Executive Officer or Covered Person (as applicable) to the Company as the Committee deems appropriate. In the event that an Executive Officer or Covered Person (as applicable) fails to repay or reimburse erroneously</w:t>
      </w:r>
    </w:p>
    <w:p>
      <w:pPr>
        <w:spacing w:after="0" w:line="21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awarded compensation that is subject to recovery, the Committee may require an Executive Officer or Covered Person (as applicable) to reimburse the Company for any and all expenses reasonably incurred (including legal fees) by the Company in recovering erroneously awarded compensation under this Policy.</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auto"/>
        </w:rPr>
        <w:t>Section D-2.</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Before the Company takes action to seek recovery of compensation pursuant to this Policy against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 Officer or Covered Person (as applicable), the Company shall take commercially reasonable steps to provide such individual with advance written notice of such clawback;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notice requirement shall not in any way delay the reasonably prompt recovery of any erroneously awarded Incentive-Based Compensation pursuant to </w:t>
      </w:r>
      <w:r>
        <w:rPr>
          <w:rFonts w:ascii="Times New Roman" w:cs="Times New Roman" w:eastAsia="Times New Roman" w:hAnsi="Times New Roman"/>
          <w:sz w:val="22"/>
          <w:szCs w:val="22"/>
          <w:u w:val="single" w:color="auto"/>
          <w:color w:val="auto"/>
        </w:rPr>
        <w:t>Article B</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auto"/>
        </w:rPr>
        <w:t>Section D-3.</w:t>
      </w:r>
      <w:r>
        <w:rPr>
          <w:rFonts w:ascii="Times New Roman" w:cs="Times New Roman" w:eastAsia="Times New Roman" w:hAnsi="Times New Roman"/>
          <w:sz w:val="22"/>
          <w:szCs w:val="22"/>
          <w:u w:val="single" w:color="auto"/>
          <w:color w:val="auto"/>
        </w:rPr>
        <w:t>No Indemnification</w:t>
      </w:r>
      <w:r>
        <w:rPr>
          <w:rFonts w:ascii="Times New Roman" w:cs="Times New Roman" w:eastAsia="Times New Roman" w:hAnsi="Times New Roman"/>
          <w:sz w:val="22"/>
          <w:szCs w:val="22"/>
          <w:color w:val="auto"/>
        </w:rPr>
        <w:t>. The Company shall not indemnify any current or former Executive Officer or Covered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applicable) against the loss of erroneously awarded compensation and shall not pay or reimburse any such person for premiums incurred or paid for any insurance policy to fund such person’s potential recovery obligations.</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decimal"/>
      <w:start w:val="1"/>
    </w:lvl>
  </w:abstractNum>
  <w:abstractNum w:abstractNumId="28">
    <w:nsid w:val="4B588F54"/>
    <w:multiLevelType w:val="hybridMultilevel"/>
    <w:lvl w:ilvl="0">
      <w:lvlJc w:val="left"/>
      <w:lvlText w:val="%1)"/>
      <w:numFmt w:val="decimal"/>
      <w:start w:val="4"/>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2"/>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6"/>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decimal"/>
      <w:start w:val="2"/>
    </w:lvl>
  </w:abstractNum>
  <w:abstractNum w:abstractNumId="39">
    <w:nsid w:val="79A1DEAA"/>
    <w:multiLevelType w:val="hybridMultilevel"/>
    <w:lvl w:ilvl="0">
      <w:lvlJc w:val="left"/>
      <w:lvlText w:val="%1"/>
      <w:numFmt w:val="decimal"/>
      <w:start w:val="1"/>
    </w:lvl>
    <w:lvl w:ilvl="1">
      <w:lvlJc w:val="left"/>
      <w:lvlText w:val="(%2)"/>
      <w:numFmt w:val="lowerRoman"/>
      <w:start w:val="1"/>
    </w:lvl>
  </w:abstractNum>
  <w:abstractNum w:abstractNumId="40">
    <w:nsid w:val="75C6C33A"/>
    <w:multiLevelType w:val="hybridMultilevel"/>
    <w:lvl w:ilvl="0">
      <w:lvlJc w:val="left"/>
      <w:lvlText w:val="(%1)"/>
      <w:numFmt w:val="decimal"/>
      <w:start w:val="4"/>
    </w:lvl>
    <w:lvl w:ilvl="1">
      <w:lvlJc w:val="left"/>
      <w:lvlText w:val="%2"/>
      <w:numFmt w:val="lowerRoman"/>
      <w:start w:val="1"/>
    </w:lvl>
  </w:abstractNum>
  <w:abstractNum w:abstractNumId="41">
    <w:nsid w:val="12E685FB"/>
    <w:multiLevelType w:val="hybridMultilevel"/>
    <w:lvl w:ilvl="0">
      <w:lvlJc w:val="left"/>
      <w:lvlText w:val="%1"/>
      <w:numFmt w:val="decimal"/>
      <w:start w:val="1"/>
    </w:lvl>
    <w:lvl w:ilvl="1">
      <w:lvlJc w:val="left"/>
      <w:lvlText w:val="(%2)"/>
      <w:numFmt w:val="decimal"/>
      <w:start w:val="1"/>
    </w:lvl>
  </w:abstractNum>
  <w:abstractNum w:abstractNumId="42">
    <w:nsid w:val="70C6A529"/>
    <w:multiLevelType w:val="hybridMultilevel"/>
    <w:lvl w:ilvl="0">
      <w:lvlJc w:val="left"/>
      <w:lvlText w:val="(%1)"/>
      <w:numFmt w:val="decimal"/>
      <w:start w:val="2"/>
    </w:lvl>
    <w:lvl w:ilvl="1">
      <w:lvlJc w:val="left"/>
      <w:lvlText w:val="%2"/>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decimal"/>
      <w:start w:val="104"/>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5"/>
    </w:lvl>
  </w:abstractNum>
  <w:abstractNum w:abstractNumId="53">
    <w:nsid w:val="47398C89"/>
    <w:multiLevelType w:val="hybridMultilevel"/>
    <w:lvl w:ilvl="0">
      <w:lvlJc w:val="left"/>
      <w:lvlText w:val="%1."/>
      <w:numFmt w:val="decimal"/>
      <w:start w:val="1"/>
    </w:lvl>
    <w:lvl w:ilvl="1">
      <w:lvlJc w:val="left"/>
      <w:lvlText w:val="(%2)"/>
      <w:numFmt w:val="lowerLetter"/>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2"/>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lowerLetter"/>
      <w:start w:val="1"/>
    </w:lvl>
    <w:lvl w:ilvl="1">
      <w:lvlJc w:val="left"/>
      <w:lvlText w:val="(%2)"/>
      <w:numFmt w:val="lowerRoman"/>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304"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jpe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287" Type="http://schemas.openxmlformats.org/officeDocument/2006/relationships/hyperlink" Target="https://www.sec.gov/Archives/edgar/data/1262104/000119312523046815/d428092dex21.htm" TargetMode="External"/><Relationship Id="rId288" Type="http://schemas.openxmlformats.org/officeDocument/2006/relationships/hyperlink" Target="https://www.sec.gov/Archives/edgar/data/1262104/000119312523102213/d483010dex31.htm" TargetMode="External"/><Relationship Id="rId289" Type="http://schemas.openxmlformats.org/officeDocument/2006/relationships/hyperlink" Target="https://www.sec.gov/Archives/edgar/data/1262104/000095017023072612/meip-ex3_1.htm" TargetMode="External"/><Relationship Id="rId290" Type="http://schemas.openxmlformats.org/officeDocument/2006/relationships/hyperlink" Target="https://www.sec.gov/Archives/edgar/data/1262104/000119312511134658/dex31.htm" TargetMode="External"/><Relationship Id="rId291" Type="http://schemas.openxmlformats.org/officeDocument/2006/relationships/hyperlink" Target="https://www.sec.gov/Archives/edgar/data/1262104/000119312511070320/dex101.htm" TargetMode="External"/><Relationship Id="rId292" Type="http://schemas.openxmlformats.org/officeDocument/2006/relationships/hyperlink" Target="https://www.sec.gov/Archives/edgar/data/1262104/000119312523249423/d559817dex31.htm" TargetMode="External"/><Relationship Id="rId293" Type="http://schemas.openxmlformats.org/officeDocument/2006/relationships/hyperlink" Target="https://www.sec.gov/Archives/edgar/data/1262104/000095012303012005/y90124a1exv4w1.txt" TargetMode="External"/><Relationship Id="rId294" Type="http://schemas.openxmlformats.org/officeDocument/2006/relationships/hyperlink" Target="https://www.sec.gov/Archives/edgar/data/1262104/000119312518165462/d586784dex101.htm" TargetMode="External"/><Relationship Id="rId295" Type="http://schemas.openxmlformats.org/officeDocument/2006/relationships/hyperlink" Target="https://www.sec.gov/Archives/edgar/data/1262104/000119312520242169/d58841dex43.htm" TargetMode="External"/><Relationship Id="rId296" Type="http://schemas.openxmlformats.org/officeDocument/2006/relationships/hyperlink" Target="https://www.sec.gov/Archives/edgar/data/1262104/000095017023049927/meip-ex4_4.htm" TargetMode="External"/><Relationship Id="rId297" Type="http://schemas.openxmlformats.org/officeDocument/2006/relationships/hyperlink" Target="https://www.sec.gov/Archives/edgar/data/1262104/000119312523249423/d559817dex41.htm" TargetMode="External"/><Relationship Id="rId298" Type="http://schemas.openxmlformats.org/officeDocument/2006/relationships/hyperlink" Target="https://www.sec.gov/Archives/edgar/data/1262104/000095017024056834/meip-ex10_1.htm" TargetMode="External"/><Relationship Id="rId299" Type="http://schemas.openxmlformats.org/officeDocument/2006/relationships/hyperlink" Target="https://www.sec.gov/Archives/edgar/data/1262104/000119312517107676/d372036dex101.htm" TargetMode="External"/><Relationship Id="rId300" Type="http://schemas.openxmlformats.org/officeDocument/2006/relationships/hyperlink" Target="https://www.sec.gov/Archives/edgar/data/1262104/000095017021001655/meip-20210630ex10_5.htm" TargetMode="External"/><Relationship Id="rId301" Type="http://schemas.openxmlformats.org/officeDocument/2006/relationships/hyperlink" Target="https://www.sec.gov/Archives/edgar/data/1262104/000095017021001655/meip-20210630ex10_6.htm" TargetMode="External"/><Relationship Id="rId302" Type="http://schemas.openxmlformats.org/officeDocument/2006/relationships/hyperlink" Target="https://www.sec.gov/Archives/edgar/data/1262104/000119312511235271/dex101.htm" TargetMode="External"/><Relationship Id="rId303" Type="http://schemas.openxmlformats.org/officeDocument/2006/relationships/hyperlink" Target="https://www.sec.gov/Archives/edgar/data/1262104/000119312517336509/d445348dex101.htm" TargetMode="External"/><Relationship Id="rId305" Type="http://schemas.openxmlformats.org/officeDocument/2006/relationships/hyperlink" Target="https://www.sec.gov/Archives/edgar/data/1262104/000119312517336517/d489860dex11.htm" TargetMode="External"/><Relationship Id="rId306" Type="http://schemas.openxmlformats.org/officeDocument/2006/relationships/hyperlink" Target="https://www.sec.gov/Archives/edgar/data/1262104/000119312519030835/d656704dex101.htm" TargetMode="External"/><Relationship Id="rId307" Type="http://schemas.openxmlformats.org/officeDocument/2006/relationships/hyperlink" Target="https://www.sec.gov/Archives/edgar/data/1262104/000119312520242169/d58841dex1018.htm" TargetMode="External"/><Relationship Id="rId308" Type="http://schemas.openxmlformats.org/officeDocument/2006/relationships/hyperlink" Target="https://www.sec.gov/Archives/edgar/data/1262104/000119312521366182/d275307dex101.htm" TargetMode="External"/><Relationship Id="rId309" Type="http://schemas.openxmlformats.org/officeDocument/2006/relationships/hyperlink" Target="https://www.sec.gov/Archives/edgar/data/1262104/000119312522189565/d220122dex101.htm" TargetMode="External"/><Relationship Id="rId310" Type="http://schemas.openxmlformats.org/officeDocument/2006/relationships/hyperlink" Target="https://www.sec.gov/Archives/edgar/data/1262104/000119312523159435/d484383dex101.htm" TargetMode="External"/><Relationship Id="rId311" Type="http://schemas.openxmlformats.org/officeDocument/2006/relationships/hyperlink" Target="https://www.sec.gov/Archives/edgar/data/1262104/000119312523166013/d516259dex101.htm" TargetMode="External"/><Relationship Id="rId312" Type="http://schemas.openxmlformats.org/officeDocument/2006/relationships/hyperlink" Target="https://www.sec.gov/Archives/edgar/data/1262104/000119312523166013/d516259dex102.htm" TargetMode="External"/><Relationship Id="rId313" Type="http://schemas.openxmlformats.org/officeDocument/2006/relationships/hyperlink" Target="https://www.sec.gov/Archives/edgar/data/1262104/000119312523166013/d516259dex103.htm" TargetMode="External"/><Relationship Id="rId314" Type="http://schemas.openxmlformats.org/officeDocument/2006/relationships/hyperlink" Target="https://www.sec.gov/Archives/edgar/data/1262104/000119312523189610/d529233dex101.htm" TargetMode="External"/><Relationship Id="rId315" Type="http://schemas.openxmlformats.org/officeDocument/2006/relationships/hyperlink" Target="https://www.sec.gov/Archives/edgar/data/1262104/000119312523191945/d442693dex101.htm" TargetMode="External"/><Relationship Id="rId316" Type="http://schemas.openxmlformats.org/officeDocument/2006/relationships/hyperlink" Target="https://www.sec.gov/Archives/edgar/data/1262104/000119312523196279/d540602dex101.htm" TargetMode="External"/><Relationship Id="rId317" Type="http://schemas.openxmlformats.org/officeDocument/2006/relationships/hyperlink" Target="https://www.sec.gov/Archives/edgar/data/1262104/000095017023049927/meip-ex10_22.htm" TargetMode="External"/><Relationship Id="rId318" Type="http://schemas.openxmlformats.org/officeDocument/2006/relationships/hyperlink" Target="https://www.sec.gov/Archives/edgar/data/1262104/000119312523268167/d514927dex101.htm" TargetMode="External"/><Relationship Id="rId319" Type="http://schemas.openxmlformats.org/officeDocument/2006/relationships/hyperlink" Target="https://www.sec.gov/Archives/edgar/data/1262104/000095017024014640/meip-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2024-09-19T16:33:50Z</dcterms:created>
  <dcterms:modified xsi:type="dcterms:W3CDTF">2024-09-19T16:33:50Z</dcterms:modified>
</cp:coreProperties>
</file>