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91"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04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19685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Lite Strategy,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6"/>
                <w:szCs w:val="16"/>
                <w:b w:val="1"/>
                <w:bCs w:val="1"/>
                <w:color w:val="auto"/>
                <w:w w:val="99"/>
              </w:rPr>
              <w:t>DELAWARE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6"/>
                <w:szCs w:val="16"/>
                <w:b w:val="1"/>
                <w:bCs w:val="1"/>
                <w:color w:val="auto"/>
              </w:rPr>
              <w:t>51-0407811</w:t>
            </w:r>
          </w:p>
        </w:tc>
        <w:tc>
          <w:tcPr>
            <w:tcW w:w="0" w:type="dxa"/>
            <w:vAlign w:val="bottom"/>
          </w:tcPr>
          <w:p>
            <w:pPr>
              <w:spacing w:after="0"/>
              <w:rPr>
                <w:sz w:val="1"/>
                <w:szCs w:val="1"/>
                <w:color w:val="auto"/>
              </w:rPr>
            </w:pPr>
          </w:p>
        </w:tc>
      </w:tr>
      <w:tr>
        <w:trPr>
          <w:trHeight w:val="135"/>
        </w:trPr>
        <w:tc>
          <w:tcPr>
            <w:tcW w:w="3880" w:type="dxa"/>
            <w:vAlign w:val="bottom"/>
          </w:tcPr>
          <w:p>
            <w:pPr>
              <w:jc w:val="center"/>
              <w:ind w:left="20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20" w:type="dxa"/>
            <w:vAlign w:val="bottom"/>
          </w:tcPr>
          <w:p>
            <w:pPr>
              <w:jc w:val="center"/>
              <w:ind w:right="1328"/>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37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9920 Pacific Heights Blvd., Suite 150, San Diego, CA 92121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LITS</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8, 2025, the number of shares outstanding of the issuer’s common stock, $0.00000002 par value, was 36,785,397.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740" w:type="dxa"/>
            <w:vAlign w:val="bottom"/>
            <w:gridSpan w:val="9"/>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June 30, 2025 (Unaudited)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September 30, 2025 and 2024 (Unaudited)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September 30, 2025 and 2024</w:t>
            </w:r>
          </w:p>
        </w:tc>
        <w:tc>
          <w:tcPr>
            <w:tcW w:w="120" w:type="dxa"/>
            <w:vAlign w:val="bottom"/>
            <w:tcBorders>
              <w:top w:val="single" w:sz="8" w:color="0000FF"/>
            </w:tcBorders>
          </w:tcPr>
          <w:p>
            <w:pPr>
              <w:spacing w:after="0"/>
              <w:rPr>
                <w:sz w:val="24"/>
                <w:szCs w:val="24"/>
                <w:color w:val="auto"/>
              </w:rPr>
            </w:pPr>
          </w:p>
        </w:tc>
        <w:tc>
          <w:tcPr>
            <w:tcW w:w="28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94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September 30, 2025 and 2024 (Unaudited)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2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60" w:type="dxa"/>
            <w:vAlign w:val="bottom"/>
            <w:gridSpan w:val="5"/>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720" w:type="dxa"/>
            <w:vAlign w:val="bottom"/>
            <w:gridSpan w:val="8"/>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6980" w:type="dxa"/>
            <w:vAlign w:val="bottom"/>
            <w:gridSpan w:val="13"/>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80" w:type="dxa"/>
            <w:vAlign w:val="bottom"/>
            <w:gridSpan w:val="15"/>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680" w:type="dxa"/>
            <w:vAlign w:val="bottom"/>
            <w:gridSpan w:val="7"/>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740" w:type="dxa"/>
            <w:vAlign w:val="bottom"/>
            <w:gridSpan w:val="12"/>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7240" w:type="dxa"/>
            <w:vAlign w:val="bottom"/>
            <w:gridSpan w:val="14"/>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Item 6.</w:t>
            </w: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20" w:type="dxa"/>
            <w:vAlign w:val="bottom"/>
            <w:gridSpan w:val="1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0300" w:type="dxa"/>
            <w:vAlign w:val="bottom"/>
            <w:gridSpan w:val="23"/>
          </w:tcPr>
          <w:p>
            <w:pPr>
              <w:ind w:left="26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r>
      <w:tr>
        <w:trPr>
          <w:trHeight w:val="1648"/>
        </w:trPr>
        <w:tc>
          <w:tcPr>
            <w:tcW w:w="26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3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$0.00000002 par value; 226,000 shares authorized; 35,655 and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6,663 shares issued and outstanding at September 30, 2025 and</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 30, 2025, respectively.</w:t>
            </w: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(404,164)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112,269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-2982595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-2982595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-1979930</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-1979930</wp:posOffset>
            </wp:positionV>
            <wp:extent cx="5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22" w:right="7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3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r>
      <w:tr>
        <w:trPr>
          <w:trHeight w:val="238"/>
        </w:trPr>
        <w:tc>
          <w:tcPr>
            <w:tcW w:w="67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(3,739)</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(8,352)</w:t>
            </w: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674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9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top w:val="single" w:sz="8" w:color="CFF0FC"/>
            </w:tcBorders>
          </w:tcPr>
          <w:p>
            <w:pPr>
              <w:spacing w:after="0"/>
              <w:rPr>
                <w:sz w:val="18"/>
                <w:szCs w:val="18"/>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(8,007)</w:t>
            </w: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 share - basic and diluted</w:t>
            </w: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-1567815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-1567815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-1002030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-1002030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-711200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-693420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-711200</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-693420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848995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11" w:right="8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(404,164)</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(3,639)</w:t>
            </w: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the sale of Common Stock at $3.42 per</w:t>
            </w:r>
          </w:p>
        </w:tc>
        <w:tc>
          <w:tcPr>
            <w:tcW w:w="11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share in July 2025, net of issuance costs</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160" w:type="dxa"/>
            <w:vAlign w:val="bottom"/>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tcBorders>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Proceeds from the issuance of Pre-Funded Warrants at</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$3.4199 per share in July 2025, net of issuance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Advisory Warrants for services rendered in</w:t>
            </w:r>
          </w:p>
        </w:tc>
        <w:tc>
          <w:tcPr>
            <w:tcW w:w="11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the July 2025 PIPE</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tcBorders>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Pre-</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Funded Warrants for cash</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cashless exercise of</w:t>
            </w:r>
          </w:p>
        </w:tc>
        <w:tc>
          <w:tcPr>
            <w:tcW w:w="11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Pre-Funded Warrants</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60" w:type="dxa"/>
            <w:vAlign w:val="bottom"/>
            <w:shd w:val="clear" w:color="auto" w:fill="CFF0FC"/>
          </w:tcPr>
          <w:p>
            <w:pPr>
              <w:spacing w:after="0"/>
              <w:rPr>
                <w:sz w:val="20"/>
                <w:szCs w:val="20"/>
                <w:color w:val="auto"/>
              </w:rPr>
            </w:pPr>
          </w:p>
        </w:tc>
        <w:tc>
          <w:tcPr>
            <w:tcW w:w="160" w:type="dxa"/>
            <w:vAlign w:val="bottom"/>
            <w:tcBorders>
              <w:left w:val="single" w:sz="8" w:color="CFF0FC"/>
            </w:tcBorders>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tcBorders>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through our ATM, net of</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Pre-Funded Warrants to asset manager in</w:t>
            </w:r>
          </w:p>
        </w:tc>
        <w:tc>
          <w:tcPr>
            <w:tcW w:w="11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left w:val="single" w:sz="8" w:color="CFF0FC"/>
            </w:tcBorders>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lef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lieu of cash fees</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20"/>
                <w:szCs w:val="20"/>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tcBorders>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35,655</w:t>
            </w:r>
          </w:p>
        </w:tc>
        <w:tc>
          <w:tcPr>
            <w:tcW w:w="16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520,072</w:t>
            </w:r>
          </w:p>
        </w:tc>
        <w:tc>
          <w:tcPr>
            <w:tcW w:w="12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(407,803)</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79"/>
        </w:trPr>
        <w:tc>
          <w:tcPr>
            <w:tcW w:w="516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Borders>
              <w:top w:val="single" w:sz="8" w:color="CFF0FC"/>
            </w:tcBorders>
            <w:vMerge w:val="restart"/>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CFF0FC"/>
            </w:tcBorders>
            <w:vMerge w:val="restart"/>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(388,219)</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tcBorders>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(396,226)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-1327785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-1310640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-1327785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-1310640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-1327785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-1310640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-1327785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-1310640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-170815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-170815</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760095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11" w:right="8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92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Fiscal Three Months Ended September</w:t>
            </w:r>
          </w:p>
        </w:tc>
      </w:tr>
      <w:tr>
        <w:trPr>
          <w:trHeight w:val="238"/>
        </w:trPr>
        <w:tc>
          <w:tcPr>
            <w:tcW w:w="73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73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(3,639)</w:t>
            </w: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(8,007)</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asset management and advisory expense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(2,192)</w:t>
            </w: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(3,291)</w:t>
            </w:r>
          </w:p>
        </w:tc>
      </w:tr>
      <w:tr>
        <w:trPr>
          <w:trHeight w:val="20"/>
        </w:trPr>
        <w:tc>
          <w:tcPr>
            <w:tcW w:w="7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(4,508)</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(11,450)</w:t>
            </w:r>
          </w:p>
        </w:tc>
      </w:tr>
      <w:tr>
        <w:trPr>
          <w:trHeight w:val="425"/>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digital assets</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2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2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3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Pre-Funded Warrants</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July 2025, net of offering costs</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through our ATM Program, net</w:t>
            </w:r>
          </w:p>
        </w:tc>
        <w:tc>
          <w:tcPr>
            <w:tcW w:w="1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of issuance costs</w:t>
            </w:r>
          </w:p>
        </w:tc>
        <w:tc>
          <w:tcPr>
            <w:tcW w:w="1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(7,898)</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tcPr>
          <w:p>
            <w:pPr>
              <w:spacing w:after="0"/>
              <w:rPr>
                <w:sz w:val="18"/>
                <w:szCs w:val="18"/>
                <w:color w:val="auto"/>
              </w:rPr>
            </w:pPr>
          </w:p>
        </w:tc>
      </w:tr>
      <w:tr>
        <w:trPr>
          <w:trHeight w:val="25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20" w:type="dxa"/>
            <w:vAlign w:val="bottom"/>
            <w:shd w:val="clear" w:color="auto" w:fill="CFF0FC"/>
          </w:tcPr>
          <w:p>
            <w:pPr>
              <w:spacing w:after="0"/>
              <w:rPr>
                <w:sz w:val="21"/>
                <w:szCs w:val="21"/>
                <w:color w:val="auto"/>
              </w:rPr>
            </w:pPr>
          </w:p>
        </w:tc>
      </w:tr>
      <w:tr>
        <w:trPr>
          <w:trHeight w:val="413"/>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Advisory Warrants for services rendered in the July 2025 PIPE</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PIPE offering costs in accounts payable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Pre-Funded Warrants to asset manager in lieu of cash fees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Advisory fee payable in warrants in lieu of cash fees in accrued liabilities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20"/>
                <w:szCs w:val="20"/>
                <w:color w:val="auto"/>
              </w:rPr>
            </w:pP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-3105785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-3105785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-2411095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-2411095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-1446530</wp:posOffset>
            </wp:positionV>
            <wp:extent cx="939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-1446530</wp:posOffset>
            </wp:positionV>
            <wp:extent cx="10287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-859790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-842645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-859790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-842645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Lite Strategy, Inc. (Nasdaq: LITS) is a pharmaceutical company that has historically developed novel and differentiated cancer therapies and is currently assessing pre-clinical development programs potentially in non-oncology disease indications. We also hold Litecoin (LTC) tokens as a primary reserve asset as part of our broader institutional treasury strategy. We built our pipeline by acquiring promising cancer agents and creating value in programs through development, strategic partnerships, and out-licensing or commercialization, as appropriate. Our approach to oncology drug development has been to evaluate our drug candidates in combinations with standard-of-care therapies to overcome known resistance mechanisms and address clear medical needs to provide improved patient benefit. Our drug candidate pipeline includes voruciclib, an oral cyclin-dependent kinase 9 (CDK9) inhibitor, zandelisib, an oral, once-daily, selective P3K3 inhibitor a</w:t>
      </w:r>
      <w:r>
        <w:rPr>
          <w:rFonts w:ascii="Times New Roman" w:cs="Times New Roman" w:eastAsia="Times New Roman" w:hAnsi="Times New Roman"/>
          <w:sz w:val="18"/>
          <w:szCs w:val="18"/>
          <w:color w:val="231F20"/>
        </w:rPr>
        <w:t>nd prior to its sale in October 2024 to Aardvark Therapeutics, Inc., ME-344, an intravenous small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molecule mitochondrial inhibitor targeting the oxidative phosphorylation pathway in the mitochondria</w:t>
      </w:r>
      <w:r>
        <w:rPr>
          <w:rFonts w:ascii="Times New Roman" w:cs="Times New Roman" w:eastAsia="Times New Roman" w:hAnsi="Times New Roman"/>
          <w:sz w:val="18"/>
          <w:szCs w:val="18"/>
          <w:color w:val="000000"/>
        </w:rPr>
        <w: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Buy Back</w:t>
      </w:r>
    </w:p>
    <w:p>
      <w:pPr>
        <w:spacing w:after="0" w:line="117"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more detail in </w:t>
      </w:r>
      <w:r>
        <w:rPr>
          <w:rFonts w:ascii="Times New Roman" w:cs="Times New Roman" w:eastAsia="Times New Roman" w:hAnsi="Times New Roman"/>
          <w:sz w:val="18"/>
          <w:szCs w:val="18"/>
          <w:i w:val="1"/>
          <w:iCs w:val="1"/>
          <w:u w:val="single" w:color="auto"/>
          <w:color w:val="0000FF"/>
        </w:rPr>
        <w:t>Note 15. Subsequent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October 2025, our Board (as defined below) authorized a program to repurchase shares of our common stock, par value $0.00000002 (Common Stock), up to an aggregate amount of $25.0 million (the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1731010</wp:posOffset>
            </wp:positionH>
            <wp:positionV relativeFrom="paragraph">
              <wp:posOffset>-186055</wp:posOffset>
            </wp:positionV>
            <wp:extent cx="1269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and align with emerging financial technologies.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Private Equity (PIPE) and Related Agreements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Closing Date), we closed on a $100.0 million PIPE and issued an aggregate of (i) 23,216,898 shares (the Shares) of Common Stock, at an offering price of $3.42 per share and (ii) pre-funded warrants (the Pre-Funded Warrants, and together with the Shares, the Securities), to purchase up to an aggregate of 6,022,869 shares of Common Stock, at an offering price of $3.4199 per Pre-Funded Warrant (the Offering).</w:t>
      </w:r>
    </w:p>
    <w:p>
      <w:pPr>
        <w:spacing w:after="0" w:line="68"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w:t>
      </w:r>
    </w:p>
    <w:p>
      <w:pPr>
        <w:spacing w:after="0" w:line="1" w:lineRule="exact"/>
        <w:rPr>
          <w:sz w:val="20"/>
          <w:szCs w:val="20"/>
          <w:color w:val="auto"/>
        </w:rPr>
      </w:pPr>
    </w:p>
    <w:p>
      <w:pPr>
        <w:ind w:right="140" w:firstLine="8"/>
        <w:spacing w:after="0" w:line="253"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strategic advisor agreement and (v) a new at-the-market sales agreement (the Sales Agreement). As partial or full consideration of services provided associated with the PIPE, we issued warrants for the purchase of up to 3,070,177 shares of Common Stock with a weighted-average exercise price of approximately $4.10 per share.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-167640</wp:posOffset>
            </wp:positionV>
            <wp:extent cx="8470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while we continue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implementation of the Litecoin Treasury Strategy and a commitment to long-term innovation in capital structure and financial technology, along with the initiation of an expanding strategy that could include the commencement of LTC mining activities, as well as our continued assessment of pre-clinical activities with our drug candidate pipeline.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U.S. (U.S. GAAP) for interim financial information and in accordance with the instructions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ind w:right="20"/>
        <w:spacing w:after="0" w:line="261" w:lineRule="auto"/>
        <w:rPr>
          <w:sz w:val="20"/>
          <w:szCs w:val="20"/>
          <w:color w:val="auto"/>
        </w:rPr>
      </w:pPr>
      <w:r>
        <w:rPr>
          <w:rFonts w:ascii="Times New Roman" w:cs="Times New Roman" w:eastAsia="Times New Roman" w:hAnsi="Times New Roman"/>
          <w:sz w:val="18"/>
          <w:szCs w:val="18"/>
          <w:color w:val="auto"/>
        </w:rPr>
        <w:t>and Article 10 of Regulation S-X. Accordingly, the accompanying interim condensed financial statements do not include all information and notes required by U.S. GAAP for complete financial statements. In the opinion of management, the accompanying interim condensed consolidated financial statements reflect all adjustments (consisting of normal recurring adjustments) that are necessary for a fair statement of the financial position, results of operations and cash flows for the periods presented.</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Lite Strategy, Inc. and our wholly owned subsidiary, Meadow Merger Sub, Inc. We have eliminated all intercompany accounts and transactions in consolidation.</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quarterly period ended September 30, 2025 should be read in conjunction with the audited financial statements and notes thereto as of and for the fiscal year ended June 30, 2025, included in our Annual Report on Form 10-K filed with the Securities and Exchange Commission (SEC) on September 26, 2025 (2025 Annual Report). Interim results are not necessarily indicative of results for a full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evaluated subsequent events through the date the interim condensed consolidated financial statements were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$407.8 million since inception and expect to incur operating losses and generate negative cash flows from operations for the foreseeable future. As of September 30, 2025, we had $10.1 million in cash and cash equivalents and $99.4 million in digital assets. Although we intend to retain and hold our digital assets, we could liquidate these assets, or a portion thereof, if needed to fund our operating activities. In connection with our July 2024 announcement regarding the evaluation of our strategic alternatives, we discontinued the clinical development of voruciclib, while certain nonclinical research and development activities continued through the end of fiscal year 2025. As part of our continued assessment of future pre-clinical development with our drug candidate pipeline, we anticipate conducting additional investigational research and development activities during fiscal year 2026. We believe that our cash balance, including our digital assets, will be sufficient to meet our obligations and fund operations for at least the next 12 months from the issuance of these interim condensed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Except as disclosed below for </w:t>
      </w:r>
      <w:r>
        <w:rPr>
          <w:rFonts w:ascii="Times New Roman" w:cs="Times New Roman" w:eastAsia="Times New Roman" w:hAnsi="Times New Roman"/>
          <w:sz w:val="18"/>
          <w:szCs w:val="18"/>
          <w:i w:val="1"/>
          <w:iCs w:val="1"/>
          <w:u w:val="single" w:color="auto"/>
          <w:color w:val="0000FF"/>
        </w:rPr>
        <w:t>Digital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Warrants</w:t>
      </w:r>
      <w:r>
        <w:rPr>
          <w:rFonts w:ascii="Times New Roman" w:cs="Times New Roman" w:eastAsia="Times New Roman" w:hAnsi="Times New Roman"/>
          <w:sz w:val="18"/>
          <w:szCs w:val="18"/>
          <w:color w:val="auto"/>
        </w:rPr>
        <w:t>, there have been no material changes to our significant accounting policies from those described in the notes to our audited consolidated financial statements contained in the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-186055</wp:posOffset>
            </wp:positionV>
            <wp:extent cx="12915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28" w:lineRule="exact"/>
        <w:rPr>
          <w:sz w:val="20"/>
          <w:szCs w:val="20"/>
          <w:color w:val="auto"/>
        </w:rPr>
      </w:pPr>
    </w:p>
    <w:p>
      <w:pPr>
        <w:jc w:val="right"/>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share-based awards, including warrants issued for services, clinical trial accruals, deferred income taxes and related valuation allowances, and the assessment of our ability to fund our operations for at least the next 12 months from the date of issuance of these interim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 Custody and Operational Risks of Digital Assets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various risks including market risk, liquidity risk, and other risks related to our concentration in a single asset, LTC. Investing in LTC is currently highly speculative and volatile.</w:t>
      </w:r>
    </w:p>
    <w:p>
      <w:pPr>
        <w:spacing w:after="0" w:line="54" w:lineRule="exact"/>
        <w:rPr>
          <w:sz w:val="20"/>
          <w:szCs w:val="20"/>
          <w:color w:val="auto"/>
        </w:rPr>
      </w:pPr>
    </w:p>
    <w:p>
      <w:pPr>
        <w:ind w:right="40" w:firstLine="554"/>
        <w:spacing w:after="0" w:line="255" w:lineRule="auto"/>
        <w:rPr>
          <w:sz w:val="20"/>
          <w:szCs w:val="20"/>
          <w:color w:val="auto"/>
        </w:rPr>
      </w:pPr>
      <w:r>
        <w:rPr>
          <w:rFonts w:ascii="Times New Roman" w:cs="Times New Roman" w:eastAsia="Times New Roman" w:hAnsi="Times New Roman"/>
          <w:sz w:val="18"/>
          <w:szCs w:val="18"/>
          <w:color w:val="auto"/>
        </w:rPr>
        <w:t>Because the fair value of our digital assets is calculated by reference to the principal market price in accordance with U.S. GAAP, fluctuations in the price of LTC could materially and adversely affect an investment in us. LTC prices have been volatile and subject to influence by many factors, including LTC's levels of liquidity, which have historically been limited. If digital asset markets continue to experience significant price fluctuations, we may experience losses. During LTC's limited history, it has been subject to various factors affecting the price of LTC, including, but not limited to, global LTC supply and demand, compliance and internal control failures leading to the theft of LTC from global trading platforms or vaults, limited liquidity and trading volumes compared to sovereign currencies market and competition from other forms of digital currency or payment services, and global or regional political, economic or financial conditions.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is a risk that some or all our LTC could be lost or stolen. There can be no assurance that the custodian will maintain adequate insurance or that such coverage will cover losses with respect to our LTC. Further, transactions in LTC are irrevocable. Stolen or incorrectly transferred LTC may be irretrievable. Further, any LTC we hold with our custodians and transact with our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ind w:right="20"/>
        <w:spacing w:after="0" w:line="266" w:lineRule="auto"/>
        <w:rPr>
          <w:sz w:val="20"/>
          <w:szCs w:val="20"/>
          <w:color w:val="auto"/>
        </w:rPr>
      </w:pPr>
      <w:r>
        <w:rPr>
          <w:rFonts w:ascii="Times New Roman" w:cs="Times New Roman" w:eastAsia="Times New Roman" w:hAnsi="Times New Roman"/>
          <w:sz w:val="18"/>
          <w:szCs w:val="18"/>
          <w:color w:val="auto"/>
        </w:rPr>
        <w:t>execution partners does not enjoy the same protections as are available to cash or securities deposited with or transacted by institutions subject to regulation by the Federal Deposit Insurance Corporation or the Securities Investor Protection Corporation. As a result, any incorrectly executed LTC transactions could adversely affect an investment in us.</w:t>
      </w:r>
    </w:p>
    <w:p>
      <w:pPr>
        <w:spacing w:after="0" w:line="68" w:lineRule="exact"/>
        <w:rPr>
          <w:sz w:val="20"/>
          <w:szCs w:val="20"/>
          <w:color w:val="auto"/>
        </w:rPr>
      </w:pPr>
    </w:p>
    <w:p>
      <w:pPr>
        <w:jc w:val="both"/>
        <w:ind w:right="80" w:firstLine="554"/>
        <w:spacing w:after="0" w:line="266" w:lineRule="auto"/>
        <w:rPr>
          <w:sz w:val="20"/>
          <w:szCs w:val="20"/>
          <w:color w:val="auto"/>
        </w:rPr>
      </w:pPr>
      <w:r>
        <w:rPr>
          <w:rFonts w:ascii="Times New Roman" w:cs="Times New Roman" w:eastAsia="Times New Roman" w:hAnsi="Times New Roman"/>
          <w:sz w:val="18"/>
          <w:szCs w:val="18"/>
          <w:color w:val="auto"/>
        </w:rPr>
        <w:t>We rely on third-party service providers to perform certain functions essential to our operations. Any disruptions to our service providers’ business operations resulting from business failures, financial instability, security failures, government mandated regulation or operational problems could have an adverse impact on our ability to access critical services and be disruptive to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consider all highly liquid investments with a maturity date of three months or less, when purchased, to be cash equivalents. We maintain cash and cash equivalent balances at financial institutions that are insured by the Federal Deposit Insurance Corporation (FDIC). At times, deposits held may exceed the amount of insurance provided by the FDIC. We have not experienced any losses in our cash and cash equivalents and management believes we are not exposed to significant credit risk with respect to such accounts. Our cash equivalents are classified as Level 1 inputs within the fair value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our Litecoin Treasury Strategy, we intend to hold our LTC for long-term investment purposes. We seek to generate returns on our LTC holdings, as LTC appreciates and actively pursue risk-adjusted return opportunities to generate cash flows that support our operating expenses. As a result, our LTC digital assets are included in non-current assets in the interim condensed consolidated balances sheets, due to our intent to retain and hold our LTC. Pursuant to Accounting Standards Codification (ASC) Topic 350-60 Intangibles - </w:t>
      </w:r>
      <w:r>
        <w:rPr>
          <w:rFonts w:ascii="Times New Roman" w:cs="Times New Roman" w:eastAsia="Times New Roman" w:hAnsi="Times New Roman"/>
          <w:sz w:val="18"/>
          <w:szCs w:val="18"/>
          <w:i w:val="1"/>
          <w:iCs w:val="1"/>
          <w:color w:val="auto"/>
        </w:rPr>
        <w:t>Goodwill and Other - Crypto Assets</w:t>
      </w:r>
      <w:r>
        <w:rPr>
          <w:rFonts w:ascii="Times New Roman" w:cs="Times New Roman" w:eastAsia="Times New Roman" w:hAnsi="Times New Roman"/>
          <w:sz w:val="18"/>
          <w:szCs w:val="18"/>
          <w:color w:val="auto"/>
        </w:rPr>
        <w:t xml:space="preserve"> (ASC 350-60) in-scope crypto assets are required to be measured at fair value in the statement of financial position, with gains and losses from changes in the fair value of such crypto assets recognized in net loss each reporting period.</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ASC 350-60 does not address the initial measurement, recognition, and derecognition of crypto assets. As such, our digital assets were initially recorded at cost plus fees in accordance with ASC 350-30 </w:t>
      </w:r>
      <w:r>
        <w:rPr>
          <w:rFonts w:ascii="Times New Roman" w:cs="Times New Roman" w:eastAsia="Times New Roman" w:hAnsi="Times New Roman"/>
          <w:sz w:val="18"/>
          <w:szCs w:val="18"/>
          <w:i w:val="1"/>
          <w:iCs w:val="1"/>
          <w:color w:val="auto"/>
        </w:rPr>
        <w:t>Intangibles - Goodwill and Other - General Intangibles Other Than Goodwill</w:t>
      </w:r>
      <w:r>
        <w:rPr>
          <w:rFonts w:ascii="Times New Roman" w:cs="Times New Roman" w:eastAsia="Times New Roman" w:hAnsi="Times New Roman"/>
          <w:sz w:val="18"/>
          <w:szCs w:val="18"/>
          <w:color w:val="auto"/>
        </w:rPr>
        <w:t>. Our digital assets will be recorded at fair value at each reporting period with changes in fair value included within operating activities as net gain or loss in the interim condensed consolidated statements of operations; as our LTC tokens could, if needed, be sold for use in our operations.</w:t>
      </w:r>
    </w:p>
    <w:p>
      <w:pPr>
        <w:spacing w:after="0" w:line="180" w:lineRule="exact"/>
        <w:rPr>
          <w:sz w:val="20"/>
          <w:szCs w:val="20"/>
          <w:color w:val="auto"/>
        </w:rPr>
      </w:pPr>
    </w:p>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Our first purchase of LTC was on July 30, 2025. In accordance with ASC 350-60, our required adoption date was July 1, 2025 (beginning of the fiscal year that includes that interim period of adoption). LTC tokens are measured using Level 1 inputs under ASC 820 Fair Value Measurement (ASC 820), based on quoted prices from a principal market, Coinbase. We track the cost basis of our digital assets based upon a first-in-first-out methodology.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4. Digital Assets</w:t>
      </w:r>
      <w:r>
        <w:rPr>
          <w:rFonts w:ascii="Times New Roman" w:cs="Times New Roman" w:eastAsia="Times New Roman" w:hAnsi="Times New Roman"/>
          <w:sz w:val="18"/>
          <w:szCs w:val="18"/>
          <w:color w:val="auto"/>
        </w:rPr>
        <w:t xml:space="preserve"> for further information. As of September 30, 2025, our digital asset holdings are not subject to any contractual sale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-19050</wp:posOffset>
            </wp:positionV>
            <wp:extent cx="9963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9631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financial instruments consist primarily of cash and cash equivalents, prepaid expenses and other current assets, digital assets, accounts payable, accrued liabilities and Advisory Warrants (as defined below). The carrying amounts of cash and cash equivalents, prepaid expenses and other current assets, accounts payable and accrued liabilities are considered to be representative of their respective fair values because of the relatively short-term nature of those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Loan Agreement</w:t>
      </w:r>
    </w:p>
    <w:p>
      <w:pPr>
        <w:spacing w:after="0" w:line="2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7. Master Loan Agreement</w:t>
      </w:r>
      <w:r>
        <w:rPr>
          <w:rFonts w:ascii="Times New Roman" w:cs="Times New Roman" w:eastAsia="Times New Roman" w:hAnsi="Times New Roman"/>
          <w:sz w:val="18"/>
          <w:szCs w:val="18"/>
          <w:color w:val="auto"/>
        </w:rPr>
        <w:t>, we entered into a master loan agreement (the MLA) with BitGo Prime (the Lender). The MLA provides a framework under which we may borrow any digital assets or cash from the Lender, from time-to-time. Each loan is documented in a separate loan request agreed to by the parties setting forth the specific terms, including principal amount, fees, collateral requirements and the date on which the loan is to commence and mature (each a Loan). Each Loan may have a fixed term, or may include a call option or prepayment option, as specified in each loan request. In general, either party may terminate a Loan by providing notice within the time frame set forth in the respective Loan. Upon termination, the borrowed digital assets or cash must be returned and the related collateral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-719455</wp:posOffset>
            </wp:positionV>
            <wp:extent cx="14693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939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 xml:space="preserve">We account for the Pre-Funded Warrants issued in the PIPE as equity-classified instruments based on an assessment of the Pre-Funded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 w:name="page10"/>
    <w:bookmarkEnd w:id="9"/>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Pre-Funded Warrants are freestanding financial instruments pursuant to ASC 480, meet the definition of a liability pursuant to ASC 480, and meet all the requirements for equity classification under ASC 815, including but not limited to, whether the Pre-Funded Warrants are indexed to our own Common Stock and whether the Pre-Funded Warrant holders could potentially require “net cash settlement” in a circumstance outside our control. This assessment, which requires the use of professional judgment, is conducted at the time of the Pre-Funded Warrant's issuance and as of each subsequent quarterly period end date while the Pre-Funded Warrants are outstanding.</w:t>
      </w:r>
    </w:p>
    <w:p>
      <w:pPr>
        <w:spacing w:after="0" w:line="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other warrants that meet all criteria for equity classification, such warrants are required to be recorded as additional paid-in capital in the interim condensed consolidated balance sheets at the time of issuance.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issued the following warrants for services rendered in connection with the PIPE: (i) the Asset Manager GSR 1 Warrant (AMA GSR 1 Warrant),</w:t>
      </w:r>
    </w:p>
    <w:p>
      <w:pPr>
        <w:spacing w:after="0" w:line="27" w:lineRule="exact"/>
        <w:rPr>
          <w:sz w:val="20"/>
          <w:szCs w:val="20"/>
          <w:color w:val="auto"/>
        </w:rPr>
      </w:pPr>
    </w:p>
    <w:p>
      <w:pPr>
        <w:ind w:firstLine="8"/>
        <w:spacing w:after="0" w:line="251"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Manager GSR 2 Warrant (AMA GSR 2 Warrant), (iii) Asset Manager GSR 3 Warrant (AMA GSR 3 Warrant), (iv) Asset Manager GSR 4 Warrant (AMA GSR 4 Warrant), (v) Placement Agent (PA) Warrant and (vi) Strategic Advisor (SA) Warrant (collectively the Advisory Warrants), and we issued the Asset Manager's Pre-Funded Warrant (AMA Pre-Funded Warrant) after the Closing Date. The Advisory Warrants are accounted for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which requires us to recognize the fair value of the Advisory Warrants at either (i) the fair value of the equity instruments issued or (ii) the liabilities settled. The fair value of the Advisory Warrants was determined based upon the Common Stock underlying the Advisory Warrants using the Black-Scholes-Merton (BSM) option pricing model (BSM Model) based on the applicable assumptions, which include the exercise price of the warrants, our stock price and historical volatility, the expected warrant term, the risk-free interest rate, the expected dividends, and if applicable, the vesting behavior.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 and a summary of the Warrants outstanding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-165100</wp:posOffset>
            </wp:positionV>
            <wp:extent cx="847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63"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fair value of the AMA Pre-Funded Warrant was determined by the settlement amount of the Asset-based Fee (as defined in </w:t>
      </w:r>
      <w:r>
        <w:rPr>
          <w:rFonts w:ascii="Times New Roman" w:cs="Times New Roman" w:eastAsia="Times New Roman" w:hAnsi="Times New Roman"/>
          <w:sz w:val="18"/>
          <w:szCs w:val="18"/>
          <w:i w:val="1"/>
          <w:iCs w:val="1"/>
          <w:u w:val="single" w:color="auto"/>
          <w:color w:val="0000FF"/>
        </w:rPr>
        <w:t>Note 14.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Party Transactions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-186055</wp:posOffset>
            </wp:positionV>
            <wp:extent cx="793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93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878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fully vested, nonforfeitable equity instruments that are granted at the date we and nonemployee enter into an agreement for goods or services, we recognize the equity instruments when they are granted. The corresponding cost is recognized as an immediate expense or a prepaid asset depending on the specific facts and circumstances of the agreement with the nonemployee. For the three months ended September 30, 2025, 546,348 Pre-Funded Warrants were issued as fully vested, nonforfeitable equity instruments to a nonemployee. The agreement with the nonemployee does not include any provisions to claw back the share-based payments in the event of nonperformance by the nonemployee. Before July 21, 2026, GSR Strategies LLC (GSR or Asset Manager) is expected to provide asset management services related to our LTC holdings. As of September 30, 2025, we recorded $1.5 million in current unamortized deferred prepaid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Basic net loss per share is computed using the weighted-average number of shares of common stock outstanding during the period, without consideration for common stock equivalents. Issued and outstanding warrants to purchase shares of our Common Stock are included in the calculation of basic net loss per common share if the exercise price of the warrants represents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consideration and is non-substantive in relation to the price paid for the warrant and if the warrants are immediately exercisable with no further vesting conditions or contingencies associated with them. The 1,676,638 shares of our Common Stock underlying Pre-Funded Warrants, as described in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are included in the weighted-average outstanding Common Stock in the calculation of basic and diluted net loss per share due to their nominal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-168910</wp:posOffset>
            </wp:positionV>
            <wp:extent cx="847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5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consider our Pre-Funded Warrants and our Advisory Warrants (collectively the Warrants) to be participating securities, because the holders of such instruments participate when a dividend is paid on common stock. The holders of the Warrants do not have a contractual obligation to share in our losses. Because such losses are attributable entirely to common stockholders, for periods in which we have reported a net loss, diluted loss per common share is the same as basic loss per common share. Diluted net loss per share is calculated by dividing the net loss by the weighted-average number of common stock and common stock equivalents outstanding for the period determined using the treasury-stock method.</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each of the periods presented, basic and diluted net loss per share were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0" w:right="379" w:bottom="1440" w:gutter="0" w:footer="0" w:header="0"/>
        </w:sectPr>
      </w:pPr>
    </w:p>
    <w:bookmarkStart w:id="10" w:name="page11"/>
    <w:bookmarkEnd w:id="10"/>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loss per share because of their anti-dilutive effect (in thousands):</w:t>
      </w:r>
    </w:p>
    <w:p>
      <w:pPr>
        <w:spacing w:after="0" w:line="15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65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shd w:val="clear" w:color="auto" w:fill="CFF0FC"/>
          </w:tcPr>
          <w:p>
            <w:pPr>
              <w:spacing w:after="0"/>
              <w:rPr>
                <w:sz w:val="18"/>
                <w:szCs w:val="18"/>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Advisory Warrants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warrants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2023-08,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Other—Crypto Assets (Subtopic 350-60): Accounting for and Disclosure of Crypto Assets </w:t>
      </w:r>
      <w:r>
        <w:rPr>
          <w:rFonts w:ascii="Times New Roman" w:cs="Times New Roman" w:eastAsia="Times New Roman" w:hAnsi="Times New Roman"/>
          <w:sz w:val="18"/>
          <w:szCs w:val="18"/>
          <w:color w:val="auto"/>
        </w:rPr>
        <w:t>(ASC 350-60). The amendments in ASC 350-60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intended to improve the accounting for certain crypto assets by requiring an entity to measure those crypto assets at fair value each reporting period with changes in fair value recognized in net income. The amendments also improve the information provided to investors about an entity’s crypto asset holdings by requiring disclosure about significant holdings, contractual sale restrictions, and changes during the reporting period. The amendments were effective for us beginning July 1, 2025. ASC 350-60 requires a cumulative-effect adjustment to the opening balance of retained earnings (or other appropriate components of equity or net assets) as of the beginning of the annual reporting period in which an entity adopts the amendments. As we did not hold crypto currency prior to July 30, 2025, the adoption of ASC 350-60 did not impact our financial position, results of operations or cash flows. See </w:t>
      </w:r>
      <w:r>
        <w:rPr>
          <w:rFonts w:ascii="Times New Roman" w:cs="Times New Roman" w:eastAsia="Times New Roman" w:hAnsi="Times New Roman"/>
          <w:sz w:val="18"/>
          <w:szCs w:val="18"/>
          <w:i w:val="1"/>
          <w:iCs w:val="1"/>
          <w:color w:val="auto"/>
        </w:rPr>
        <w:t xml:space="preserve">Digital Assets </w:t>
      </w:r>
      <w:r>
        <w:rPr>
          <w:rFonts w:ascii="Times New Roman" w:cs="Times New Roman" w:eastAsia="Times New Roman" w:hAnsi="Times New Roman"/>
          <w:sz w:val="18"/>
          <w:szCs w:val="18"/>
          <w:color w:val="auto"/>
        </w:rPr>
        <w:t>discussion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4. Digital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5. Fair Value Measurements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disclosures related to our LTC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-168910</wp:posOffset>
            </wp:positionV>
            <wp:extent cx="52038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03825" cy="8890"/>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and any issued but not yet effective standards will not have a material impact on our interim condensed consolidated financial statements upon adoption.</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 to our results of operations, cash flows, and financial condition.</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amendments in this update require disclosure, in the notes to the financial statements, of specific expense categories present within expense captions presented on the face of the statements of operations (income statement)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January 2025, the FASB issued ASU No. 2025-01, Income Statement—Reporting Comprehensive Income—Expense Disaggregation Disclosures (Subtopic 220-40): Clarifying the Effective Date. The amendment in this update clarifies the effective date of ASU 2024-03, which is that public business entities are required to adopt the guidance in annual reporting periods beginning after December 15, 2026, and in interim periods within annual reporting periods beginning after December 15, 2027. The impact of adoption of this ASU on our disclosures is currently being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The OBBBA makes permanent key elements of the Tax Cuts and Jobs Act of 2017, including 100% bonus depreciation, domestic research cost expensing and the business interest expense limitation, among other tax changes. Many of the tax provisions of the OBBBA are designed to accelerate tax deductions, which could lead to lower cash tax payments. The new legislation has multiple effective dates, with certain provisions effective in 2025 and others in the future. While we continue to assess the impact of the tax provisions of the OBBBA on our interim condensed consolidated financial statements, we currently believe that the tax provisions of the legislation are not expected to have a material impact on our statement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Asset management fee</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Digital media</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 license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advisory fee due to a related party</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-1816735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-1816735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820" w:right="600" w:hanging="303"/>
        <w:spacing w:after="0" w:line="260" w:lineRule="auto"/>
        <w:tabs>
          <w:tab w:leader="none" w:pos="7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employee termination benefits of approximately $0.7 million as of June 30, 2025, as more fully described in </w:t>
      </w:r>
      <w:r>
        <w:rPr>
          <w:rFonts w:ascii="Times New Roman" w:cs="Times New Roman" w:eastAsia="Times New Roman" w:hAnsi="Times New Roman"/>
          <w:sz w:val="18"/>
          <w:szCs w:val="18"/>
          <w:i w:val="1"/>
          <w:iCs w:val="1"/>
          <w:u w:val="single" w:color="auto"/>
          <w:color w:val="0000FF"/>
        </w:rPr>
        <w:t>Note 6.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Termination Benefits</w:t>
      </w:r>
      <w:r>
        <w:rPr>
          <w:rFonts w:ascii="Times New Roman" w:cs="Times New Roman" w:eastAsia="Times New Roman" w:hAnsi="Times New Roman"/>
          <w:sz w:val="18"/>
          <w:szCs w:val="18"/>
          <w:color w:val="000000"/>
        </w:rPr>
        <w:t>.</w:t>
      </w:r>
    </w:p>
    <w:p>
      <w:pPr>
        <w:spacing w:after="0" w:line="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-347980</wp:posOffset>
            </wp:positionV>
            <wp:extent cx="8375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37565"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-210820</wp:posOffset>
            </wp:positionV>
            <wp:extent cx="9613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20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we did not hold digital assets. The following table summarizes our digital asset holdings as of September 30, 2025 (in thousands, except token quantity):</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80" w:type="dxa"/>
            <w:vAlign w:val="bottom"/>
          </w:tcPr>
          <w:p>
            <w:pPr>
              <w:spacing w:after="0"/>
              <w:rPr>
                <w:sz w:val="18"/>
                <w:szCs w:val="18"/>
                <w:color w:val="auto"/>
              </w:rPr>
            </w:pPr>
          </w:p>
        </w:tc>
        <w:tc>
          <w:tcPr>
            <w:tcW w:w="17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Litecoin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929,548</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100" w:type="dxa"/>
            <w:vAlign w:val="bottom"/>
            <w:shd w:val="clear" w:color="auto" w:fill="CFF0FC"/>
          </w:tcPr>
          <w:p>
            <w:pPr>
              <w:spacing w:after="0"/>
              <w:rPr>
                <w:sz w:val="19"/>
                <w:szCs w:val="19"/>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4" w:right="439" w:bottom="1440" w:gutter="0" w:footer="0" w:header="0"/>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of unobservable inputs. The fair value hierarchy based on three levels of inputs, of which the first two are considered observable and the last unobservable, that may be used to measure fair value is as follows: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225" w:lineRule="exact"/>
        <w:rPr>
          <w:sz w:val="20"/>
          <w:szCs w:val="20"/>
          <w:color w:val="auto"/>
        </w:rPr>
      </w:pPr>
    </w:p>
    <w:p>
      <w:pPr>
        <w:ind w:left="1500" w:right="100" w:hanging="694"/>
        <w:spacing w:after="0" w:line="312" w:lineRule="auto"/>
        <w:rPr>
          <w:sz w:val="20"/>
          <w:szCs w:val="20"/>
          <w:color w:val="auto"/>
        </w:rPr>
      </w:pPr>
      <w:r>
        <w:rPr>
          <w:rFonts w:ascii="Times New Roman" w:cs="Times New Roman" w:eastAsia="Times New Roman" w:hAnsi="Times New Roman"/>
          <w:sz w:val="17"/>
          <w:szCs w:val="17"/>
          <w:color w:val="auto"/>
        </w:rPr>
        <w:t>Level 2 - Inputs other than Level 1 that are observable, either directly or indirectly, such as quoted prices in markets that are not active, or other inputs that are observable or can be corroborated by observable market data for substantially the full term of the assets or liabilities.</w:t>
      </w:r>
    </w:p>
    <w:p>
      <w:pPr>
        <w:spacing w:after="0" w:line="140" w:lineRule="exact"/>
        <w:rPr>
          <w:sz w:val="20"/>
          <w:szCs w:val="20"/>
          <w:color w:val="auto"/>
        </w:rPr>
      </w:pPr>
    </w:p>
    <w:p>
      <w:pPr>
        <w:ind w:left="1500" w:right="660" w:hanging="691"/>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and that are significant to the fair value of the assets or liabilities.</w:t>
      </w:r>
    </w:p>
    <w:p>
      <w:pPr>
        <w:spacing w:after="0" w:line="162"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We review the fair value hierarchy classification on a quarterly basis. As of June 30, 2025, we had no financial assets or liabilities measured at fair value on a recurring or non-recurring basis. As of September 30, 2025, we had no financial assets or liabilities measured on a non-recurring basis.</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our financial assets measured at fair value consisted of our cash equivalents of $17.8 million. The following table presents our financial assets measured at fair value on a recurring basis as of September 30, 2025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2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105,872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105,872</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-612140</wp:posOffset>
            </wp:positionV>
            <wp:extent cx="85725"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-612140</wp:posOffset>
            </wp:positionV>
            <wp:extent cx="8572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-612140</wp:posOffset>
            </wp:positionV>
            <wp:extent cx="8572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-612140</wp:posOffset>
            </wp:positionV>
            <wp:extent cx="8572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Employee Termination Benefits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which was completed during fiscal year 2024.</w:t>
      </w:r>
    </w:p>
    <w:p>
      <w:pPr>
        <w:spacing w:after="0" w:line="6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in connection with our announcement to evaluate strategic alternatives as described in </w:t>
      </w:r>
      <w:r>
        <w:rPr>
          <w:rFonts w:ascii="Times New Roman" w:cs="Times New Roman" w:eastAsia="Times New Roman" w:hAnsi="Times New Roman"/>
          <w:sz w:val="18"/>
          <w:szCs w:val="18"/>
          <w:i w:val="1"/>
          <w:iCs w:val="1"/>
          <w:u w:val="single" w:color="auto"/>
          <w:color w:val="0000FF"/>
        </w:rPr>
        <w:t>Note 1. Description of Business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Presentation</w:t>
      </w:r>
      <w:r>
        <w:rPr>
          <w:rFonts w:ascii="Times New Roman" w:cs="Times New Roman" w:eastAsia="Times New Roman" w:hAnsi="Times New Roman"/>
          <w:sz w:val="18"/>
          <w:szCs w:val="18"/>
          <w:color w:val="000000"/>
        </w:rPr>
        <w:t>, we commenced the Strategic Alternatives RIF. All activities related to the Strategic Alternatives RIF were completed as of September 30,</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2025. Total charges incurred for the Strategic Alternatives RIF totaled $5.9 million which included charges for retention, contractual pro rata fiscal year 2025 bonuses, severance and COBRA costs related to the termination of our employees due to our related wind down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-447040</wp:posOffset>
            </wp:positionV>
            <wp:extent cx="20529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529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5835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5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we recorded employee termination benefits of $0.1 million within general and administrative expense. For the three months ended September 30, 2024, we recorded employee termination benefits of $1.3 million within research and development expense and $1.8 million within general and administrative expense.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one-time termination benefits were associated with our development of pharmaceutical products segment.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employee benefits included in accrued liabilities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38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One-time Employee Termination</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2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24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4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960" w:type="dxa"/>
            <w:vAlign w:val="bottom"/>
            <w:gridSpan w:val="2"/>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2"/>
        </w:trPr>
        <w:tc>
          <w:tcPr>
            <w:tcW w:w="5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7. Master Loan Agreement</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September 3, 2025 (the MLA Date), we entered into the MLA with the Lender. The MLA provides a framework under which we may borrow any digital assets or cash from the Lender, from time-to-time. We must request a loan from the Lender with the Loan Request. Once approved by the Lender, a loan will be documented in a loan agreement (each, a Loan Agreement).</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Loan may have a fixed term, or may include a call option or prepayment option, as specified in each Loan Request. In general, either party may terminate a Loan Agreement by providing notice within the time frame set forth in the Loan Agreement. Upon termination, the borrowed digital assets or cash must be returned and the related collateral released.</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Borrowings under a Loan Agreement are secured by collateral in favor of the Lender. Collateral may include cash or other forms agreed upon by the Parties (as defined in the applicable Loan Agreement). The collateral's required value is typically higher than the borrowed amount, subject to margin calls as set form in the applicable Loan Agreement. If the value of the posted collateral falls below the margin call threshold, we must promptly post additional collateral. Failure to maintain sufficient collateral can result in an event of default and remedies available to the Lender, including the right to liquidate pledged collateral.</w:t>
      </w:r>
    </w:p>
    <w:p>
      <w:pPr>
        <w:spacing w:after="0" w:line="183"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MLA contains representations and warranties and affirmative and negative covenants customary for financings of this type, as well as customary events of default.</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evaluated the MLA and determined as of the MLA Date, the MLA does not represent a loan commitment in accordance with U.S. GAAP. As of September 30, 2025, we had not requested any Loans nor did we have any Loan Agreements outstanding under the MLA.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an employment agreement with our acting chief executive officer and chief financial officer that provides for severance payments and accelerated vesting for share-based awards if his employment is terminated under specified circumstances.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September 30, 2025,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20" w:firstLine="509"/>
        <w:spacing w:after="0" w:line="290"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u w:val="single" w:color="auto"/>
          <w:color w:val="0000FF"/>
        </w:rPr>
        <w:t>Note 9. License Agreements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September 30, 2025,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-325120</wp:posOffset>
            </wp:positionV>
            <wp:extent cx="12757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14" w:name="page15"/>
    <w:bookmarkEnd w:id="14"/>
    <w:p>
      <w:pPr>
        <w:ind w:right="180"/>
        <w:spacing w:after="0" w:line="261" w:lineRule="auto"/>
        <w:rPr>
          <w:sz w:val="20"/>
          <w:szCs w:val="20"/>
          <w:color w:val="auto"/>
        </w:rPr>
      </w:pPr>
      <w:r>
        <w:rPr>
          <w:rFonts w:ascii="Times New Roman" w:cs="Times New Roman" w:eastAsia="Times New Roman" w:hAnsi="Times New Roman"/>
          <w:sz w:val="18"/>
          <w:szCs w:val="18"/>
          <w:color w:val="auto"/>
        </w:rPr>
        <w:t>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months ended September 30, 2025 and 2024, we made no payments under the Presage license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for approximately 32,800 square feet of office space in San Diego, California. The lease agreement was scheduled to expire in March 2028. We accounted for the lease agreement as an operating lease. The lease agreement contained an option to renew and extend the lease term, which was not included in the determination of the right-of-use (ROU) asset and operating lease liability, as it was not reasonably certain to be exercised. In July 2022, we amended the lease to extend the lease termination date from March 2028 to November 30, 2029, and to add another 12,300 square feet of office space adjacent to our current office in San Diego (the Amended Lease). Upon commencement of the Amended Lease, we recognized an additional ROU asset and a corresponding operating lease liability of $4.3 million. The Amended Lease includes variable non-lease components (e.g., common area maintenance, maintenance, etc.) that are not included in the ROU asset and operating lease liability and are reflected as an expense in the period incurred as a component of the lease cost.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Termination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18, 2024 (the Agreement Date), we entered into a lease termination agreement (Agreement) with our landlord pursuant to which the parties agreed to terminate the lease for our existing office space as of September 30, 2024. The original (as amended) scheduled expiration date was November 30, 2029. As consideration for the Agreement, we agreed to pay the landlord a termination fee of approximately $11.1 million (the Termination Fee) and to prepay the remaining rent due under the Agreement in the amount of approximately $0.2 million (the Remaining Rent) and sell all the furniture and fixtures to the landlord for $1.00. We received our security deposit, which is classified as a component of prepaid and other current assets, from the landlord in October 2024.</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Agreement was accounted for as a lease modification of the original contract. As a result of the Agreement, we reduced both the remaining ROU asset and lease liability by approximately $22,000, resulting in no impact to our consolidated statements of operations for the fiscal year ended June 30, 2024. We reassessed the lease classification, as of the Agreement Date, noting the current classification as an operating lease remained appropriate. Both the Termination Fee and the Remaining Rent were paid prior to June 30, 2024. Subsequent to the payment of both the Termination Fee and the Remaining Rent, our lease liability was relieved and the balance was reduced to zero.</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incurred direct costs of approximately $0.2 million in connection with the Agreement which accordingly was recorded to the ROU assets as a direct cost of modifying the Agreement. As of the Agreement Date, we determined a triggering event, in accordance with ASC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had occurred and therefore completed an impairment analysis on its ROU asset resulting in an impairment charge of approximately $10.4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being recorded in our consolidated statements of operations for the fiscal year ended June 30, 2024.</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had no operating lease costs for the three months ended September 30, 2025. The total operating lease costs for the Amended Lease for the three months ended September 30, 2024, were as follows (in thousands):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operating expenses</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each of the quarterly periods ended September 30, 2025 and 2024, we did not have supplemental cash flow activities due to the termination of the Amended Lease.</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had vacated the facility and the leased property reverted to the landlord. In addition, the ROU asset has been fully amortized.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ind w:right="80"/>
        <w:spacing w:after="0" w:line="266" w:lineRule="auto"/>
        <w:rPr>
          <w:sz w:val="20"/>
          <w:szCs w:val="20"/>
          <w:color w:val="auto"/>
        </w:rPr>
      </w:pPr>
      <w:r>
        <w:rPr>
          <w:rFonts w:ascii="Times New Roman" w:cs="Times New Roman" w:eastAsia="Times New Roman" w:hAnsi="Times New Roman"/>
          <w:sz w:val="18"/>
          <w:szCs w:val="18"/>
          <w:color w:val="auto"/>
        </w:rPr>
        <w:t>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68" w:lineRule="exact"/>
        <w:rPr>
          <w:sz w:val="20"/>
          <w:szCs w:val="20"/>
          <w:color w:val="auto"/>
        </w:rPr>
      </w:pPr>
    </w:p>
    <w:p>
      <w:pPr>
        <w:ind w:left="520" w:right="940"/>
        <w:spacing w:after="0" w:line="375" w:lineRule="auto"/>
        <w:rPr>
          <w:sz w:val="20"/>
          <w:szCs w:val="20"/>
          <w:color w:val="auto"/>
        </w:rPr>
      </w:pPr>
      <w:r>
        <w:rPr>
          <w:rFonts w:ascii="Times New Roman" w:cs="Times New Roman" w:eastAsia="Times New Roman" w:hAnsi="Times New Roman"/>
          <w:sz w:val="18"/>
          <w:szCs w:val="18"/>
          <w:color w:val="auto"/>
        </w:rPr>
        <w:t xml:space="preserve">In conjunction with the PIPE, we issued 23,216,898 shares of Common Stock at $3.42 per share, for net cash proceeds of $92.2 million. </w:t>
      </w:r>
      <w:r>
        <w:rPr>
          <w:rFonts w:ascii="Times New Roman" w:cs="Times New Roman" w:eastAsia="Times New Roman" w:hAnsi="Times New Roman"/>
          <w:sz w:val="18"/>
          <w:szCs w:val="18"/>
          <w:i w:val="1"/>
          <w:iCs w:val="1"/>
          <w:color w:val="auto"/>
        </w:rPr>
        <w:t>Preferred Stock</w:t>
      </w:r>
    </w:p>
    <w:p>
      <w:pPr>
        <w:spacing w:after="0" w:line="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September 30, 2025 and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 shelf registration statement (February 2024 Shelf Registration Statement) that permits us to sell, from time to time, up to $100.0 million of common stock, preferred stock, warrants, rights and units, subject to the "Baby Shelf Limitation" described below. The February 2024 Shelf Registration Statement was filed February 20, 2024, and declared effective February 28,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(On Demand Sales Agreement) with JonesTrading Institution Services LLC, pursuant to which we could offer and sell shares having an aggregate offering price of up to $25.0 million. We did not offer or sell any shares of Common Stock under the On Demand Sales Agreement. Effective July 21, 2025, we terminated the On Demand Sales Agreement.</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July 22, 2025, we entered the new Sales Agreement with Titan Partners Group LLC, a division of American Capital Partners LLC (in such capacity, the Agent), pursuant to which we may sell, from time to time, at our option, up to $100.0 million in aggregate principal amount of an indeterminate amount of shares (the ATM Shares) of Common Stock, through the Agent (ATM Program). We will pay the Agent a commission of 3.5% of the gross sales price of the ATM Shares sold pursuant to the Sales Agreement, if any.</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ATM Shares to be offered and sold under the Sales Agreement will be issued and sold (i) by methods deemed to be an at-the-market offering as defined in Rule 415(a)(4) promulgated under the Securities Act of 1933, as amended, or in negotiated transactions, if authorized by us and (ii) pursuant to the Registration Statement on Form S-3 filed by us with the SEC on February 20, 2024 for an offering of up to $100.0 million of various securities, including shares of our Common Stock, preferred stock, warrants, rights and/or units for sale to the public in one or more public offerings, which became effective on February 28, 2024.</w:t>
      </w:r>
    </w:p>
    <w:p>
      <w:pPr>
        <w:spacing w:after="0" w:line="11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882,924 shares of our Common Stock have been issued and sold under our ATM Program for aggregate net proceeds of $4.6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cooperation agreement, with Anson Funds Management LP and Cable Car Capital LLC (the Cooperation Agreement) among other non-financial items, provided for a capital return to stockholders in the form of a dividend in the amount of $1.75 per share of Common Stock that was declared on November 6, 2023, to stockholders of record at the close of business on November 17, 2023. The total dividend of $11.7 million was paid on December 6, 2023, and was recorded as a reduction of additional paid-in capital in the interim condensed consolidated statements of stockholders' equity, as we have an accumulated deficit, rather than retained earnings. Effective July 22, 2025, in conjunction with the closing of the Offering, the parties to the Cooperation Agreement mutually agreed to terminate such Cooperation Agreement.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The Rights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 w:name="page17"/>
    <w:bookmarkEnd w:id="16"/>
    <w:p>
      <w:pPr>
        <w:ind w:right="600"/>
        <w:spacing w:after="0" w:line="282" w:lineRule="auto"/>
        <w:rPr>
          <w:sz w:val="20"/>
          <w:szCs w:val="20"/>
          <w:color w:val="auto"/>
        </w:rPr>
      </w:pPr>
      <w:r>
        <w:rPr>
          <w:rFonts w:ascii="Times New Roman" w:cs="Times New Roman" w:eastAsia="Times New Roman" w:hAnsi="Times New Roman"/>
          <w:sz w:val="18"/>
          <w:szCs w:val="18"/>
          <w:color w:val="auto"/>
        </w:rPr>
        <w:t>distributable to stockholders of record as of the close of business on October 12, 2023. The Rights and the Rights Agreement expired at the close of business on September 30, 2024. No rights were redeemed or exchanged under the Rights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2025, we have the following warrants outstanding:</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80" w:type="dxa"/>
            <w:vAlign w:val="bottom"/>
          </w:tcPr>
          <w:p>
            <w:pPr>
              <w:spacing w:after="0"/>
              <w:rPr>
                <w:sz w:val="20"/>
                <w:szCs w:val="20"/>
                <w:color w:val="auto"/>
              </w:rPr>
            </w:pPr>
          </w:p>
        </w:tc>
        <w:tc>
          <w:tcPr>
            <w:tcW w:w="2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Initial Exercise Date</w:t>
            </w: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156"/>
        </w:trPr>
        <w:tc>
          <w:tcPr>
            <w:tcW w:w="33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60"/>
              <w:spacing w:after="0" w:line="270" w:lineRule="exact"/>
              <w:rPr>
                <w:sz w:val="20"/>
                <w:szCs w:val="20"/>
                <w:color w:val="auto"/>
              </w:rPr>
            </w:pPr>
            <w:r>
              <w:rPr>
                <w:rFonts w:ascii="Times New Roman" w:cs="Times New Roman" w:eastAsia="Times New Roman" w:hAnsi="Times New Roman"/>
                <w:sz w:val="18"/>
                <w:szCs w:val="18"/>
                <w:color w:val="auto"/>
              </w:rPr>
              <w:t xml:space="preserve">Issued in the PIPE </w:t>
            </w:r>
            <w:r>
              <w:rPr>
                <w:rFonts w:ascii="Times New Roman" w:cs="Times New Roman" w:eastAsia="Times New Roman" w:hAnsi="Times New Roman"/>
                <w:sz w:val="26"/>
                <w:szCs w:val="26"/>
                <w:color w:val="auto"/>
                <w:vertAlign w:val="superscript"/>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1,130,290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Until Exercised in Full</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Issued for services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546,348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24, 2025</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Until Exercised in Full</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Advisory Warrants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Asset Manager Warrants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GSR 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GSR 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GSR 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GSR 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Strategic Advisor Warrants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22, 2030</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Placement Agent Warrants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1,169,591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2025</w:t>
            </w:r>
          </w:p>
        </w:tc>
        <w:tc>
          <w:tcPr>
            <w:tcW w:w="100" w:type="dxa"/>
            <w:vAlign w:val="bottom"/>
            <w:shd w:val="clear" w:color="auto" w:fill="CFF0FC"/>
          </w:tcPr>
          <w:p>
            <w:pPr>
              <w:spacing w:after="0"/>
              <w:rPr>
                <w:sz w:val="18"/>
                <w:szCs w:val="18"/>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22, 2030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Warrant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25, 2022</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25, 2027</w:t>
            </w:r>
          </w:p>
        </w:tc>
        <w:tc>
          <w:tcPr>
            <w:tcW w:w="0" w:type="dxa"/>
            <w:vAlign w:val="bottom"/>
          </w:tcPr>
          <w:p>
            <w:pPr>
              <w:spacing w:after="0"/>
              <w:rPr>
                <w:sz w:val="1"/>
                <w:szCs w:val="1"/>
                <w:color w:val="auto"/>
              </w:rPr>
            </w:pPr>
          </w:p>
        </w:tc>
      </w:tr>
      <w:tr>
        <w:trPr>
          <w:trHeight w:val="249"/>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warrants outstanding</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4,849,328</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-1816735</wp:posOffset>
            </wp:positionV>
            <wp:extent cx="641223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w:t>
      </w:r>
    </w:p>
    <w:p>
      <w:pPr>
        <w:ind w:left="700" w:hanging="183"/>
        <w:spacing w:after="0" w:line="233" w:lineRule="auto"/>
        <w:tabs>
          <w:tab w:leader="none" w:pos="7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u w:val="single" w:color="auto"/>
          <w:color w:val="0000FF"/>
        </w:rPr>
        <w:t>Note 15. Subsequent Events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these Pre-Funded Warrants were cashless exercised in October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-24765</wp:posOffset>
            </wp:positionV>
            <wp:extent cx="12693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Each Pre-Funded Warrant is immediately exercisable for one share of Common Stock at an exercise price of $0.0001 per Pre-Funded Warrant Share and may be exercised at any time until all the Pre-Funded Warrants issued in the Offering are exercised in full. Each holder of the Pre-Funded Warrant's ability to exercise its Pre-Funded Warrants in exchange for shares of Common Stock is subject to certain beneficial ownership limitations set forth therein. On July 24, 2025, Pre-Funded Warrants for the purchase of 2,084,509 shares of Common Stock were 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As of September 30, 2025, we issued 2,807,967 shares of Common Stock upon cashless exercises of 2,808,070 Pre-Funded Warrants.</w:t>
      </w:r>
    </w:p>
    <w:p>
      <w:pPr>
        <w:spacing w:after="0" w:line="1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September 24, 2025, as payment of the annual Asset-based Fee (as defined within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under the Asset Management Agreement (as defined within </w:t>
      </w:r>
      <w:r>
        <w:rPr>
          <w:rFonts w:ascii="Times New Roman" w:cs="Times New Roman" w:eastAsia="Times New Roman" w:hAnsi="Times New Roman"/>
          <w:sz w:val="18"/>
          <w:szCs w:val="18"/>
          <w:i w:val="1"/>
          <w:iCs w:val="1"/>
          <w:u w:val="single" w:color="auto"/>
          <w:color w:val="0000FF"/>
        </w:rPr>
        <w:t>Note 14. Related Party Transactions</w:t>
      </w:r>
      <w:r>
        <w:rPr>
          <w:rFonts w:ascii="Times New Roman" w:cs="Times New Roman" w:eastAsia="Times New Roman" w:hAnsi="Times New Roman"/>
          <w:sz w:val="18"/>
          <w:szCs w:val="18"/>
          <w:color w:val="auto"/>
        </w:rPr>
        <w:t xml:space="preserve">), we issued GSR Strategies LLC (GSR or the Asset Manager) fully vested, nonforfeitable Pre-Funded Warrants for the purchase of up to 546,348 shares of our Common Stock with an exercise price of $0.0001 per share. During the first year of the Asset Management Agreement, it is noncancelable, by us, other than for Cause (as defined therein) The annual Asset-based Fee of $1.9 million will be amortized to expense through the one-year anniversary of the Asset Management Agreement. Amounts in excess of the fee attributable to the three months ended September 30, 2025, are recorded in prepaid expenses and other current assets in the interim condensed consolidated balance sheets. We concluded the fair value of services received by GSR represented the fair value of the warrants issued in settlement of the Asset-based Fee and recorded such fair value as additional paid-in capital in the interim condensed consolidated balance sheets. During the three months ended September 30, 2025, we recognized $0.3 million of the Asset-based Fee within general and administrative expenses within our digital asset treasury strategy segment (see </w:t>
      </w:r>
      <w:r>
        <w:rPr>
          <w:rFonts w:ascii="Times New Roman" w:cs="Times New Roman" w:eastAsia="Times New Roman" w:hAnsi="Times New Roman"/>
          <w:sz w:val="18"/>
          <w:szCs w:val="18"/>
          <w:i w:val="1"/>
          <w:iCs w:val="1"/>
          <w:u w:val="single" w:color="auto"/>
          <w:color w:val="0000FF"/>
        </w:rPr>
        <w:t>Note 13. Segment Information</w:t>
      </w:r>
      <w:r>
        <w:rPr>
          <w:rFonts w:ascii="Times New Roman" w:cs="Times New Roman" w:eastAsia="Times New Roman" w:hAnsi="Times New Roman"/>
          <w:sz w:val="18"/>
          <w:szCs w:val="18"/>
          <w:color w:val="auto"/>
        </w:rPr>
        <w:t xml:space="preserve"> for information related to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4297680</wp:posOffset>
            </wp:positionH>
            <wp:positionV relativeFrom="paragraph">
              <wp:posOffset>-1266190</wp:posOffset>
            </wp:positionV>
            <wp:extent cx="16725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7259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-1129030</wp:posOffset>
            </wp:positionV>
            <wp:extent cx="16725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-31750</wp:posOffset>
            </wp:positionV>
            <wp:extent cx="13773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Advisory Warrants</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July 22, 2025, in conjunction with the closing of the PIPE, we issued the Advisory Warrants (as discussed in </w:t>
      </w:r>
      <w:r>
        <w:rPr>
          <w:rFonts w:ascii="Times New Roman" w:cs="Times New Roman" w:eastAsia="Times New Roman" w:hAnsi="Times New Roman"/>
          <w:sz w:val="18"/>
          <w:szCs w:val="18"/>
          <w:i w:val="1"/>
          <w:iCs w:val="1"/>
          <w:u w:val="single" w:color="auto"/>
          <w:color w:val="0000FF"/>
        </w:rPr>
        <w:t>Note 2.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Accounting Policies</w:t>
      </w:r>
      <w:r>
        <w:rPr>
          <w:rFonts w:ascii="Times New Roman" w:cs="Times New Roman" w:eastAsia="Times New Roman" w:hAnsi="Times New Roman"/>
          <w:sz w:val="18"/>
          <w:szCs w:val="18"/>
          <w:color w:val="000000"/>
        </w:rPr>
        <w:t>) for the purchase of 3,070,177 shares of our Common Stock to our advisors in the transaction (the Advisory Warrants). The Advisory</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Warrants are immediately exercisable, expire five years from the issuance date and have exercise prices per shares between $3.42 per share and $5.13 per share. During the three months ended September 30, 2025, we recognized the fair value of the Advisory Warrants of $16.2 million within additional paid-in capital within the interim condensed consolidated statements of stockholders' equity. The weighted-average grant date fair value of the Advisory Warrants was $5.28 per share as determined using the following weighted-average grant date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-719455</wp:posOffset>
            </wp:positionV>
            <wp:extent cx="1459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59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916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4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have a warrant to purchase 102,513 shares of our common stock issued to Torreya Partners LLC. The warrants are fully vested, exercisable at a price of $6.80 per share and expire in October 2027. No warrants were exercised as of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regularly evaluated by the chief operating decision maker (CODM), which is our Acting Chief Executive Officer and Chief Financial Officer, in deciding how to allocate resources and assess performance. During fiscal year 2025, when allocating financial and personnel resources, due to pursuing our strategic alternatives initiative, the CODM evaluated our financial information, including year over year profit and loss comparisons and cash projections, on an aggregate basis. During fiscal year 2026, our CODM will evaluate financial information including budget versus actual comparisons when assessing performance for allocating financial and personnel resources. We consider our cash and cash equivalents to be primarily available for use in our development of pharmaceutical products segment. We are not organized by market.</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Prior to the initiation of our Litecoin Treasury Strategy in August 2025, we operated as a single operating segment, the development of pharmaceutical products. Subsequently, we now operate under two operating segments (development of pharmaceutical products and digital asset treasury strategy), which we identify based upon the underlying business activities supporting these two segments. During the first quarter of fiscal year 2026 and for the fiscal year 2025, we did not generate any revenue. Our administrative functions including finance, business development and information systems, primarily support our development of pharmaceutical products segment, as since purchasing our LTC tokens, our digital assets treasury strategy segment requires little cash infusions. We operate in one geographic area, the United States. The CODM allocates resources (inclusive of both capital and personnel) based upon our net loss, which is utilized to monitor year over year variances on a quarterly basis.</w:t>
      </w:r>
    </w:p>
    <w:p>
      <w:pPr>
        <w:spacing w:after="0" w:line="187"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both our segments are the same as those described 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All our assets are in the United States. We do not have intra-entity sales or transfers.</w:t>
      </w:r>
    </w:p>
    <w:p>
      <w:pPr>
        <w:spacing w:after="0" w:line="160"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During the three months ended September 30, 2025 and 2024, we had no transactions denominated in foreign currencies nor any intangible property for which we recognized amortization expense. During the three months ended September 30, 2025, we did not recognize depreciation expense. During the three months ended September 30, 2024, we recognized depreciation expense that we have included in "other expenses" within the table below.</w:t>
      </w:r>
    </w:p>
    <w:p>
      <w:pPr>
        <w:spacing w:after="0" w:line="1"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Depreciation expense is reported in our statements of cash flows and is expected to be zero during fiscal year 2026. Non-cash expenses such as depreciating assets and share-based compensation are not part of the CODM's evaluation or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7"/>
          <w:szCs w:val="17"/>
          <w:color w:val="auto"/>
        </w:rPr>
        <w:t>The following tables summarize our financial data for our segments (in thousands):</w:t>
      </w:r>
    </w:p>
    <w:p>
      <w:pPr>
        <w:sectPr>
          <w:pgSz w:w="11900" w:h="16838" w:orient="portrait"/>
          <w:cols w:equalWidth="0" w:num="1">
            <w:col w:w="11160"/>
          </w:cols>
          <w:pgMar w:left="320" w:top="124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460" w:hanging="69"/>
        <w:spacing w:after="0" w:line="245" w:lineRule="auto"/>
        <w:rPr>
          <w:sz w:val="20"/>
          <w:szCs w:val="20"/>
          <w:color w:val="auto"/>
        </w:rPr>
      </w:pPr>
      <w:r>
        <w:rPr>
          <w:rFonts w:ascii="Times New Roman" w:cs="Times New Roman" w:eastAsia="Times New Roman" w:hAnsi="Times New Roman"/>
          <w:sz w:val="18"/>
          <w:szCs w:val="18"/>
          <w:color w:val="auto"/>
        </w:rPr>
        <w:t>Operating and other (income) expense Employee expenses</w:t>
      </w:r>
    </w:p>
    <w:p>
      <w:pPr>
        <w:ind w:left="640"/>
        <w:spacing w:after="0" w:line="213" w:lineRule="auto"/>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p>
      <w:pPr>
        <w:ind w:left="640"/>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Legal fees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voruciclib</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ME-344</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Asset management fee and advisory fees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Change in fair value of digital assets</w:t>
      </w:r>
    </w:p>
    <w:p>
      <w:pPr>
        <w:ind w:left="640"/>
        <w:spacing w:after="0" w:line="208" w:lineRule="auto"/>
        <w:rPr>
          <w:sz w:val="20"/>
          <w:szCs w:val="20"/>
          <w:color w:val="auto"/>
        </w:rPr>
      </w:pPr>
      <w:r>
        <w:rPr>
          <w:rFonts w:ascii="Times New Roman" w:cs="Times New Roman" w:eastAsia="Times New Roman" w:hAnsi="Times New Roman"/>
          <w:sz w:val="18"/>
          <w:szCs w:val="18"/>
          <w:color w:val="auto"/>
        </w:rPr>
        <w:t>Interest and dividend income</w:t>
      </w:r>
      <w:r>
        <w:rPr>
          <w:rFonts w:ascii="Times New Roman" w:cs="Times New Roman" w:eastAsia="Times New Roman" w:hAnsi="Times New Roman"/>
          <w:sz w:val="24"/>
          <w:szCs w:val="24"/>
          <w:color w:val="auto"/>
          <w:vertAlign w:val="superscript"/>
        </w:rPr>
        <w:t>(2)</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operating and other (income)</w:t>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expense</w:t>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segment costs loss and net loss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3860" w:type="dxa"/>
            <w:vAlign w:val="bottom"/>
            <w:gridSpan w:val="8"/>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8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14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8"/>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 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Digital Asset</w:t>
            </w:r>
          </w:p>
        </w:tc>
        <w:tc>
          <w:tcPr>
            <w:tcW w:w="80" w:type="dxa"/>
            <w:vAlign w:val="bottom"/>
          </w:tcPr>
          <w:p>
            <w:pPr>
              <w:spacing w:after="0"/>
              <w:rPr>
                <w:sz w:val="10"/>
                <w:szCs w:val="10"/>
                <w:color w:val="auto"/>
              </w:rPr>
            </w:pPr>
          </w:p>
        </w:tc>
        <w:tc>
          <w:tcPr>
            <w:tcW w:w="136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 of</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w:t>
            </w:r>
          </w:p>
        </w:tc>
        <w:tc>
          <w:tcPr>
            <w:tcW w:w="260" w:type="dxa"/>
            <w:vAlign w:val="bottom"/>
          </w:tcPr>
          <w:p>
            <w:pPr>
              <w:spacing w:after="0"/>
              <w:rPr>
                <w:sz w:val="12"/>
                <w:szCs w:val="1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Strategy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24"/>
                <w:szCs w:val="24"/>
                <w:color w:val="auto"/>
              </w:rPr>
            </w:pP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412"/>
        </w:trPr>
        <w:tc>
          <w:tcPr>
            <w:tcW w:w="1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-1816735</wp:posOffset>
            </wp:positionV>
            <wp:extent cx="64122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-1542415</wp:posOffset>
            </wp:positionV>
            <wp:extent cx="641223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-1268095</wp:posOffset>
            </wp:positionV>
            <wp:extent cx="641223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-993775</wp:posOffset>
            </wp:positionV>
            <wp:extent cx="641223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-719455</wp:posOffset>
            </wp:positionV>
            <wp:extent cx="64122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-436245</wp:posOffset>
            </wp:positionV>
            <wp:extent cx="641223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323" w:lineRule="exact"/>
        <w:rPr>
          <w:sz w:val="20"/>
          <w:szCs w:val="20"/>
          <w:color w:val="auto"/>
        </w:rPr>
      </w:pPr>
    </w:p>
    <w:p>
      <w:pPr>
        <w:sectPr>
          <w:pgSz w:w="11900" w:h="16838" w:orient="portrait"/>
          <w:cols w:equalWidth="0" w:num="2">
            <w:col w:w="3800" w:space="720"/>
            <w:col w:w="6640"/>
          </w:cols>
          <w:pgMar w:left="320" w:top="1242" w:right="419" w:bottom="1440" w:gutter="0" w:footer="0" w:header="0"/>
          <w:type w:val="continuous"/>
        </w:sectPr>
      </w:pPr>
    </w:p>
    <w:p>
      <w:pPr>
        <w:ind w:left="780" w:right="340" w:hanging="263"/>
        <w:spacing w:after="0" w:line="260" w:lineRule="auto"/>
        <w:tabs>
          <w:tab w:leader="none" w:pos="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occupancy costs (including rent and utilities), share-based compensation costs, depreciation expense, administrative costs, travel and business taxes.</w:t>
      </w:r>
    </w:p>
    <w:p>
      <w:pPr>
        <w:ind w:left="740" w:hanging="223"/>
        <w:spacing w:after="0"/>
        <w:tabs>
          <w:tab w:leader="none" w:pos="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dividend income are solely attributable to our cash and cash equivalents.</w:t>
      </w:r>
    </w:p>
    <w:p>
      <w:pPr>
        <w:spacing w:after="0" w:line="200" w:lineRule="exact"/>
        <w:rPr>
          <w:sz w:val="20"/>
          <w:szCs w:val="20"/>
          <w:color w:val="auto"/>
        </w:rPr>
      </w:pPr>
    </w:p>
    <w:p>
      <w:pPr>
        <w:spacing w:after="0" w:line="20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Digital Asset</w:t>
            </w:r>
          </w:p>
        </w:tc>
        <w:tc>
          <w:tcPr>
            <w:tcW w:w="220" w:type="dxa"/>
            <w:vAlign w:val="bottom"/>
          </w:tcPr>
          <w:p>
            <w:pPr>
              <w:spacing w:after="0"/>
              <w:rPr>
                <w:sz w:val="10"/>
                <w:szCs w:val="10"/>
                <w:color w:val="auto"/>
              </w:rPr>
            </w:pP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of</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Development of</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Strategy</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Pharmaceutical Products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80" w:type="dxa"/>
            <w:vAlign w:val="bottom"/>
            <w:shd w:val="clear" w:color="auto" w:fill="CFF0FF"/>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Cash and cash equivalent </w:t>
            </w:r>
            <w:r>
              <w:rPr>
                <w:rFonts w:ascii="Times New Roman" w:cs="Times New Roman" w:eastAsia="Times New Roman" w:hAnsi="Times New Roman"/>
                <w:sz w:val="24"/>
                <w:szCs w:val="24"/>
                <w:color w:val="auto"/>
                <w:vertAlign w:val="superscript"/>
              </w:rPr>
              <w:t>(1)</w:t>
            </w:r>
          </w:p>
        </w:tc>
        <w:tc>
          <w:tcPr>
            <w:tcW w:w="620" w:type="dxa"/>
            <w:vAlign w:val="bottom"/>
            <w:gridSpan w:val="2"/>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46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580" w:type="dxa"/>
            <w:vAlign w:val="bottom"/>
            <w:gridSpan w:val="3"/>
            <w:shd w:val="clear" w:color="auto" w:fill="CFF0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80" w:type="dxa"/>
            <w:vAlign w:val="bottom"/>
            <w:shd w:val="clear" w:color="auto" w:fill="CFF0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shd w:val="clear" w:color="auto" w:fill="CFF0FF"/>
          </w:tcPr>
          <w:p>
            <w:pPr>
              <w:spacing w:after="0"/>
              <w:rPr>
                <w:sz w:val="18"/>
                <w:szCs w:val="18"/>
                <w:color w:val="auto"/>
              </w:rPr>
            </w:pPr>
          </w:p>
        </w:tc>
        <w:tc>
          <w:tcPr>
            <w:tcW w:w="140" w:type="dxa"/>
            <w:vAlign w:val="bottom"/>
            <w:shd w:val="clear" w:color="auto" w:fill="CFF0FF"/>
          </w:tcPr>
          <w:p>
            <w:pPr>
              <w:spacing w:after="0"/>
              <w:rPr>
                <w:sz w:val="18"/>
                <w:szCs w:val="18"/>
                <w:color w:val="auto"/>
              </w:rPr>
            </w:pPr>
          </w:p>
        </w:tc>
        <w:tc>
          <w:tcPr>
            <w:tcW w:w="10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20" w:type="dxa"/>
            <w:vAlign w:val="bottom"/>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9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200" w:type="dxa"/>
            <w:vAlign w:val="bottom"/>
            <w:shd w:val="clear" w:color="auto" w:fill="CFF0FF"/>
          </w:tcPr>
          <w:p>
            <w:pPr>
              <w:spacing w:after="0"/>
              <w:rPr>
                <w:sz w:val="18"/>
                <w:szCs w:val="18"/>
                <w:color w:val="auto"/>
              </w:rPr>
            </w:pPr>
          </w:p>
        </w:tc>
        <w:tc>
          <w:tcPr>
            <w:tcW w:w="260" w:type="dxa"/>
            <w:vAlign w:val="bottom"/>
            <w:shd w:val="clear" w:color="auto" w:fill="CFF0FF"/>
          </w:tcPr>
          <w:p>
            <w:pPr>
              <w:spacing w:after="0"/>
              <w:rPr>
                <w:sz w:val="18"/>
                <w:szCs w:val="18"/>
                <w:color w:val="auto"/>
              </w:rPr>
            </w:pPr>
          </w:p>
        </w:tc>
        <w:tc>
          <w:tcPr>
            <w:tcW w:w="9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8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200" w:type="dxa"/>
            <w:vAlign w:val="bottom"/>
            <w:shd w:val="clear" w:color="auto" w:fill="CFF0FF"/>
          </w:tcPr>
          <w:p>
            <w:pPr>
              <w:spacing w:after="0"/>
              <w:rPr>
                <w:sz w:val="18"/>
                <w:szCs w:val="18"/>
                <w:color w:val="auto"/>
              </w:rPr>
            </w:pPr>
          </w:p>
        </w:tc>
        <w:tc>
          <w:tcPr>
            <w:tcW w:w="14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80" w:type="dxa"/>
            <w:vAlign w:val="bottom"/>
            <w:tcBorders>
              <w:bottom w:val="single" w:sz="8" w:color="CFF0FF"/>
            </w:tcBorders>
            <w:shd w:val="clear" w:color="auto" w:fill="CFF0FF"/>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tcBorders>
              <w:bottom w:val="single" w:sz="8" w:color="CFF0FF"/>
            </w:tcBorders>
            <w:shd w:val="clear" w:color="auto" w:fill="CFF0FF"/>
          </w:tcPr>
          <w:p>
            <w:pPr>
              <w:spacing w:after="0"/>
              <w:rPr>
                <w:sz w:val="18"/>
                <w:szCs w:val="18"/>
                <w:color w:val="auto"/>
              </w:rPr>
            </w:pPr>
          </w:p>
        </w:tc>
        <w:tc>
          <w:tcPr>
            <w:tcW w:w="140" w:type="dxa"/>
            <w:vAlign w:val="bottom"/>
            <w:tcBorders>
              <w:bottom w:val="single" w:sz="8" w:color="auto"/>
            </w:tcBorders>
            <w:shd w:val="clear" w:color="auto" w:fill="CFF0FF"/>
          </w:tcPr>
          <w:p>
            <w:pPr>
              <w:spacing w:after="0"/>
              <w:rPr>
                <w:sz w:val="18"/>
                <w:szCs w:val="18"/>
                <w:color w:val="auto"/>
              </w:rPr>
            </w:pPr>
          </w:p>
        </w:tc>
        <w:tc>
          <w:tcPr>
            <w:tcW w:w="10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9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tcBorders>
              <w:bottom w:val="single" w:sz="8" w:color="CFF0FF"/>
            </w:tcBorders>
            <w:shd w:val="clear" w:color="auto" w:fill="CFF0FF"/>
          </w:tcPr>
          <w:p>
            <w:pPr>
              <w:spacing w:after="0"/>
              <w:rPr>
                <w:sz w:val="18"/>
                <w:szCs w:val="18"/>
                <w:color w:val="auto"/>
              </w:rPr>
            </w:pPr>
          </w:p>
        </w:tc>
        <w:tc>
          <w:tcPr>
            <w:tcW w:w="260" w:type="dxa"/>
            <w:vAlign w:val="bottom"/>
            <w:tcBorders>
              <w:bottom w:val="single" w:sz="8" w:color="auto"/>
            </w:tcBorders>
            <w:shd w:val="clear" w:color="auto" w:fill="CFF0FF"/>
          </w:tcPr>
          <w:p>
            <w:pPr>
              <w:spacing w:after="0"/>
              <w:rPr>
                <w:sz w:val="18"/>
                <w:szCs w:val="18"/>
                <w:color w:val="auto"/>
              </w:rPr>
            </w:pPr>
          </w:p>
        </w:tc>
        <w:tc>
          <w:tcPr>
            <w:tcW w:w="9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FF0FF"/>
            </w:tcBorders>
            <w:shd w:val="clear" w:color="auto" w:fill="CFF0FF"/>
          </w:tcPr>
          <w:p>
            <w:pPr>
              <w:spacing w:after="0"/>
              <w:rPr>
                <w:sz w:val="18"/>
                <w:szCs w:val="18"/>
                <w:color w:val="auto"/>
              </w:rPr>
            </w:pPr>
          </w:p>
        </w:tc>
        <w:tc>
          <w:tcPr>
            <w:tcW w:w="300" w:type="dxa"/>
            <w:vAlign w:val="bottom"/>
            <w:tcBorders>
              <w:bottom w:val="single" w:sz="8" w:color="CFF0FF"/>
            </w:tcBorders>
            <w:shd w:val="clear" w:color="auto" w:fill="CFF0FF"/>
          </w:tcPr>
          <w:p>
            <w:pPr>
              <w:spacing w:after="0"/>
              <w:rPr>
                <w:sz w:val="18"/>
                <w:szCs w:val="18"/>
                <w:color w:val="auto"/>
              </w:rPr>
            </w:pPr>
          </w:p>
        </w:tc>
        <w:tc>
          <w:tcPr>
            <w:tcW w:w="200" w:type="dxa"/>
            <w:vAlign w:val="bottom"/>
            <w:tcBorders>
              <w:bottom w:val="single" w:sz="8" w:color="auto"/>
            </w:tcBorders>
            <w:shd w:val="clear" w:color="auto" w:fill="CFF0FF"/>
          </w:tcPr>
          <w:p>
            <w:pPr>
              <w:spacing w:after="0"/>
              <w:rPr>
                <w:sz w:val="18"/>
                <w:szCs w:val="18"/>
                <w:color w:val="auto"/>
              </w:rPr>
            </w:pPr>
          </w:p>
        </w:tc>
        <w:tc>
          <w:tcPr>
            <w:tcW w:w="144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F"/>
            </w:tcBorders>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101,053</w:t>
            </w:r>
          </w:p>
        </w:tc>
        <w:tc>
          <w:tcPr>
            <w:tcW w:w="4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113,337</w:t>
            </w:r>
          </w:p>
        </w:tc>
        <w:tc>
          <w:tcPr>
            <w:tcW w:w="58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jc w:val="right"/>
              <w:ind w:right="2410"/>
              <w:spacing w:after="0"/>
              <w:rPr>
                <w:sz w:val="20"/>
                <w:szCs w:val="20"/>
                <w:color w:val="auto"/>
              </w:rPr>
            </w:pPr>
            <w:r>
              <w:rPr>
                <w:rFonts w:ascii="Times New Roman" w:cs="Times New Roman" w:eastAsia="Times New Roman" w:hAnsi="Times New Roman"/>
                <w:sz w:val="16"/>
                <w:szCs w:val="16"/>
                <w:color w:val="auto"/>
                <w:w w:val="98"/>
              </w:rPr>
              <w:t>_____________</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-295275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-295275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-295275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-295275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740" w:hanging="223"/>
        <w:spacing w:after="0"/>
        <w:tabs>
          <w:tab w:leader="none" w:pos="74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cash and cash equivalents are primarily used to support our development of pharmaceuticals products segment.</w:t>
      </w:r>
    </w:p>
    <w:p>
      <w:pPr>
        <w:spacing w:after="0" w:line="218"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had related party transactions with affiliates of our Board. The following table summarizes our activities with such affiliates of our Board as of and for the three months ended September 30, 2025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w:t>
            </w:r>
          </w:p>
        </w:tc>
        <w:tc>
          <w:tcPr>
            <w:tcW w:w="3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1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2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Year-to-date activity:</w:t>
            </w:r>
          </w:p>
        </w:tc>
        <w:tc>
          <w:tcPr>
            <w:tcW w:w="3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recognized</w:t>
            </w:r>
          </w:p>
        </w:tc>
        <w:tc>
          <w:tcPr>
            <w:tcW w:w="31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 Agreement and Side Letter</w:t>
      </w:r>
    </w:p>
    <w:p>
      <w:pPr>
        <w:spacing w:after="0" w:line="2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our Current Report on Form 8-K dated August 6, 2025, the Board approved the appointment of Joshua Riezman to the Board on August 5, 2025, pursuant to a Side Letter (the Side Letter) with GSR entered into in connection with the PIPE. Mr. Riezman is the chief strategy officer, U.S. and Global Deputy General Counsel for GSR. Pursuant to the Side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2" w:right="419" w:bottom="1440" w:gutter="0" w:footer="0" w:header="0"/>
          <w:type w:val="continuous"/>
        </w:sectPr>
      </w:pPr>
    </w:p>
    <w:bookmarkStart w:id="19" w:name="page20"/>
    <w:bookmarkEnd w:id="19"/>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GSR, a Purchaser in the PIPE, had the right to nominate one person to serve on the Board. In accordance with the Side Letter, Mr. Riezman was appointed to the class of directors who will be up for reelection at our annual meeting of stockholders for fiscal 2026. In connection with Mr. Riezman's appointment to our Board, he received an initial stock option grant for the purchase of 10,000 shares of our Common Stock with an exercise price of $5.19 per share.</w:t>
      </w:r>
    </w:p>
    <w:p>
      <w:pPr>
        <w:spacing w:after="0" w:line="176"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July 22, 2025, in connection with the PIPE, we and GSR entered into the Asset Management Agreement (the Asset Management Agreement). GSR provides discretionary investment management services with respect to, among other assets, the proceeds from our PIPE (the Account Assets) in accordance with the terms of the Asset Management Agreement. GSR will pursue a long-only investment strategy investing primarily in LTC. The custodians under the Asset Management Agreement will consist of Coinbase and other cryptocurrency wallet providers agreed to by us and the Asset Manager.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pay GSR an asset-based fee (the Asset-based Fee) equal to 1.75% per annum of the Account Assets under management that is paid in shares of Common Stock until GSR owns 4.99% of our issued and outstanding Common Stock. Thereafter, the Asset-based Fee is to be paid in Pre-Funded Warrants (the GSR Pre-Funded Warrants) to purchase shares of Common Stock (the GSR Pre-Funded Warrant Shares). The number of shares of Common Stock or GSR Pre-Funded Warrants will be issued equal to the dollar amount of the Asset-based Fee being paid, divided by the average volume-weighted average price (VWAP) of the Common Stock for the 30 trading days ending with the trading day prior to the date that is the applicable 12-month anniversary of the Closing Date (the Fee Reference Date).</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compensation for services rendered by GSR in connection with the PIPE, we issued warrants (the GSR Warrants) to GSR on the Closing Date to purchase 1,461,989 shares of Common Stock (the GSR Warrant Shares) at various exercise prices per share of Common Stock as follows: (i) 584,795 shares of Common Stock at an exercise price of $3.42 per share; (ii) 292,398 shares of Common Stock at an exercise price of $3.93 per share; (iii) 292,398 shares of Common Stock at an exercise price of $4.62 per share; and (iv) 292,398 shares of Common Stock at an exercise price of $5.13 per share. The GSR Warrants are exercisable, in whole or in part, at any time for a period of five years from the date of issuance.</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Asset Management Agreement will, unless terminated earlier in accordance with its terms, remain in effect until the tenth anniversary of the date of the Asset Management Agreement. Beginning on the first anniversary of the AMA Effective Date (as defined below), the Asset Management Agreement may be terminated upon at least 90 days prior written notice to the other party (i) by us upon a determination of the Board to end the Lite Treasury Strategy, or (ii) by GSR for any reason. Additionally, the Asset Management Agreement may be terminated for cause (i) by us upon at least 30 days prior written notice to GSR or (ii) by GSR upon at least 60 days prior written notice to us.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September 24, 2025, as payment of the annual Asset-based Fee under the Asset Management Agreement, we issued GSR, fully vested, nonforfeitable Pre-Funded Warrants for the purchase of up to 546,348 shares of our Common Stock with an exercise price of $0.0001 per share. Subject to the limitations on exercise set forth in the warrant agreement, the GSR Pre-Funded Warrants may be exercised at any time until they are exercised in full.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Agreement</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July 22, 2025 (the AMA Effective Date), we also entered into an Advisory Agreement (the Advisory Agreement) with Green Dragon Investments LLC (Green Dragon). Mr. Charlie Lee, who was appointed as a member of our Board and serves in the class of directors who will be up for reelection at our annual meeting of stockholders for fiscal 2027, is a beneficiary of Green Dragon. Pursuant to the Advisory Agreement, Green Dragon provides us with asset management services and we pay Green Dragon a fee in warrants to purchase a number of shares of Common Stock calculated based on the amount of assets under management.</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pay Green Dragon an asset-based fee (the Annual Advisory Fee) in warrants (the GD Advisory Warrants and each a GD Advisory Warrant) to purchase a number of shares of the Common Stock (GD Advisory Warrant Shares) equal to 0.75% per annum of the Account Assets for such year, as calculated in accordance with the Asset Management Agreement. The number of GD Advisory Warrants to be issued for any given year shall be equal to the dollar amount of the Annual Advisory Fee for such year, divided by the average VWAP of the Common Stock for the 30 trading days ending with the trading day prior to the Fee Reference Date. The exercise price per share of the GD Advisory Warrants shall be set at a price equal to $0.0001. The GD Advisory Warrants shall be exercisable, in whole or in part, at any time for a period of five years from the date of issuance. The GD Advisory Warrants issued each year shall vest in four equal installments on the Fee Reference Date on which they are issued and then the succeeding three-month anniversaries thereof. Any portion of the GD Advisory Warrants that are unvested on the date, if any, that the Advisory Agreement terminates shall be deemed surrendered and shall terminate automatically on such date with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0" w:name="page21"/>
    <w:bookmarkEnd w:id="20"/>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Advisory Agreement will, unless terminated earlier in accordance with its terms, remain in effect until the tenth anniversary of the Advisory Agreement. Either party may terminate the Advisory Agreement, with or without reason, by written notice to the other.</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2025, we had not issued the GD Advisory Warrant in settlement of the Annual Advisory Fee for the annual period ended July 21, 2026. The GD Advisory Warrant was issued on October 8, 2025, as more fully discussed in </w:t>
      </w:r>
      <w:r>
        <w:rPr>
          <w:rFonts w:ascii="Times New Roman" w:cs="Times New Roman" w:eastAsia="Times New Roman" w:hAnsi="Times New Roman"/>
          <w:sz w:val="18"/>
          <w:szCs w:val="18"/>
          <w:i w:val="1"/>
          <w:iCs w:val="1"/>
          <w:u w:val="single" w:color="auto"/>
          <w:color w:val="0000FF"/>
        </w:rPr>
        <w:t>Note 15. Subsequent Events</w:t>
      </w:r>
      <w:r>
        <w:rPr>
          <w:rFonts w:ascii="Times New Roman" w:cs="Times New Roman" w:eastAsia="Times New Roman" w:hAnsi="Times New Roman"/>
          <w:sz w:val="18"/>
          <w:szCs w:val="18"/>
          <w:color w:val="auto"/>
        </w:rPr>
        <w:t>. As of September 30, 2025, we have recognized an accrual of $0.1 million related to the Annual Advisory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-175895</wp:posOffset>
            </wp:positionV>
            <wp:extent cx="12693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5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Under the terms of the Advisory Agreement, Mr. Lee has waived any compensation for such Board service, in lieu of his compensation under the Advisory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 Exercise</w:t>
      </w:r>
    </w:p>
    <w:p>
      <w:pPr>
        <w:spacing w:after="0" w:line="1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October 2025, remaining Pre-Funded Warrants issued in the PIPE for the purchase of 1,130,290 shares of Common Stock were cashless</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exercised in exchange for 1,130,242 shares of Common Stock. As of October 13, 2025, no Pre-Funded Warrants issued in the PIPE remained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GD Advisory Warrant</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October 2025, in settlement of the Annual Advisory Fee for the annual period ended July 21, 2026, we issued a GD Advisory Warrant for the purchase of up to 234,149 shares of Common Stock with an exercise price of $0.0001 per share. The Annual Advisory Fee of $0.8 million will be recorded to expense through the one-year anniversary of the Asset Management Agreement, over the requisite service period. We concluded the fair value of services received or to be received by Green Dragon represented the fair value of the warrants issued in settlement of the Annual Advisory Fee.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Buy Back Program</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shifting our Litecoin Treasury Strategy from initial LTC accumulation to active capital market operations, on October 29, 2025, we announced that our Board authorized the Share Repurchase Program. The Share Repurchase Program is effective immediately and provides for shares to be repurchased in the open market or through negotiated transactions. The time of purchases and the exact number of shares to be purchased under the Share Repurchase Program will depend on market conditions, does not include specific price targets or timetables and may be suspended or terminated by us at any time. We intend to finance the purchases using available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“may,” “will,” “intend,” “plan,” “believe,” “anticipate,” “expect,” “estimate,” "predict," "potential," “continue,” "likely," or “opportunity,” the negative of these words or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2025 Annual Report on Form 10-K (2025 Annual Report), as filed with the Securities and Exchange Commission (SEC) on September 26, 2025.</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“Lite Strategy,” “LITS,” “we,” “us” and “our” refer to Lite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Lite Strategy, Inc. (Nasdaq: LITS) is a pharmaceutical company that has historically developed novel and differentiated cancer therapies and is currently assessing pre-clinical development programs in potentially non-oncology disease indications. We also hold Litecoin (LTC) tokens as a primary reserve asset as part of our broader institutional treasury initiative. We </w:t>
      </w:r>
      <w:r>
        <w:rPr>
          <w:rFonts w:ascii="Times New Roman" w:cs="Times New Roman" w:eastAsia="Times New Roman" w:hAnsi="Times New Roman"/>
          <w:sz w:val="18"/>
          <w:szCs w:val="18"/>
          <w:color w:val="231F20"/>
        </w:rPr>
        <w:t>built our pipeline by acquiring promising cancer agents and creating value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development has been to evaluate our drug candidates in combinations with standard-of-care therapies to overcome known resistance mechanisms and address clear medical needs to provide improved patient benefit. Our drug candidate pipeline includes voruciclib, an oral cyclin-dependent kinase 9 (CDK9) inhibitor, zandelisib, an oral, once-daily, selective P3K3 inhibitor a</w:t>
      </w:r>
      <w:r>
        <w:rPr>
          <w:rFonts w:ascii="Times New Roman" w:cs="Times New Roman" w:eastAsia="Times New Roman" w:hAnsi="Times New Roman"/>
          <w:sz w:val="18"/>
          <w:szCs w:val="18"/>
          <w:color w:val="231F20"/>
        </w:rPr>
        <w:t>nd prior to its sale in October 2024 to Aardvark Therapeutics, Inc., ME-344, 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intravenous small molecule mitochondrial inhibitor targeting the oxidative phosphorylation pathway in the mitochondria</w:t>
      </w:r>
      <w:r>
        <w:rPr>
          <w:rFonts w:ascii="Times New Roman" w:cs="Times New Roman" w:eastAsia="Times New Roman" w:hAnsi="Times New Roman"/>
          <w:sz w:val="18"/>
          <w:szCs w:val="18"/>
          <w:color w:val="000000"/>
        </w:rPr>
        <w: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Buy Back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shifting our Litecoin Treasury Strategy (as defined below) from initial LTC accumulation to active capital market operations,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2025, we announced that our Board (as defined below) authorized a program to repurchase shares of our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$0.00000002 per share (the Common Stock), up to an aggregate amount of $25.0 million (the Share Repurchase Program). The Share Repurchase Program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effective immediately and provides for shares to be repurchased in the open market or through negotiated transactions. The time of purchases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exact number of shares to be purchased under the Share Repurchase Program will depend on market conditions, does not include specific price targets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timetables and may be suspended or terminated by us at any time. We intend to finance the purchases using available working capital.</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(the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and align with emerging financial technologies.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Private Equity (PIPE) and Related Agreements</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Closing Date), we closed on a $100.0 million PIPE and issued an aggregate of (i) 23,216,898 shares (the Shares) of our Common Stock, at an offering price of $3.42 per share and (ii) pre-funded warrants (the Pre-Funded Warrants, and together with the Shares, the Securities), to purchase up to an aggregate of 6,022,869 shares of Common Stock, at an offering price of $3.4199 per Pre-Funded Warrant (the Offering).</w:t>
      </w:r>
    </w:p>
    <w:p>
      <w:pPr>
        <w:spacing w:after="0" w:line="176" w:lineRule="exact"/>
        <w:rPr>
          <w:sz w:val="20"/>
          <w:szCs w:val="20"/>
          <w:color w:val="auto"/>
        </w:rPr>
      </w:pPr>
    </w:p>
    <w:p>
      <w:pPr>
        <w:jc w:val="both"/>
        <w:ind w:right="20" w:firstLine="509"/>
        <w:spacing w:after="0" w:line="276" w:lineRule="auto"/>
        <w:rPr>
          <w:sz w:val="20"/>
          <w:szCs w:val="20"/>
          <w:color w:val="auto"/>
        </w:rPr>
      </w:pPr>
      <w:r>
        <w:rPr>
          <w:rFonts w:ascii="Times New Roman" w:cs="Times New Roman" w:eastAsia="Times New Roman" w:hAnsi="Times New Roman"/>
          <w:sz w:val="17"/>
          <w:szCs w:val="17"/>
          <w:color w:val="auto"/>
        </w:rPr>
        <w:t>Also in July 2025, we entered into various agreements with certain advisors to the PIPE, asset managers and custodians who will help us deploy our Litecoin Treasury Strategy, including but not limited to (i) a placement agency agreement, (ii) an asset management agreement, (iii) an advisory agreement,</w:t>
      </w:r>
    </w:p>
    <w:p>
      <w:pPr>
        <w:spacing w:after="0" w:line="1" w:lineRule="exact"/>
        <w:rPr>
          <w:sz w:val="20"/>
          <w:szCs w:val="20"/>
          <w:color w:val="auto"/>
        </w:rPr>
      </w:pPr>
    </w:p>
    <w:p>
      <w:pPr>
        <w:ind w:right="140" w:firstLine="8"/>
        <w:spacing w:after="0" w:line="253" w:lineRule="auto"/>
        <w:tabs>
          <w:tab w:leader="none" w:pos="3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strategic advisor agreement and (v) a new at-the-market sales agreement (the Sales Agreement). As partial or full consideration of services provided associated with the PIPE, we issued warrants for the purchase of up to 3,070,177 shares of Common Stock with a weighted-average exercise price of approximately $4.10 per share. See </w:t>
      </w:r>
      <w:r>
        <w:rPr>
          <w:rFonts w:ascii="Times New Roman" w:cs="Times New Roman" w:eastAsia="Times New Roman" w:hAnsi="Times New Roman"/>
          <w:sz w:val="18"/>
          <w:szCs w:val="18"/>
          <w:i w:val="1"/>
          <w:iCs w:val="1"/>
          <w:u w:val="single" w:color="auto"/>
          <w:color w:val="0000FF"/>
        </w:rPr>
        <w:t>Note 12. Warrants</w:t>
      </w:r>
      <w:r>
        <w:rPr>
          <w:rFonts w:ascii="Times New Roman" w:cs="Times New Roman" w:eastAsia="Times New Roman" w:hAnsi="Times New Roman"/>
          <w:sz w:val="18"/>
          <w:szCs w:val="18"/>
          <w:color w:val="auto"/>
        </w:rPr>
        <w:t xml:space="preserve"> for a summary of the fair value assumptions used to value the Advisory Warrants upon the closing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-167640</wp:posOffset>
            </wp:positionV>
            <wp:extent cx="8470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47090" cy="889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2" w:name="page23"/>
    <w:bookmarkEnd w:id="22"/>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while we continue to conduct certain nonclinical activities related to our drug candidate assets. As part of the review of strategic alternatives, we considered options such as out-licensing opportunities or sale of our existing programs and merger and acquisition opportunities, as well as other potential opportunities.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commencement of our Litecoin Treasury Strategy through our acquisition of LTC tokens, reflecting the full deployment of the net proceeds of the PIPE (as defined below). LTC is an open source, global payment network that is fully decentralized without any central authorities. Mathematics secures the network and empowers individuals to control their own finances. LTC features faster transaction confirmation times and improved storage efficiency than the leading math-based currency. We believe this strategy will allow us to diversify reserves, enhance capital efficiency and align with emerging financial technologies. We are committed to long-term innovation in capital structure and financial technology, along with the initiation of an expanding strategy that could include the commencement of LTC mining activities, as well as continued assessment of pre-clinical activities with our drug candidate pipeline, as to which we anticipate conducting further investigational research and development in the next several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and Uncertainties of Digital Assets</w:t>
      </w:r>
    </w:p>
    <w:p>
      <w:pPr>
        <w:spacing w:after="0" w:line="229" w:lineRule="exact"/>
        <w:rPr>
          <w:sz w:val="20"/>
          <w:szCs w:val="20"/>
          <w:color w:val="auto"/>
        </w:rPr>
      </w:pPr>
    </w:p>
    <w:p>
      <w:pPr>
        <w:ind w:right="80" w:firstLine="554"/>
        <w:spacing w:after="0" w:line="266" w:lineRule="auto"/>
        <w:rPr>
          <w:sz w:val="20"/>
          <w:szCs w:val="20"/>
          <w:color w:val="auto"/>
        </w:rPr>
      </w:pPr>
      <w:r>
        <w:rPr>
          <w:rFonts w:ascii="Times New Roman" w:cs="Times New Roman" w:eastAsia="Times New Roman" w:hAnsi="Times New Roman"/>
          <w:sz w:val="18"/>
          <w:szCs w:val="18"/>
          <w:color w:val="231F20"/>
        </w:rPr>
        <w:t>LTC is subject to a developing regulatory landscape. The Securities and Exchange Commission (the SEC), at least under the prior administration, has stated that certain digital assets may be considered “securities” under the federal securities laws but has been inconsistent in its non-binding statements and informal assurances via no action letters.</w:t>
      </w:r>
    </w:p>
    <w:p>
      <w:pPr>
        <w:spacing w:after="0" w:line="68"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If LTC is determined to be a “security” under federal or state securities laws by the SEC or any other agency, or in a proceeding in a court of law or otherwise, it may have material adverse consequences for LTC. For example, it may become more difficult for LTC to be traded, cleared and custodied as compared to other digital assets that are not considered to be securities, which could, in turn, negatively affect the liquidity and general acceptance of LTC and cause users to migrate to other digital assets. As such, any determination that LTC is a security under federal or state securities laws may adversely affect the value of LTC and, as a result, an investment in us.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if LTC is in fact a security, we could be considered an unregistered “investment company” under the Investment Company Act of 1940, which could necessitate our liquidation. In such case, we may be deemed to have participated in an illegal offering of investment company securities and there is no guarantee that the we will be able to register under the Investment Company Act of 1940 at such time, or take such other actions as may be necessary to ensure our activities comply with applicable law, which could force us to liquidate our LTC holdings.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with any computer network, digital asset networks are vulnerable to various kinds of attacks and disruptions. As LTC operates on a decentralized network, it is highly resistant to hacking attacks. Although LTC may be less susceptible to attack than other cryptocurrencies, transfer of digital assets on blockchains are vulnerable to certain types of exploits.</w:t>
      </w:r>
    </w:p>
    <w:p>
      <w:pPr>
        <w:spacing w:after="0" w:line="68"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Access to our LTC accounts requires private keys to initiate transactions and three separate keys for approval. If any single approval key was lost, destroyed or otherwise compromised, we may be unable to access our LTC holdings until such approval key was replaced. The processes by which LTC transactions are settled are dependent on the LTC peer-to-peer network, and as such, we are subject to operational risk. A risk also exists with respect to previously unknown technical vulnerabilities, which may adversely affect the value of LTC.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Candidate Development Programs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drug candidate pipeline includes voruciclib, an oral CDK9 inhibitor, zandelisib, </w:t>
      </w:r>
      <w:r>
        <w:rPr>
          <w:rFonts w:ascii="Times New Roman" w:cs="Times New Roman" w:eastAsia="Times New Roman" w:hAnsi="Times New Roman"/>
          <w:sz w:val="18"/>
          <w:szCs w:val="18"/>
          <w:color w:val="231F20"/>
        </w:rPr>
        <w:t>an oral, once-daily, selective PI3Kδ inhibitor, and prior to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sale in October 2024 to Aardvark Therapeutics, Inc., ME-344, an intravenous small molecule mitochondrial inhibitor targeting the oxidative phosphorylation pathway in the mitochondria.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Voruciclib, a selective orally administered CDK9 inhibitor completed a Phase 1 trial in September 2024 evaluating dose and schedule in patients with acute myeloid leukemia (AML) in combination with the B-cell lymphoma 2 (BCL-2) inhibitor venetoclax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right="340"/>
        <w:spacing w:after="0" w:line="261" w:lineRule="auto"/>
        <w:rPr>
          <w:sz w:val="20"/>
          <w:szCs w:val="20"/>
          <w:color w:val="auto"/>
        </w:rPr>
      </w:pPr>
      <w:r>
        <w:rPr>
          <w:rFonts w:ascii="Times New Roman" w:cs="Times New Roman" w:eastAsia="Times New Roman" w:hAnsi="Times New Roman"/>
          <w:sz w:val="18"/>
          <w:szCs w:val="18"/>
          <w:color w:val="auto"/>
        </w:rPr>
        <w:t>(marketed as Venclexta®). Previously, voruciclib was also being evaluated in pre-clinical studies to explore potential activity in various solid tumor cancers including in combination with therapies that target the RAS signaling pathway, such as KRAS inhibitors. All clinical trial efforts for voruciclib were ceased as of July 22, 2024. We are currently assessing the pre-clinical development program in potentially non-oncology disease indications and anticipate commencing these investigational research and development activities during fiscal year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CDK9 has important functions in cell cycle regulation, including the modulation of two therapeutic targets in cancer:</w:t>
      </w:r>
    </w:p>
    <w:p>
      <w:pPr>
        <w:spacing w:after="0" w:line="117" w:lineRule="exact"/>
        <w:rPr>
          <w:sz w:val="20"/>
          <w:szCs w:val="20"/>
          <w:color w:val="auto"/>
        </w:rPr>
      </w:pPr>
    </w:p>
    <w:p>
      <w:pPr>
        <w:ind w:left="1020" w:right="220" w:hanging="503"/>
        <w:spacing w:after="0" w:line="266" w:lineRule="auto"/>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67"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Directly inhibiting MCL1 and MYC has historically been difficult, but CDK9 is a promising approach to indirectly target these oncogenes.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w:t>
      </w:r>
      <w:r>
        <w:rPr>
          <w:rFonts w:ascii="Times New Roman" w:cs="Times New Roman" w:eastAsia="Times New Roman" w:hAnsi="Times New Roman"/>
          <w:sz w:val="18"/>
          <w:szCs w:val="18"/>
          <w:color w:val="000000"/>
        </w:rPr>
        <w:t>and is associated with poor prognosis in these patients. Also important, high levels of MCL1 expression are associated with resistance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venetoclax.</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Subsequently and consistent with the reported pre-clinical studies, data from a prior Phase 1 study evaluating voruciclib as a single agent and in combination with venetoclax in patients with relapsed or refractory (R/R) AML have also demonstrated the anticipated decreases in Mcl-1 protein.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The research suggests that voruciclib is potentially an attractive therapeutic agent for treating cancers in combination with venetoclax or other BCL-2 inhibitors, to address potential resistance associated with MCL1 and is supportive of our clinical evaluation of voruciclib in AML.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research presented suggests that voruciclib could be an attractive therapeutic agent for both hematological cancers, as well as solid tumors, dependent on the activity of MYC.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i w:val="1"/>
          <w:iCs w:val="1"/>
          <w:color w:val="231F20"/>
        </w:rPr>
        <w:t>Terminated Clinical Programs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 Phase 1 clinical trial, we evaluated the dose and schedule of voruciclib in combination with venetoclax, a BCL-2 inhibitor, in patients with R/R AML. The trial started with the evaluation of dose and schedule of voruciclib as a monotherapy in patients with relapsed and refractory B-cell malignancies and AML after failure of prior standard therapies to determine the safety, preliminary efficacy and maximum tolerated dose.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 (range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 Ser2 (RNA Pol II p-S2) demonstrated reduction in expression consistent with the anticipated on-target pharmacodynamic effect of voruciclib on Mcl-1 and RNA Pol II p-S2.</w:t>
      </w:r>
    </w:p>
    <w:p>
      <w:pPr>
        <w:spacing w:after="0" w:line="81" w:lineRule="exact"/>
        <w:rPr>
          <w:sz w:val="20"/>
          <w:szCs w:val="20"/>
          <w:color w:val="auto"/>
        </w:rPr>
      </w:pPr>
    </w:p>
    <w:p>
      <w:pPr>
        <w:jc w:val="both"/>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 total of 41 patients with R/R AML, median age 67 years (range 34-89), enrolled in this dose escalation stage of the study evaluating voruciclib in combination with venetoclax. These patients were generally heavily pre-treated; the median number of prior therapies was 2 (range 1-7) and 18 (44%) patients had ≥3 prior lines. Almost all patients (39/41) were treated with venetoclax in an earlier line of therapy. Additionally, 30 (73%) patients were noted as being in an adverse 2017 ELN Risk Category due to adverse cytogenetics and molecular mutations.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Of the 32 patients administered voruciclib at doses ≥ 100 mg in combination with venetoclax 10 (31%) achieved disease control. Three patients achieved a response, including two patients that achieved a complete response with incomplete hematologic recovery (CRi) and one patient that achieved a morphologic leukemia-free state (MLFS), in each case having received venetoclax in an earlier line of treatment. Responses lasted 6 months in one patient, 9 months and ongoing in the second patient and the third patient was referred to stem cell transplant. Further, an additional 7 patients had stable disease which lasted more than 90 days and 13 had stable disease &lt; 3 months.</w:t>
      </w:r>
    </w:p>
    <w:p>
      <w:pPr>
        <w:spacing w:after="0" w:line="75" w:lineRule="exact"/>
        <w:rPr>
          <w:sz w:val="20"/>
          <w:szCs w:val="20"/>
          <w:color w:val="auto"/>
        </w:rPr>
      </w:pPr>
    </w:p>
    <w:p>
      <w:pPr>
        <w:ind w:right="360" w:firstLine="554"/>
        <w:spacing w:after="0" w:line="258" w:lineRule="auto"/>
        <w:rPr>
          <w:sz w:val="20"/>
          <w:szCs w:val="20"/>
          <w:color w:val="auto"/>
        </w:rPr>
      </w:pPr>
      <w:r>
        <w:rPr>
          <w:rFonts w:ascii="Times New Roman" w:cs="Times New Roman" w:eastAsia="Times New Roman" w:hAnsi="Times New Roman"/>
          <w:sz w:val="18"/>
          <w:szCs w:val="18"/>
          <w:color w:val="auto"/>
        </w:rPr>
        <w:t>In the 28 patients administered voruciclib in combination with venetoclax and with blood samples available for analysis, initial results from correlative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 Additional evidence of anti-leukemic activity was also demonstrated including decreases in bone marrow blast counts post voruciclib/venetoclax administration versus pre drug administration in ~50% (11/21) of evaluable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Voruciclib at doses up to 300 mg administered on 14 consecutive days in a 28-day cycle in combination with standard dose venetoclax was well tolerated with no dose limiting toxicities observed. The maximum tolerated dose of voruciclib administered on this schedule with venetoclax has not been established. There were no discontinuations due to drug-related adverse events and no evidence of overlapping toxicity has been observed to date.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5" w:lineRule="exact"/>
        <w:rPr>
          <w:sz w:val="20"/>
          <w:szCs w:val="20"/>
          <w:color w:val="auto"/>
        </w:rPr>
      </w:pPr>
    </w:p>
    <w:p>
      <w:pPr>
        <w:jc w:val="both"/>
        <w:ind w:right="460" w:firstLine="599"/>
        <w:spacing w:after="0" w:line="266" w:lineRule="auto"/>
        <w:rPr>
          <w:sz w:val="20"/>
          <w:szCs w:val="20"/>
          <w:color w:val="auto"/>
        </w:rPr>
      </w:pPr>
      <w:r>
        <w:rPr>
          <w:rFonts w:ascii="Times New Roman" w:cs="Times New Roman" w:eastAsia="Times New Roman" w:hAnsi="Times New Roman"/>
          <w:sz w:val="18"/>
          <w:szCs w:val="18"/>
          <w:color w:val="231F20"/>
        </w:rPr>
        <w:t xml:space="preserve">Before ending the study, three patients were administered 150 mg voruciclib over 21 </w:t>
      </w:r>
      <w:r>
        <w:rPr>
          <w:rFonts w:ascii="Times New Roman" w:cs="Times New Roman" w:eastAsia="Times New Roman" w:hAnsi="Times New Roman"/>
          <w:sz w:val="18"/>
          <w:szCs w:val="18"/>
          <w:color w:val="000000"/>
        </w:rPr>
        <w:t>consecutive days in a 28-day cycle</w:t>
      </w:r>
      <w:r>
        <w:rPr>
          <w:rFonts w:ascii="Times New Roman" w:cs="Times New Roman" w:eastAsia="Times New Roman" w:hAnsi="Times New Roman"/>
          <w:sz w:val="18"/>
          <w:szCs w:val="18"/>
          <w:color w:val="231F20"/>
        </w:rPr>
        <w:t xml:space="preserve"> in combination with venetoclax to increase dose intensity and potentially optimize patient response based upon the rebound of peripheral blast counts in 44% (8/18) of the patients between Day 14 and Day 28 when voruciclib was stopped while continuing venetoclax.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25" w:name="page26"/>
    <w:bookmarkEnd w:id="25"/>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Kyowa Kirin Co., Ltd (KKC) under a global license, development and commercialization agreement entered into in April 2020 (the KKC Commercialization Agreement) that was later terminated in 2023 (as further discussed below). Currently, there are no clinical trial efforts for zandelisib. We are currently assessing the pre-clinical development program for zandelisib and whether to initiate further investigational research and development activities.</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In March 2022, we and KKC reported the outcome of an end of Phase 2 meeting with the U.S. Food and Drug Administration (FDA) wherein the agency discouraged a filing based on data from a single-arm Phase 2 TIDAL trial. At this meeting, the FDA stated that data generated from single arm studies such as the Phase 2 TIDAL trial are insufficient to adequately assess the risk/benefit of PI3Kδ inhibitors evaluating indolent non-Hodgkin lymphoma. Additionally, the FDA emphasized that we continue efforts with the randomized Phase 3 COASTAL trial evaluating patients with relapsed or refractory follicular or marginal zone lymphomas. Subsequently, at an April 2022 meeting of the FDA Oncology Drugs Advisory Committee, the committee voted that future approvals of PI3Kδ inhibitors for hematologic malignancies should be supported by randomized data.</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In November 2022, we and KKC met with the FDA in a follow-up meeting to the March 2022 end of Phase 2 meeting. At this meeting, the FDA provided further guidance regarding the design and statistical analysis for the Phase 3 COASTAL trial. Following the November meeting, the companies jointly concluded that a clinical trial consistent with the recent FDA guidance, including modification of the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After making the joint decision to terminate development outside of Japan, we and KKC began closing all zandelisib clinical studies outside of Japan, including the Phase 3 COASTAL trial, the Phase 2 TIDAL trial and the Phase 2 CORAL trial. 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that had been generated.</w:t>
      </w:r>
    </w:p>
    <w:p>
      <w:pPr>
        <w:spacing w:after="0" w:line="8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231F20"/>
        </w:rPr>
        <w:t>On July 14, 2023, we entered into a termination agreement with KKC to terminate all agreements between the parties and cease further zandelisib clinical development globally. Activities associated with the compassionate use supply and wind down of the KKC Commercialization Agreement were completed in fiscal year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(2,091)</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1"/>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research and development expenses to supplement the more detailed discussion below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5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209"/>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zandelisib</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2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2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decreased by $3.2 million for the three months ended September 30, 2025 compared to the three months ended September 30, 2024. This decrease was a result of our announcement in July 2024 to explore strategic alternatives, at which time all clinical studies were ceased and we initiated reductions in our workforce.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$2.1 million to $3.1 million for the three months ended September 30, 2025 compared to $5.2 million for the three months ended September 30, 2024. The decrease was primarily due to $2.4 million less in personnel costs, including $1.7 million in termination benefits and a $0.6 million decrease in corporate overhead costs. These decreases were partially offset by $0.5 million in asset management and advisory fees incurred in connection with our digital assets treasury strategy deployed in the first quarter of fiscal year 2026, with no such similar activity during the comparable prior year period and a $0.3 million increase in non-cash share-based compensation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digital assets.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digital assets reflects the remeasurement of our LTC investments to their fair value thereby reflecting unrealized losses on our LTC investments during the three months ended September 30, 2025. We had no such investments in the comparable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decreased by $0.2 million to $0.1 million for the three months ended September 30, 2025 compared to $0.3 million for the three months ended September 30, 2024, primarily associated with lower interest and dividend income during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$407.8 million since inception and expect to incur operating losses and generate negative cash flows from operations for the foreseeable future. As of September 30, 2025, we had $10.1 million in cash and cash equivalents and $99.4 million in digital assets. Although we intend to retain and hold our digital assets, we could liquidate these assets, or a portion thereof, if needed to fund our operating activities. In connection with our July 2024 announcement regarding the evaluation of our strategic alternatives, we discontinued the clinical development of voruciclib, while certain nonclinical research and development activities continued through the end of fiscal year 2025. As part of our continued assessment of future pre-clinical development with our drug candidate pipeline, we anticipate conducting additional investigational research and development activities during fiscal year 2026. We believe that our cash balance, including our digital assets, will be sufficient to meet our obligations and fund operations for at least the next 12 months from the issuance of these interim condensed consolidated financial statements.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September 30, 2025 of $4.5 million consisted of our net loss of $3.6 million and $2.1 million in changes in our operating assets and liabilities used in operations, partially offset by $1.2 million for noncash items. Net cash used in operating activities for the three months ended September 30, 2024 of $11.5 million consisted of our net loss of $8.0 million and $3.9 million in our operating assets and liabilities used in operations, partially offset by $0.5 million in noncash items.</w:t>
      </w:r>
    </w:p>
    <w:p>
      <w:pPr>
        <w:spacing w:after="0" w:line="7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September 30, 2025 of $100.0 million consisted of our acquisition of digital assets upon deployment of our Litecoin Treasury Strategy in August 2025. Net cash provided by financing activities for the three months ended September 30, 2024 of $14.7 million consisted of maturities of our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September 30, 2025 was $96.6 million associated with the issuance and sale of 23,216,898 shares of Common Stock and Pre-Funded Warrants for the purchase of up to 6,022,869 shares of Common Stock in our PIPE and the issuance and sale of 882,924 shares of Common Stock under our ATM Program. We had no financing activities during the three months ended September 30, 2024.</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20" w:hanging="503"/>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9.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8. Commitments 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to our interim condensed consolidated financial statements and related notes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included elsewhere in this Quarterly Report;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-871220</wp:posOffset>
            </wp:positionV>
            <wp:extent cx="7359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-734060</wp:posOffset>
            </wp:positionV>
            <wp:extent cx="26301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nature of our Litecoin Treasury Strategy,</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the notes to the financial statements included in our 2025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w:t>
      </w:r>
      <w:r>
        <w:rPr>
          <w:rFonts w:ascii="Times New Roman" w:cs="Times New Roman" w:eastAsia="Times New Roman" w:hAnsi="Times New Roman"/>
          <w:sz w:val="18"/>
          <w:szCs w:val="18"/>
          <w:color w:val="auto"/>
        </w:rPr>
        <w:t>in our 2025 Annual Report. Except as disclosed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 relates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FF"/>
        </w:rPr>
        <w:t>Assets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Warrants</w:t>
      </w:r>
      <w:r>
        <w:rPr>
          <w:rFonts w:ascii="Times New Roman" w:cs="Times New Roman" w:eastAsia="Times New Roman" w:hAnsi="Times New Roman"/>
          <w:sz w:val="18"/>
          <w:szCs w:val="18"/>
          <w:color w:val="000000"/>
        </w:rPr>
        <w:t>, and the addition of our critical accounting estimate as it relates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Valuation of Equity Instruments Issued for Exchange for Services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(described below), there have been no changes in our significant accounting policies or critical accounting estimates since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-307340</wp:posOffset>
            </wp:positionV>
            <wp:extent cx="34461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9391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165" cy="8255"/>
                    </a:xfrm>
                    <a:prstGeom prst="rect">
                      <a:avLst/>
                    </a:prstGeom>
                    <a:noFill/>
                  </pic:spPr>
                </pic:pic>
              </a:graphicData>
            </a:graphic>
          </wp:anchor>
        </w:drawing>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Equity Instruments Issued for Exchange for Services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Equity instruments issued in exchange for services rendered or to be rendered to us are accounted for in accordance with ASC 718,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Such instruments are evaluated to determine if they should be classified as liability or equity awards. For these awards, we estimate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services rendered/to be rendered (i.e., the compensation cost to be recognized) based upon either (i) the grant date fair value of the equity instruments issued as determined using an option pricing model such as the BSM Model or (ii) the fair value of the liabilities incurred/settled. For the Advisory Warrants issued in the PIPE, we estimated the grant date fair value using the valuation inputs as of the grant date. For the GSR Pre-Funded Warrant and the GD Advisory Warrant issued in settlement of the Asset-based Fee and the Annual Advisory Fee, respectively, we determined the grant date fair value represented the amount of the liabilities settled. For services rendered at the time of issuance, we recognize the expense immediately in our interim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ind w:right="40"/>
        <w:spacing w:after="0" w:line="282" w:lineRule="auto"/>
        <w:rPr>
          <w:sz w:val="20"/>
          <w:szCs w:val="20"/>
          <w:color w:val="auto"/>
        </w:rPr>
      </w:pPr>
      <w:r>
        <w:rPr>
          <w:rFonts w:ascii="Times New Roman" w:cs="Times New Roman" w:eastAsia="Times New Roman" w:hAnsi="Times New Roman"/>
          <w:sz w:val="18"/>
          <w:szCs w:val="18"/>
          <w:color w:val="auto"/>
        </w:rPr>
        <w:t>condensed consolidated financial statements. For services not yet rendered, we recognize an asset and amortize the fair value of the services being rendered over the requisite service period.</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the historical volatility utilized to estimate the grant date fair value of the Advisory Warrants would have resulted in an increase (decrease) of $0.7 million ($0.8 million) in the grant date fair value of the Advisory Warrants.</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10% increase (decrease) in our assets under management as of the Fee Reference Date would have resulted in a $0.2 million increase (decrease) in the fair value of the liabilities settled through issuance of the GSR Pre-Funded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5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Recent Accounting Pronouncements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u w:val="single" w:color="auto"/>
          <w:color w:val="0000FF"/>
        </w:rPr>
        <w:t>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Financial Statements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-186055</wp:posOffset>
            </wp:positionV>
            <wp:extent cx="63049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983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we are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Quarterly Report, or September 30, 2025, our management, with the participation of our principal executive officer and principal financial officer, has evaluated the effectiveness of our disclosure controls and procedures as defined in Rules 13a-15(e) and 15d-15(e) under the Exchange Act.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 we carried out an evaluation of any potential changes in our internal control over financial reporting during the fiscal quarter ended September 30, 2025. Other than the additional controls over treasury transfer activities of our digital assets, 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that occurred during the fiscal quarter ended September 30, 2025 that has materially affected, or is reasonably likely to materially affect, our internal control over financial reporting.</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2025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have adopted, modified or terminated any contract, instruction, or written plan for the purchase or sale of our securities that was intended to satisfy the affirmative defense conditions of Rule 10b5-1 (c) or any "non-Rule 10b5-1 trading arrangement" (as defined in Item 408(c) of Regulation S-K) during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26"/>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gridSpan w:val="26"/>
            <w:vMerge w:val="continue"/>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120" w:type="dxa"/>
            <w:vAlign w:val="bottom"/>
          </w:tcPr>
          <w:p>
            <w:pPr>
              <w:spacing w:after="0"/>
              <w:rPr>
                <w:sz w:val="16"/>
                <w:szCs w:val="16"/>
                <w:color w:val="auto"/>
              </w:rPr>
            </w:pPr>
          </w:p>
        </w:tc>
        <w:tc>
          <w:tcPr>
            <w:tcW w:w="1280" w:type="dxa"/>
            <w:vAlign w:val="bottom"/>
            <w:gridSpan w:val="3"/>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28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Amended and Restated Certificate of Incorporation of Lite</w:t>
              </w:r>
            </w:hyperlink>
          </w:p>
        </w:tc>
        <w:tc>
          <w:tcPr>
            <w:tcW w:w="1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000-50484</w:t>
            </w:r>
          </w:p>
        </w:tc>
        <w:tc>
          <w:tcPr>
            <w:tcW w:w="1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September 26,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Strategy, Inc.</w:t>
              </w:r>
            </w:hyperlink>
          </w:p>
        </w:tc>
        <w:tc>
          <w:tcPr>
            <w:tcW w:w="3460" w:type="dxa"/>
            <w:vAlign w:val="bottom"/>
            <w:gridSpan w:val="29"/>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2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Sixth Amended and Restated Bylaws of Lite Strategy, Inc.</w:t>
              </w:r>
            </w:hyperlink>
          </w:p>
        </w:tc>
        <w:tc>
          <w:tcPr>
            <w:tcW w:w="200" w:type="dxa"/>
            <w:vAlign w:val="bottom"/>
            <w:gridSpan w:val="4"/>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22,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32"/>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adopted as of December 18, 2023</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242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Pre-Funded Warrant</w:t>
              </w:r>
            </w:hyperlink>
          </w:p>
        </w:tc>
        <w:tc>
          <w:tcPr>
            <w:tcW w:w="2060" w:type="dxa"/>
            <w:vAlign w:val="bottom"/>
            <w:gridSpan w:val="21"/>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4480" w:type="dxa"/>
            <w:vAlign w:val="bottom"/>
            <w:gridSpan w:val="32"/>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Placement Agent Warrant</w:t>
              </w:r>
            </w:hyperlink>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25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Form of GSR Pre-Funded Warrant</w:t>
              </w:r>
            </w:hyperlink>
          </w:p>
        </w:tc>
        <w:tc>
          <w:tcPr>
            <w:tcW w:w="1960" w:type="dxa"/>
            <w:vAlign w:val="bottom"/>
            <w:gridSpan w:val="20"/>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Form of GSR Warrant</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26"/>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Form of Advisory Warrant</w:t>
              </w:r>
            </w:hyperlink>
          </w:p>
        </w:tc>
        <w:tc>
          <w:tcPr>
            <w:tcW w:w="2540" w:type="dxa"/>
            <w:vAlign w:val="bottom"/>
            <w:gridSpan w:val="25"/>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25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Strategic Advisor Warrant</w:t>
              </w:r>
            </w:hyperlink>
          </w:p>
        </w:tc>
        <w:tc>
          <w:tcPr>
            <w:tcW w:w="20" w:type="dxa"/>
            <w:vAlign w:val="bottom"/>
            <w:tcBorders>
              <w:bottom w:val="single" w:sz="8" w:color="0000EE"/>
            </w:tcBorders>
          </w:tcPr>
          <w:p>
            <w:pPr>
              <w:spacing w:after="0"/>
              <w:rPr>
                <w:sz w:val="17"/>
                <w:szCs w:val="17"/>
                <w:color w:val="auto"/>
              </w:rPr>
            </w:pPr>
          </w:p>
        </w:tc>
        <w:tc>
          <w:tcPr>
            <w:tcW w:w="1920" w:type="dxa"/>
            <w:vAlign w:val="bottom"/>
            <w:gridSpan w:val="18"/>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1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Securities Purchase Agreement, dated as of July</w:t>
              </w:r>
            </w:hyperlink>
          </w:p>
        </w:tc>
        <w:tc>
          <w:tcPr>
            <w:tcW w:w="340" w:type="dxa"/>
            <w:vAlign w:val="bottom"/>
            <w:gridSpan w:val="8"/>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17, 2025, by and between Lite Strategy, Inc and each</w:t>
              </w:r>
            </w:hyperlink>
          </w:p>
        </w:tc>
        <w:tc>
          <w:tcPr>
            <w:tcW w:w="580" w:type="dxa"/>
            <w:vAlign w:val="bottom"/>
            <w:gridSpan w:val="11"/>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Purchaser (as defined therein)</w:t>
              </w:r>
            </w:hyperlink>
          </w:p>
        </w:tc>
        <w:tc>
          <w:tcPr>
            <w:tcW w:w="20" w:type="dxa"/>
            <w:vAlign w:val="bottom"/>
            <w:tcBorders>
              <w:bottom w:val="single" w:sz="8" w:color="0000EE"/>
            </w:tcBorders>
          </w:tcPr>
          <w:p>
            <w:pPr>
              <w:spacing w:after="0"/>
              <w:rPr>
                <w:sz w:val="17"/>
                <w:szCs w:val="17"/>
                <w:color w:val="auto"/>
              </w:rPr>
            </w:pPr>
          </w:p>
        </w:tc>
        <w:tc>
          <w:tcPr>
            <w:tcW w:w="2300" w:type="dxa"/>
            <w:vAlign w:val="bottom"/>
            <w:gridSpan w:val="2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42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Placement Agency Agreement dated July 22, 2025, by and</w:t>
              </w:r>
            </w:hyperlink>
          </w:p>
        </w:tc>
        <w:tc>
          <w:tcPr>
            <w:tcW w:w="200" w:type="dxa"/>
            <w:vAlign w:val="bottom"/>
            <w:gridSpan w:val="4"/>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between Lite Strategy, Inc. and Titan Partners Group LLC,</w:t>
              </w:r>
            </w:hyperlink>
          </w:p>
        </w:tc>
        <w:tc>
          <w:tcPr>
            <w:tcW w:w="180" w:type="dxa"/>
            <w:vAlign w:val="bottom"/>
            <w:gridSpan w:val="3"/>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32"/>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 division of American Capital Partners, LLC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8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Registration Rights Agreement, dated July 17,</w:t>
              </w:r>
            </w:hyperlink>
          </w:p>
        </w:tc>
        <w:tc>
          <w:tcPr>
            <w:tcW w:w="480" w:type="dxa"/>
            <w:vAlign w:val="bottom"/>
            <w:gridSpan w:val="10"/>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2025, by and between Lite Strategy and each Purchaser (as</w:t>
              </w:r>
            </w:hyperlink>
          </w:p>
        </w:tc>
        <w:tc>
          <w:tcPr>
            <w:tcW w:w="180" w:type="dxa"/>
            <w:vAlign w:val="bottom"/>
            <w:gridSpan w:val="3"/>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defined therein)</w:t>
              </w:r>
            </w:hyperlink>
          </w:p>
        </w:tc>
        <w:tc>
          <w:tcPr>
            <w:tcW w:w="3280" w:type="dxa"/>
            <w:vAlign w:val="bottom"/>
            <w:gridSpan w:val="28"/>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43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Asset Management Agreement, dated July 22, 2025, by and</w:t>
              </w:r>
            </w:hyperlink>
          </w:p>
        </w:tc>
        <w:tc>
          <w:tcPr>
            <w:tcW w:w="140" w:type="dxa"/>
            <w:vAlign w:val="bottom"/>
            <w:gridSpan w:val="2"/>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32"/>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between Lite Strategy, Inc. and GSR Strategies LLC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Side Letter Agreement, dated July 22, 2025, by and</w:t>
              </w:r>
            </w:hyperlink>
          </w:p>
        </w:tc>
        <w:tc>
          <w:tcPr>
            <w:tcW w:w="700" w:type="dxa"/>
            <w:vAlign w:val="bottom"/>
            <w:gridSpan w:val="12"/>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3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between Lite Strategy, Inc. and GSR Strategies LLC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42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Advisory Agreement, dated July 22, 2025, by and between</w:t>
              </w:r>
            </w:hyperlink>
          </w:p>
        </w:tc>
        <w:tc>
          <w:tcPr>
            <w:tcW w:w="200" w:type="dxa"/>
            <w:vAlign w:val="bottom"/>
            <w:gridSpan w:val="4"/>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3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Lite Strategy Inc and Green Dragon Investments LLC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1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42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Strategic Advisory Agreement, dated as of July 22, 2025,</w:t>
              </w:r>
            </w:hyperlink>
          </w:p>
        </w:tc>
        <w:tc>
          <w:tcPr>
            <w:tcW w:w="280" w:type="dxa"/>
            <w:vAlign w:val="bottom"/>
            <w:gridSpan w:val="6"/>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by and between Lite Strategy, Inc. and Green Grass</w:t>
              </w:r>
            </w:hyperlink>
          </w:p>
        </w:tc>
        <w:tc>
          <w:tcPr>
            <w:tcW w:w="700" w:type="dxa"/>
            <w:vAlign w:val="bottom"/>
            <w:gridSpan w:val="1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Ventures</w:t>
              </w:r>
            </w:hyperlink>
          </w:p>
        </w:tc>
        <w:tc>
          <w:tcPr>
            <w:tcW w:w="20" w:type="dxa"/>
            <w:vAlign w:val="bottom"/>
            <w:tcBorders>
              <w:bottom w:val="single" w:sz="8" w:color="0000EE"/>
            </w:tcBorders>
          </w:tcPr>
          <w:p>
            <w:pPr>
              <w:spacing w:after="0"/>
              <w:rPr>
                <w:sz w:val="17"/>
                <w:szCs w:val="17"/>
                <w:color w:val="auto"/>
              </w:rPr>
            </w:pPr>
          </w:p>
        </w:tc>
        <w:tc>
          <w:tcPr>
            <w:tcW w:w="3800" w:type="dxa"/>
            <w:vAlign w:val="bottom"/>
            <w:gridSpan w:val="30"/>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42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Master Loan Agreement, dated September 3, 2025, by and</w:t>
              </w:r>
            </w:hyperlink>
          </w:p>
        </w:tc>
        <w:tc>
          <w:tcPr>
            <w:tcW w:w="220" w:type="dxa"/>
            <w:vAlign w:val="bottom"/>
            <w:gridSpan w:val="5"/>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September 4, 2025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gridSpan w:val="3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between Lite Strategy, Inc. and BitGo Prime</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42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580" w:type="dxa"/>
            <w:vAlign w:val="bottom"/>
            <w:gridSpan w:val="11"/>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1020" w:type="dxa"/>
            <w:vAlign w:val="bottom"/>
            <w:gridSpan w:val="13"/>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418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0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28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460" w:type="dxa"/>
            <w:vAlign w:val="bottom"/>
            <w:gridSpan w:val="9"/>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780" w:type="dxa"/>
            <w:vAlign w:val="bottom"/>
            <w:gridSpan w:val="1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44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5"/>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1" w:name="page32"/>
    <w:bookmarkEnd w:id="31"/>
    <w:tbl>
      <w:tblPr>
        <w:tblLayout w:type="fixed"/>
        <w:tblInd w:w="192" w:type="dxa"/>
        <w:tblCellMar>
          <w:top w:w="0" w:type="dxa"/>
          <w:left w:w="0" w:type="dxa"/>
          <w:bottom w:w="0" w:type="dxa"/>
          <w:right w:w="0" w:type="dxa"/>
        </w:tblCellMar>
      </w:tblPr>
      <w:tr>
        <w:trPr>
          <w:trHeight w:val="238"/>
        </w:trPr>
        <w:tc>
          <w:tcPr>
            <w:tcW w:w="1660" w:type="dxa"/>
            <w:vAlign w:val="bottom"/>
            <w:vMerge w:val="restart"/>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6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 Herein</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66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500" w:type="dxa"/>
            <w:vAlign w:val="bottom"/>
          </w:tcPr>
          <w:p>
            <w:pPr>
              <w:ind w:left="500"/>
              <w:spacing w:after="0" w:line="188"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54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6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7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32" w:right="5780" w:hanging="1132"/>
        <w:spacing w:after="0" w:line="259" w:lineRule="auto"/>
        <w:tabs>
          <w:tab w:leader="none" w:pos="11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398" w:lineRule="exact"/>
        <w:rPr>
          <w:sz w:val="20"/>
          <w:szCs w:val="20"/>
          <w:color w:val="auto"/>
        </w:rPr>
      </w:pPr>
    </w:p>
    <w:p>
      <w:pPr>
        <w:ind w:left="1132" w:hanging="1132"/>
        <w:spacing w:after="0"/>
        <w:tabs>
          <w:tab w:leader="none" w:pos="11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32" w:hanging="1132"/>
        <w:spacing w:after="0"/>
        <w:tabs>
          <w:tab w:leader="none" w:pos="11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1158875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2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Lite Strategy,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Justin J. File</w:t>
            </w:r>
          </w:p>
        </w:tc>
      </w:tr>
      <w:tr>
        <w:trPr>
          <w:trHeight w:val="191"/>
        </w:trPr>
        <w:tc>
          <w:tcPr>
            <w:tcW w:w="60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Justin J. File</w:t>
            </w:r>
          </w:p>
        </w:tc>
        <w:tc>
          <w:tcPr>
            <w:tcW w:w="2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Chief Executive Officer,</w:t>
            </w:r>
          </w:p>
        </w:tc>
      </w:tr>
      <w:tr>
        <w:trPr>
          <w:trHeight w:val="216"/>
        </w:trPr>
        <w:tc>
          <w:tcPr>
            <w:tcW w:w="60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600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r>
        <w:trPr>
          <w:trHeight w:val="1222"/>
        </w:trPr>
        <w:tc>
          <w:tcPr>
            <w:tcW w:w="60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Acting Chief Executive Officer and Chief Financial Officer of Lite Strategy, Inc. (Lite Strategy) that, to his knowledge, this Quarterly Report on Form 10-Q of Lite Strategy for the quarter ended September 30, 2025, fully complies with the requirements of Section 13(a) or Section 15(d) of the Securities Exchange Act of 1934, as amended, and that the information contained in such report fairly presents, in all material respects, the financial condition and results of operations of Lite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wp:posOffset>
            </wp:positionV>
            <wp:extent cx="33432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 Secretary</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p>
      <w:pPr>
        <w:spacing w:after="0" w:line="23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Lite Strategy under the Securities Act of 1933, as amended, or the Securities Exchange Act of 1934, as amended, except to the extent Lite Strategy specifically incorporates it by reference.</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Lite Strategy and will be retained by Lite Strategy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Roman"/>
      <w:start w:val="4"/>
    </w:lvl>
  </w:abstractNum>
  <w:abstractNum w:abstractNumId="4">
    <w:nsid w:val="140E0F76"/>
    <w:multiLevelType w:val="hybridMultilevel"/>
    <w:lvl w:ilvl="0">
      <w:lvlJc w:val="left"/>
      <w:lvlText w:val="(%1)"/>
      <w:numFmt w:val="lowerRoman"/>
      <w:start w:val="2"/>
    </w:lvl>
  </w:abstractNum>
  <w:abstractNum w:abstractNumId="5">
    <w:nsid w:val="3352255A"/>
    <w:multiLevelType w:val="hybridMultilevel"/>
    <w:lvl w:ilvl="0">
      <w:lvlJc w:val="left"/>
      <w:lvlText w:val="%1"/>
      <w:numFmt w:val="decimal"/>
      <w:start w:val="1"/>
    </w:lvl>
    <w:lvl w:ilvl="1">
      <w:lvlJc w:val="left"/>
      <w:lvlText w:val="(%2)"/>
      <w:numFmt w:val="decimal"/>
      <w:start w:val="1"/>
    </w:lvl>
  </w:abstractNum>
  <w:abstractNum w:abstractNumId="6">
    <w:nsid w:val="109CF92E"/>
    <w:multiLevelType w:val="hybridMultilevel"/>
    <w:lvl w:ilvl="0">
      <w:lvlJc w:val="left"/>
      <w:lvlText w:val="%1."/>
      <w:numFmt w:val="decimal"/>
      <w:start w:val="4"/>
    </w:lvl>
    <w:lvl w:ilvl="1">
      <w:lvlJc w:val="left"/>
      <w:lvlText w:val="%2"/>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lvl w:ilvl="1">
      <w:lvlJc w:val="left"/>
      <w:lvlText w:val="(%2)"/>
      <w:numFmt w:val="decimal"/>
      <w:start w:val="1"/>
    </w:lvl>
  </w:abstractNum>
  <w:abstractNum w:abstractNumId="10">
    <w:nsid w:val="41A7C4C9"/>
    <w:multiLevelType w:val="hybridMultilevel"/>
    <w:lvl w:ilvl="0">
      <w:lvlJc w:val="left"/>
      <w:lvlText w:val="%1."/>
      <w:numFmt w:val="decimal"/>
      <w:start w:val="14"/>
    </w:lvl>
    <w:lvl w:ilvl="1">
      <w:lvlJc w:val="left"/>
      <w:lvlText w:val="%2"/>
      <w:numFmt w:val="decimal"/>
      <w:start w:val="1"/>
    </w:lvl>
  </w:abstractNum>
  <w:abstractNum w:abstractNumId="11">
    <w:nsid w:val="6B68079A"/>
    <w:multiLevelType w:val="hybridMultilevel"/>
    <w:lvl w:ilvl="0">
      <w:lvlJc w:val="left"/>
      <w:lvlText w:val="(%1)"/>
      <w:numFmt w:val="lowerRoman"/>
      <w:start w:val="4"/>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60" Type="http://schemas.openxmlformats.org/officeDocument/2006/relationships/hyperlink" Target="https://www.sec.gov/Archives/edgar/data/1262104/000119312525220421/lits-ex3_1.htm" TargetMode="External"/><Relationship Id="rId161" Type="http://schemas.openxmlformats.org/officeDocument/2006/relationships/hyperlink" Target="https://www.sec.gov/Archives/edgar/data/1262104/000095017023072612/meip-ex3_1.htm" TargetMode="External"/><Relationship Id="rId162" Type="http://schemas.openxmlformats.org/officeDocument/2006/relationships/hyperlink" Target="https://www.sec.gov/Archives/edgar/data/1262104/000114036125026773/ef20052363_ex4-1.htm" TargetMode="External"/><Relationship Id="rId163" Type="http://schemas.openxmlformats.org/officeDocument/2006/relationships/hyperlink" Target="https://www.sec.gov/Archives/edgar/data/1262104/000114036125026773/ef20052363_ex4-2.htm" TargetMode="External"/><Relationship Id="rId164" Type="http://schemas.openxmlformats.org/officeDocument/2006/relationships/hyperlink" Target="https://www.sec.gov/Archives/edgar/data/1262104/000114036125026773/ef20052363_ex4-3.htm" TargetMode="External"/><Relationship Id="rId165" Type="http://schemas.openxmlformats.org/officeDocument/2006/relationships/hyperlink" Target="https://www.sec.gov/Archives/edgar/data/1262104/000114036125026773/ef20052363_ex4-4.htm" TargetMode="External"/><Relationship Id="rId166" Type="http://schemas.openxmlformats.org/officeDocument/2006/relationships/hyperlink" Target="https://www.sec.gov/Archives/edgar/data/1262104/000114036125026773/ef20052363_ex4-5.htm" TargetMode="External"/><Relationship Id="rId167" Type="http://schemas.openxmlformats.org/officeDocument/2006/relationships/hyperlink" Target="https://www.sec.gov/Archives/edgar/data/1262104/000114036125026773/ef20052363_ex4-6.htm" TargetMode="External"/><Relationship Id="rId168" Type="http://schemas.openxmlformats.org/officeDocument/2006/relationships/hyperlink" Target="https://www.sec.gov/Archives/edgar/data/1262104/000114036125026773/ef20052363_ex10-1.htm" TargetMode="External"/><Relationship Id="rId169" Type="http://schemas.openxmlformats.org/officeDocument/2006/relationships/hyperlink" Target="https://www.sec.gov/Archives/edgar/data/1262104/000114036125026773/ef20052363_ex10-2.htm" TargetMode="External"/><Relationship Id="rId170" Type="http://schemas.openxmlformats.org/officeDocument/2006/relationships/hyperlink" Target="https://www.sec.gov/Archives/edgar/data/1262104/000114036125026773/ef20052363_ex10-3.htm" TargetMode="External"/><Relationship Id="rId171" Type="http://schemas.openxmlformats.org/officeDocument/2006/relationships/hyperlink" Target="https://www.sec.gov/Archives/edgar/data/1262104/000114036125026773/ef20052363_ex10-4.htm" TargetMode="External"/><Relationship Id="rId172" Type="http://schemas.openxmlformats.org/officeDocument/2006/relationships/hyperlink" Target="https://www.sec.gov/Archives/edgar/data/1262104/000114036125026773/ef20052363_ex10-5.htm" TargetMode="External"/><Relationship Id="rId173" Type="http://schemas.openxmlformats.org/officeDocument/2006/relationships/hyperlink" Target="https://www.sec.gov/Archives/edgar/data/1262104/000114036125026773/ef20052363_ex10-6.htm" TargetMode="External"/><Relationship Id="rId174" Type="http://schemas.openxmlformats.org/officeDocument/2006/relationships/hyperlink" Target="https://www.sec.gov/Archives/edgar/data/1262104/000114036125026773/ef20052363_ex10-7.htm" TargetMode="External"/><Relationship Id="rId175" Type="http://schemas.openxmlformats.org/officeDocument/2006/relationships/hyperlink" Target="https://www.sec.gov/Archives/edgar/data/1262104/000092963825003398/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2025-11-14T15:52:19Z</dcterms:created>
  <dcterms:modified xsi:type="dcterms:W3CDTF">2025-11-14T15:52:19Z</dcterms:modified>
</cp:coreProperties>
</file>