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164465</wp:posOffset>
            </wp:positionV>
            <wp:extent cx="1217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186690</wp:posOffset>
            </wp:positionV>
            <wp:extent cx="1217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60" w:lineRule="exact"/>
        <w:rPr>
          <w:rFonts w:ascii="MS PGothic" w:cs="MS PGothic" w:eastAsia="MS PGothic" w:hAnsi="MS PGothic"/>
          <w:sz w:val="20"/>
          <w:szCs w:val="20"/>
          <w:color w:val="auto"/>
        </w:rPr>
      </w:pPr>
    </w:p>
    <w:p>
      <w:pPr>
        <w:ind w:left="41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fiscal year ended June 30, 2021</w:t>
      </w:r>
    </w:p>
    <w:p>
      <w:pPr>
        <w:spacing w:after="0" w:line="238" w:lineRule="exact"/>
        <w:rPr>
          <w:rFonts w:ascii="MS PGothic" w:cs="MS PGothic" w:eastAsia="MS PGothic" w:hAnsi="MS PGothic"/>
          <w:sz w:val="20"/>
          <w:szCs w:val="20"/>
          <w:color w:val="auto"/>
        </w:rPr>
      </w:pPr>
    </w:p>
    <w:p>
      <w:pPr>
        <w:ind w:left="54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OR</w:t>
      </w:r>
    </w:p>
    <w:p>
      <w:pPr>
        <w:spacing w:after="0" w:line="302"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7"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466"/>
        </w:trPr>
        <w:tc>
          <w:tcPr>
            <w:tcW w:w="4400" w:type="dxa"/>
            <w:vAlign w:val="bottom"/>
            <w:gridSpan w:val="4"/>
          </w:tcPr>
          <w:p>
            <w:pPr>
              <w:ind w:left="800"/>
              <w:spacing w:after="0"/>
              <w:rPr>
                <w:sz w:val="20"/>
                <w:szCs w:val="20"/>
                <w:color w:val="auto"/>
              </w:rPr>
            </w:pPr>
            <w:r>
              <w:rPr>
                <w:rFonts w:ascii="Arial" w:cs="Arial" w:eastAsia="Arial" w:hAnsi="Arial"/>
                <w:sz w:val="18"/>
                <w:szCs w:val="18"/>
                <w:b w:val="1"/>
                <w:bCs w:val="1"/>
                <w:color w:val="auto"/>
              </w:rPr>
              <w:t>Commission File Number: 000-50484</w:t>
            </w: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145415</wp:posOffset>
            </wp:positionV>
            <wp:extent cx="1217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MEI Pharma,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171450</wp:posOffset>
            </wp:positionV>
            <wp:extent cx="121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900" w:type="dxa"/>
        <w:tblCellMar>
          <w:top w:w="0" w:type="dxa"/>
          <w:left w:w="0" w:type="dxa"/>
          <w:bottom w:w="0" w:type="dxa"/>
          <w:right w:w="0" w:type="dxa"/>
        </w:tblCellMar>
      </w:tblPr>
      <w:tr>
        <w:trPr>
          <w:trHeight w:val="210"/>
        </w:trPr>
        <w:tc>
          <w:tcPr>
            <w:tcW w:w="3960" w:type="dxa"/>
            <w:vAlign w:val="bottom"/>
          </w:tcPr>
          <w:p>
            <w:pPr>
              <w:jc w:val="center"/>
              <w:ind w:right="2005"/>
              <w:spacing w:after="0"/>
              <w:rPr>
                <w:sz w:val="20"/>
                <w:szCs w:val="20"/>
                <w:color w:val="auto"/>
              </w:rPr>
            </w:pPr>
            <w:r>
              <w:rPr>
                <w:rFonts w:ascii="Arial" w:cs="Arial" w:eastAsia="Arial" w:hAnsi="Arial"/>
                <w:sz w:val="16"/>
                <w:szCs w:val="16"/>
                <w:b w:val="1"/>
                <w:bCs w:val="1"/>
                <w:color w:val="auto"/>
                <w:w w:val="99"/>
              </w:rPr>
              <w:t>DELAWARE</w:t>
            </w:r>
          </w:p>
        </w:tc>
        <w:tc>
          <w:tcPr>
            <w:tcW w:w="3220" w:type="dxa"/>
            <w:vAlign w:val="bottom"/>
          </w:tcPr>
          <w:p>
            <w:pPr>
              <w:jc w:val="center"/>
              <w:ind w:left="2025"/>
              <w:spacing w:after="0"/>
              <w:rPr>
                <w:sz w:val="20"/>
                <w:szCs w:val="20"/>
                <w:color w:val="auto"/>
              </w:rPr>
            </w:pPr>
            <w:r>
              <w:rPr>
                <w:rFonts w:ascii="Arial" w:cs="Arial" w:eastAsia="Arial" w:hAnsi="Arial"/>
                <w:sz w:val="16"/>
                <w:szCs w:val="16"/>
                <w:b w:val="1"/>
                <w:bCs w:val="1"/>
                <w:color w:val="auto"/>
                <w:w w:val="88"/>
              </w:rPr>
              <w:t>51-0407811</w:t>
            </w:r>
          </w:p>
        </w:tc>
      </w:tr>
      <w:tr>
        <w:trPr>
          <w:trHeight w:val="226"/>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(State or other jurisdiction of</w:t>
            </w:r>
          </w:p>
        </w:tc>
        <w:tc>
          <w:tcPr>
            <w:tcW w:w="3220" w:type="dxa"/>
            <w:vAlign w:val="bottom"/>
          </w:tcPr>
          <w:p>
            <w:pPr>
              <w:jc w:val="center"/>
              <w:ind w:left="202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4"/>
              </w:rPr>
              <w:t>incorporation or organization)</w:t>
            </w:r>
          </w:p>
        </w:tc>
        <w:tc>
          <w:tcPr>
            <w:tcW w:w="3220" w:type="dxa"/>
            <w:vAlign w:val="bottom"/>
          </w:tcPr>
          <w:p>
            <w:pPr>
              <w:jc w:val="center"/>
              <w:ind w:left="202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11455 El Camino Real, San Diego, CA 92130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369-7100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154940</wp:posOffset>
            </wp:positionV>
            <wp:extent cx="121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19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10"/>
        </w:trPr>
        <w:tc>
          <w:tcPr>
            <w:tcW w:w="38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$0.00000002 par value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154940</wp:posOffset>
            </wp:positionV>
            <wp:extent cx="1217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760" w:type="dxa"/>
            <w:vAlign w:val="bottom"/>
          </w:tcPr>
          <w:p>
            <w:pPr>
              <w:spacing w:after="0"/>
              <w:rPr>
                <w:sz w:val="20"/>
                <w:szCs w:val="20"/>
                <w:color w:val="auto"/>
              </w:rPr>
            </w:pPr>
            <w:r>
              <w:rPr>
                <w:rFonts w:ascii="Arial" w:cs="Arial" w:eastAsia="Arial" w:hAnsi="Arial"/>
                <w:sz w:val="18"/>
                <w:szCs w:val="18"/>
                <w:color w:val="auto"/>
                <w:w w:val="92"/>
              </w:rPr>
              <w:t>Indicate by a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46"/>
        </w:trPr>
        <w:tc>
          <w:tcPr>
            <w:tcW w:w="8760" w:type="dxa"/>
            <w:vAlign w:val="bottom"/>
          </w:tcPr>
          <w:p>
            <w:pPr>
              <w:spacing w:after="0"/>
              <w:rPr>
                <w:sz w:val="20"/>
                <w:szCs w:val="20"/>
                <w:color w:val="auto"/>
              </w:rPr>
            </w:pPr>
            <w:r>
              <w:rPr>
                <w:rFonts w:ascii="Arial" w:cs="Arial" w:eastAsia="Arial" w:hAnsi="Arial"/>
                <w:sz w:val="18"/>
                <w:szCs w:val="18"/>
                <w:color w:val="auto"/>
                <w:w w:val="91"/>
              </w:rPr>
              <w:t>Indicate by a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24"/>
        </w:trPr>
        <w:tc>
          <w:tcPr>
            <w:tcW w:w="8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8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ind w:right="6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608"/>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608"/>
        </w:trPr>
        <w:tc>
          <w:tcPr>
            <w:tcW w:w="1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0"/>
          <w:szCs w:val="20"/>
          <w:color w:val="auto"/>
        </w:rPr>
      </w:pPr>
    </w:p>
    <w:p>
      <w:pPr>
        <w:spacing w:after="0" w:line="240"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5" w:lineRule="exact"/>
        <w:rPr>
          <w:sz w:val="20"/>
          <w:szCs w:val="20"/>
          <w:color w:val="auto"/>
        </w:rPr>
      </w:pPr>
    </w:p>
    <w:p>
      <w:pPr>
        <w:ind w:right="20"/>
        <w:spacing w:after="0" w:line="23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3"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1"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auto"/>
        </w:rPr>
        <w:t>The aggregate market value of the voting common equity held by non-affiliates of the registrant was approximately $300.8 million as of December 31, 2020, based on the closing price of the registrant’s Common Stock as reported on the NASDAQ Capital Market on such date. For purposes of this calculation, shares of the registrant’s common stock held by directors and executive officers have been excluded. This number is provided only for purposes of this Annual Report on Form 10-K and does not represent an admission that any particular person or entity is an affiliate of the registrant.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2021, there were 112,678,498 shares of the registrant’s common stock, par value $0.00000002 per share, outstanding.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43"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Certain information required by Part III of this Annual Report on Form 10-K is incorporated by reference from the registrant’s definitive proxy statement for the annual meeting of stockholders to be held in December 2021, which will be filed with the Securities and Exchange Commission within 120 days after the close of the registrant’s fiscal year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MEI PHARMA,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700"/>
        <w:spacing w:after="0"/>
        <w:rPr>
          <w:sz w:val="20"/>
          <w:szCs w:val="20"/>
          <w:color w:val="auto"/>
        </w:rPr>
      </w:pPr>
      <w:r>
        <w:rPr>
          <w:rFonts w:ascii="Arial" w:cs="Arial" w:eastAsia="Arial" w:hAnsi="Arial"/>
          <w:sz w:val="14"/>
          <w:szCs w:val="14"/>
          <w:b w:val="1"/>
          <w:bCs w:val="1"/>
          <w:color w:val="auto"/>
        </w:rPr>
        <w:t>Page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900" w:type="dxa"/>
            <w:vAlign w:val="bottom"/>
            <w:gridSpan w:val="5"/>
          </w:tcPr>
          <w:p>
            <w:pPr>
              <w:spacing w:after="0" w:line="181" w:lineRule="exact"/>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PART I</w:t>
              </w:r>
            </w:hyperlink>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9"/>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Item 1:</w:t>
            </w:r>
          </w:p>
        </w:tc>
        <w:tc>
          <w:tcPr>
            <w:tcW w:w="38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5">
              <w:r>
                <w:rPr>
                  <w:rFonts w:ascii="Arial" w:cs="Arial" w:eastAsia="Arial" w:hAnsi="Arial"/>
                  <w:sz w:val="16"/>
                  <w:szCs w:val="16"/>
                  <w:color w:val="0000FF"/>
                  <w:w w:val="86"/>
                </w:rPr>
                <w:t>Business</w:t>
              </w:r>
            </w:hyperlink>
          </w:p>
        </w:tc>
        <w:tc>
          <w:tcPr>
            <w:tcW w:w="9380" w:type="dxa"/>
            <w:vAlign w:val="bottom"/>
            <w:gridSpan w:val="21"/>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260" w:type="dxa"/>
            <w:vAlign w:val="bottom"/>
          </w:tcPr>
          <w:p>
            <w:pPr>
              <w:spacing w:after="0"/>
              <w:rPr>
                <w:sz w:val="16"/>
                <w:szCs w:val="16"/>
                <w:color w:val="auto"/>
              </w:rPr>
            </w:pPr>
          </w:p>
        </w:tc>
        <w:tc>
          <w:tcPr>
            <w:tcW w:w="82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22">
              <w:r>
                <w:rPr>
                  <w:rFonts w:ascii="Arial" w:cs="Arial" w:eastAsia="Arial" w:hAnsi="Arial"/>
                  <w:sz w:val="16"/>
                  <w:szCs w:val="16"/>
                  <w:color w:val="0000FF"/>
                  <w:w w:val="89"/>
                </w:rPr>
                <w:t>Risk Factors</w:t>
              </w:r>
            </w:hyperlink>
          </w:p>
        </w:tc>
        <w:tc>
          <w:tcPr>
            <w:tcW w:w="9140" w:type="dxa"/>
            <w:vAlign w:val="bottom"/>
            <w:gridSpan w:val="19"/>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Unresolved Staff Comments</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Borders>
              <w:top w:val="single" w:sz="8" w:color="0000FF"/>
            </w:tcBorders>
            <w:gridSpan w:val="10"/>
          </w:tcPr>
          <w:p>
            <w:pPr>
              <w:spacing w:after="0"/>
              <w:rPr>
                <w:sz w:val="21"/>
                <w:szCs w:val="21"/>
                <w:color w:val="auto"/>
              </w:rPr>
            </w:pPr>
          </w:p>
        </w:tc>
        <w:tc>
          <w:tcPr>
            <w:tcW w:w="8120" w:type="dxa"/>
            <w:vAlign w:val="bottom"/>
            <w:gridSpan w:val="12"/>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2:</w:t>
            </w:r>
          </w:p>
        </w:tc>
        <w:tc>
          <w:tcPr>
            <w:tcW w:w="260" w:type="dxa"/>
            <w:vAlign w:val="bottom"/>
          </w:tcPr>
          <w:p>
            <w:pPr>
              <w:spacing w:after="0"/>
              <w:rPr>
                <w:sz w:val="16"/>
                <w:szCs w:val="16"/>
                <w:color w:val="auto"/>
              </w:rPr>
            </w:pPr>
          </w:p>
        </w:tc>
        <w:tc>
          <w:tcPr>
            <w:tcW w:w="660" w:type="dxa"/>
            <w:vAlign w:val="bottom"/>
            <w:tcBorders>
              <w:bottom w:val="single" w:sz="8" w:color="0000FF"/>
            </w:tcBorders>
            <w:gridSpan w:val="2"/>
          </w:tcPr>
          <w:p>
            <w:pPr>
              <w:spacing w:after="0"/>
              <w:rPr>
                <w:rFonts w:ascii="Arial" w:cs="Arial" w:eastAsia="Arial" w:hAnsi="Arial"/>
                <w:sz w:val="16"/>
                <w:szCs w:val="16"/>
                <w:color w:val="0000FF"/>
                <w:w w:val="87"/>
              </w:rPr>
            </w:pPr>
            <w:hyperlink w:anchor="page44">
              <w:r>
                <w:rPr>
                  <w:rFonts w:ascii="Arial" w:cs="Arial" w:eastAsia="Arial" w:hAnsi="Arial"/>
                  <w:sz w:val="16"/>
                  <w:szCs w:val="16"/>
                  <w:color w:val="0000FF"/>
                  <w:w w:val="87"/>
                </w:rPr>
                <w:t>Properties</w:t>
              </w:r>
            </w:hyperlink>
          </w:p>
        </w:tc>
        <w:tc>
          <w:tcPr>
            <w:tcW w:w="9300" w:type="dxa"/>
            <w:vAlign w:val="bottom"/>
            <w:gridSpan w:val="20"/>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3:</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Legal Proceedings</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Borders>
              <w:top w:val="single" w:sz="8" w:color="0000FF"/>
            </w:tcBorders>
            <w:gridSpan w:val="5"/>
          </w:tcPr>
          <w:p>
            <w:pPr>
              <w:spacing w:after="0"/>
              <w:rPr>
                <w:sz w:val="21"/>
                <w:szCs w:val="21"/>
                <w:color w:val="auto"/>
              </w:rPr>
            </w:pPr>
          </w:p>
        </w:tc>
        <w:tc>
          <w:tcPr>
            <w:tcW w:w="8760" w:type="dxa"/>
            <w:vAlign w:val="bottom"/>
            <w:gridSpan w:val="17"/>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4:</w:t>
            </w:r>
          </w:p>
        </w:tc>
        <w:tc>
          <w:tcPr>
            <w:tcW w:w="260" w:type="dxa"/>
            <w:vAlign w:val="bottom"/>
          </w:tcPr>
          <w:p>
            <w:pPr>
              <w:spacing w:after="0"/>
              <w:rPr>
                <w:sz w:val="16"/>
                <w:szCs w:val="16"/>
                <w:color w:val="auto"/>
              </w:rPr>
            </w:pPr>
          </w:p>
        </w:tc>
        <w:tc>
          <w:tcPr>
            <w:tcW w:w="1600" w:type="dxa"/>
            <w:vAlign w:val="bottom"/>
            <w:tcBorders>
              <w:bottom w:val="single" w:sz="8" w:color="0000FF"/>
            </w:tcBorders>
            <w:gridSpan w:val="8"/>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Mine Safety Disclosures</w:t>
              </w:r>
            </w:hyperlink>
          </w:p>
        </w:tc>
        <w:tc>
          <w:tcPr>
            <w:tcW w:w="8360" w:type="dxa"/>
            <w:vAlign w:val="bottom"/>
            <w:gridSpan w:val="14"/>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r>
      <w:tr>
        <w:trPr>
          <w:trHeight w:val="343"/>
        </w:trPr>
        <w:tc>
          <w:tcPr>
            <w:tcW w:w="20" w:type="dxa"/>
            <w:vAlign w:val="bottom"/>
            <w:tcBorders>
              <w:bottom w:val="single" w:sz="8" w:color="0000EE"/>
            </w:tcBorders>
          </w:tcPr>
          <w:p>
            <w:pPr>
              <w:spacing w:after="0"/>
              <w:rPr>
                <w:sz w:val="24"/>
                <w:szCs w:val="24"/>
                <w:color w:val="auto"/>
              </w:rPr>
            </w:pPr>
          </w:p>
        </w:tc>
        <w:tc>
          <w:tcPr>
            <w:tcW w:w="600" w:type="dxa"/>
            <w:vAlign w:val="bottom"/>
            <w:tcBorders>
              <w:bottom w:val="single" w:sz="8" w:color="0000FF"/>
            </w:tcBorders>
            <w:gridSpan w:val="2"/>
          </w:tcPr>
          <w:p>
            <w:pPr>
              <w:spacing w:after="0"/>
              <w:rPr>
                <w:rFonts w:ascii="Arial" w:cs="Arial" w:eastAsia="Arial" w:hAnsi="Arial"/>
                <w:sz w:val="16"/>
                <w:szCs w:val="16"/>
                <w:b w:val="1"/>
                <w:bCs w:val="1"/>
                <w:color w:val="0000FF"/>
              </w:rPr>
            </w:pPr>
            <w:hyperlink w:anchor="page45">
              <w:r>
                <w:rPr>
                  <w:rFonts w:ascii="Arial" w:cs="Arial" w:eastAsia="Arial" w:hAnsi="Arial"/>
                  <w:sz w:val="16"/>
                  <w:szCs w:val="16"/>
                  <w:b w:val="1"/>
                  <w:bCs w:val="1"/>
                  <w:color w:val="0000FF"/>
                </w:rPr>
                <w:t>PART II</w:t>
              </w:r>
            </w:hyperlink>
          </w:p>
        </w:tc>
        <w:tc>
          <w:tcPr>
            <w:tcW w:w="3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5:</w:t>
            </w:r>
          </w:p>
        </w:tc>
        <w:tc>
          <w:tcPr>
            <w:tcW w:w="260" w:type="dxa"/>
            <w:vAlign w:val="bottom"/>
          </w:tcPr>
          <w:p>
            <w:pPr>
              <w:spacing w:after="0"/>
              <w:rPr>
                <w:sz w:val="24"/>
                <w:szCs w:val="24"/>
                <w:color w:val="auto"/>
              </w:rPr>
            </w:pPr>
          </w:p>
        </w:tc>
        <w:tc>
          <w:tcPr>
            <w:tcW w:w="9960" w:type="dxa"/>
            <w:vAlign w:val="bottom"/>
            <w:gridSpan w:val="22"/>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Market for the Registrant’s Common Equity, Related Stockholder Matters and Issuer Purchases of Equity Securities</w:t>
              </w:r>
            </w:hyperlink>
          </w:p>
        </w:tc>
        <w:tc>
          <w:tcPr>
            <w:tcW w:w="10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500" w:type="dxa"/>
            <w:vAlign w:val="bottom"/>
            <w:tcBorders>
              <w:top w:val="single" w:sz="8" w:color="0000FF"/>
            </w:tcBorders>
            <w:gridSpan w:val="20"/>
          </w:tcPr>
          <w:p>
            <w:pPr>
              <w:spacing w:after="0"/>
              <w:rPr>
                <w:sz w:val="21"/>
                <w:szCs w:val="21"/>
                <w:color w:val="auto"/>
              </w:rPr>
            </w:pPr>
          </w:p>
        </w:tc>
        <w:tc>
          <w:tcPr>
            <w:tcW w:w="246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6:</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Selected Financial Data</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Borders>
              <w:top w:val="single" w:sz="8" w:color="0000FF"/>
            </w:tcBorders>
            <w:gridSpan w:val="7"/>
          </w:tcPr>
          <w:p>
            <w:pPr>
              <w:spacing w:after="0"/>
              <w:rPr>
                <w:sz w:val="21"/>
                <w:szCs w:val="21"/>
                <w:color w:val="auto"/>
              </w:rPr>
            </w:pPr>
          </w:p>
        </w:tc>
        <w:tc>
          <w:tcPr>
            <w:tcW w:w="8420" w:type="dxa"/>
            <w:vAlign w:val="bottom"/>
            <w:gridSpan w:val="15"/>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7:</w:t>
            </w:r>
          </w:p>
        </w:tc>
        <w:tc>
          <w:tcPr>
            <w:tcW w:w="260" w:type="dxa"/>
            <w:vAlign w:val="bottom"/>
          </w:tcPr>
          <w:p>
            <w:pPr>
              <w:spacing w:after="0"/>
              <w:rPr>
                <w:sz w:val="16"/>
                <w:szCs w:val="16"/>
                <w:color w:val="auto"/>
              </w:rPr>
            </w:pPr>
          </w:p>
        </w:tc>
        <w:tc>
          <w:tcPr>
            <w:tcW w:w="5820" w:type="dxa"/>
            <w:vAlign w:val="bottom"/>
            <w:tcBorders>
              <w:bottom w:val="single" w:sz="8" w:color="0000FF"/>
            </w:tcBorders>
            <w:gridSpan w:val="17"/>
          </w:tcPr>
          <w:p>
            <w:pPr>
              <w:spacing w:after="0"/>
              <w:rPr>
                <w:rFonts w:ascii="Arial" w:cs="Arial" w:eastAsia="Arial" w:hAnsi="Arial"/>
                <w:sz w:val="16"/>
                <w:szCs w:val="16"/>
                <w:color w:val="0000FF"/>
                <w:w w:val="92"/>
              </w:rPr>
            </w:pPr>
            <w:hyperlink w:anchor="page46">
              <w:r>
                <w:rPr>
                  <w:rFonts w:ascii="Arial" w:cs="Arial" w:eastAsia="Arial" w:hAnsi="Arial"/>
                  <w:sz w:val="16"/>
                  <w:szCs w:val="16"/>
                  <w:color w:val="0000FF"/>
                  <w:w w:val="92"/>
                </w:rPr>
                <w:t>Management’s Discussion and Analysis of Financial Condition and Results of Operations</w:t>
              </w:r>
            </w:hyperlink>
          </w:p>
        </w:tc>
        <w:tc>
          <w:tcPr>
            <w:tcW w:w="4140" w:type="dxa"/>
            <w:vAlign w:val="bottom"/>
            <w:gridSpan w:val="5"/>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Quantitative and Qualitative Disclosures about Market Risk</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80" w:type="dxa"/>
            <w:vAlign w:val="bottom"/>
            <w:tcBorders>
              <w:top w:val="single" w:sz="8" w:color="0000FF"/>
            </w:tcBorders>
            <w:gridSpan w:val="15"/>
          </w:tcPr>
          <w:p>
            <w:pPr>
              <w:spacing w:after="0"/>
              <w:rPr>
                <w:sz w:val="21"/>
                <w:szCs w:val="21"/>
                <w:color w:val="auto"/>
              </w:rPr>
            </w:pPr>
          </w:p>
        </w:tc>
        <w:tc>
          <w:tcPr>
            <w:tcW w:w="6080" w:type="dxa"/>
            <w:vAlign w:val="bottom"/>
            <w:gridSpan w:val="7"/>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8:</w:t>
            </w:r>
          </w:p>
        </w:tc>
        <w:tc>
          <w:tcPr>
            <w:tcW w:w="260" w:type="dxa"/>
            <w:vAlign w:val="bottom"/>
          </w:tcPr>
          <w:p>
            <w:pPr>
              <w:spacing w:after="0"/>
              <w:rPr>
                <w:sz w:val="16"/>
                <w:szCs w:val="16"/>
                <w:color w:val="auto"/>
              </w:rPr>
            </w:pPr>
          </w:p>
        </w:tc>
        <w:tc>
          <w:tcPr>
            <w:tcW w:w="300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55">
              <w:r>
                <w:rPr>
                  <w:rFonts w:ascii="Arial" w:cs="Arial" w:eastAsia="Arial" w:hAnsi="Arial"/>
                  <w:sz w:val="16"/>
                  <w:szCs w:val="16"/>
                  <w:color w:val="0000FF"/>
                  <w:w w:val="90"/>
                </w:rPr>
                <w:t>Financial Statements and Supplementary Data</w:t>
              </w:r>
            </w:hyperlink>
          </w:p>
        </w:tc>
        <w:tc>
          <w:tcPr>
            <w:tcW w:w="696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9:</w:t>
            </w:r>
          </w:p>
        </w:tc>
        <w:tc>
          <w:tcPr>
            <w:tcW w:w="260" w:type="dxa"/>
            <w:vAlign w:val="bottom"/>
          </w:tcPr>
          <w:p>
            <w:pPr>
              <w:spacing w:after="0"/>
              <w:rPr>
                <w:sz w:val="16"/>
                <w:szCs w:val="16"/>
                <w:color w:val="auto"/>
              </w:rPr>
            </w:pPr>
          </w:p>
        </w:tc>
        <w:tc>
          <w:tcPr>
            <w:tcW w:w="584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78">
              <w:r>
                <w:rPr>
                  <w:rFonts w:ascii="Arial" w:cs="Arial" w:eastAsia="Arial" w:hAnsi="Arial"/>
                  <w:sz w:val="16"/>
                  <w:szCs w:val="16"/>
                  <w:color w:val="0000FF"/>
                  <w:w w:val="91"/>
                </w:rPr>
                <w:t>Changes in and Disagreements with Accountants on Accounting and Financial Disclosure</w:t>
              </w:r>
            </w:hyperlink>
          </w:p>
        </w:tc>
        <w:tc>
          <w:tcPr>
            <w:tcW w:w="412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260" w:type="dxa"/>
            <w:vAlign w:val="bottom"/>
          </w:tcPr>
          <w:p>
            <w:pPr>
              <w:spacing w:after="0"/>
              <w:rPr>
                <w:sz w:val="16"/>
                <w:szCs w:val="16"/>
                <w:color w:val="auto"/>
              </w:rPr>
            </w:pPr>
          </w:p>
        </w:tc>
        <w:tc>
          <w:tcPr>
            <w:tcW w:w="1600" w:type="dxa"/>
            <w:vAlign w:val="bottom"/>
            <w:tcBorders>
              <w:bottom w:val="single" w:sz="8" w:color="0000FF"/>
            </w:tcBorders>
            <w:gridSpan w:val="8"/>
          </w:tcPr>
          <w:p>
            <w:pPr>
              <w:spacing w:after="0"/>
              <w:rPr>
                <w:rFonts w:ascii="Arial" w:cs="Arial" w:eastAsia="Arial" w:hAnsi="Arial"/>
                <w:sz w:val="16"/>
                <w:szCs w:val="16"/>
                <w:color w:val="0000FF"/>
                <w:w w:val="89"/>
              </w:rPr>
            </w:pPr>
            <w:hyperlink w:anchor="page78">
              <w:r>
                <w:rPr>
                  <w:rFonts w:ascii="Arial" w:cs="Arial" w:eastAsia="Arial" w:hAnsi="Arial"/>
                  <w:sz w:val="16"/>
                  <w:szCs w:val="16"/>
                  <w:color w:val="0000FF"/>
                  <w:w w:val="89"/>
                </w:rPr>
                <w:t>Controls and Procedures</w:t>
              </w:r>
            </w:hyperlink>
          </w:p>
        </w:tc>
        <w:tc>
          <w:tcPr>
            <w:tcW w:w="8360" w:type="dxa"/>
            <w:vAlign w:val="bottom"/>
            <w:gridSpan w:val="14"/>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Other Information</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Borders>
              <w:top w:val="single" w:sz="8" w:color="0000FF"/>
            </w:tcBorders>
            <w:gridSpan w:val="4"/>
          </w:tcPr>
          <w:p>
            <w:pPr>
              <w:spacing w:after="0"/>
              <w:rPr>
                <w:sz w:val="21"/>
                <w:szCs w:val="21"/>
                <w:color w:val="auto"/>
              </w:rPr>
            </w:pPr>
          </w:p>
        </w:tc>
        <w:tc>
          <w:tcPr>
            <w:tcW w:w="8780" w:type="dxa"/>
            <w:vAlign w:val="bottom"/>
            <w:gridSpan w:val="18"/>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r>
      <w:tr>
        <w:trPr>
          <w:trHeight w:val="343"/>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spacing w:after="0"/>
              <w:rPr>
                <w:rFonts w:ascii="Arial" w:cs="Arial" w:eastAsia="Arial" w:hAnsi="Arial"/>
                <w:sz w:val="16"/>
                <w:szCs w:val="16"/>
                <w:b w:val="1"/>
                <w:bCs w:val="1"/>
                <w:color w:val="0000FF"/>
              </w:rPr>
            </w:pPr>
            <w:hyperlink w:anchor="page79">
              <w:r>
                <w:rPr>
                  <w:rFonts w:ascii="Arial" w:cs="Arial" w:eastAsia="Arial" w:hAnsi="Arial"/>
                  <w:sz w:val="16"/>
                  <w:szCs w:val="16"/>
                  <w:b w:val="1"/>
                  <w:bCs w:val="1"/>
                  <w:color w:val="0000FF"/>
                </w:rPr>
                <w:t>PART III</w:t>
              </w:r>
            </w:hyperlink>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10:</w:t>
            </w:r>
          </w:p>
        </w:tc>
        <w:tc>
          <w:tcPr>
            <w:tcW w:w="260" w:type="dxa"/>
            <w:vAlign w:val="bottom"/>
          </w:tcPr>
          <w:p>
            <w:pPr>
              <w:spacing w:after="0"/>
              <w:rPr>
                <w:sz w:val="24"/>
                <w:szCs w:val="24"/>
                <w:color w:val="auto"/>
              </w:rPr>
            </w:pPr>
          </w:p>
        </w:tc>
        <w:tc>
          <w:tcPr>
            <w:tcW w:w="9960" w:type="dxa"/>
            <w:vAlign w:val="bottom"/>
            <w:gridSpan w:val="22"/>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Directors, Executive Officers and Corporate Governance</w:t>
              </w:r>
            </w:hyperlink>
          </w:p>
        </w:tc>
        <w:tc>
          <w:tcPr>
            <w:tcW w:w="10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80" w:type="dxa"/>
            <w:vAlign w:val="bottom"/>
            <w:tcBorders>
              <w:top w:val="single" w:sz="8" w:color="0000FF"/>
            </w:tcBorders>
            <w:gridSpan w:val="14"/>
          </w:tcPr>
          <w:p>
            <w:pPr>
              <w:spacing w:after="0"/>
              <w:rPr>
                <w:sz w:val="21"/>
                <w:szCs w:val="21"/>
                <w:color w:val="auto"/>
              </w:rPr>
            </w:pPr>
          </w:p>
        </w:tc>
        <w:tc>
          <w:tcPr>
            <w:tcW w:w="6280" w:type="dxa"/>
            <w:vAlign w:val="bottom"/>
            <w:gridSpan w:val="8"/>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Executive Compensation</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Borders>
              <w:top w:val="single" w:sz="8" w:color="0000FF"/>
            </w:tcBorders>
            <w:gridSpan w:val="9"/>
          </w:tcPr>
          <w:p>
            <w:pPr>
              <w:spacing w:after="0"/>
              <w:rPr>
                <w:sz w:val="21"/>
                <w:szCs w:val="21"/>
                <w:color w:val="auto"/>
              </w:rPr>
            </w:pPr>
          </w:p>
        </w:tc>
        <w:tc>
          <w:tcPr>
            <w:tcW w:w="8340" w:type="dxa"/>
            <w:vAlign w:val="bottom"/>
            <w:gridSpan w:val="13"/>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Security Ownership of Certain Beneficial Owners and Management and Related Stockholder Matters</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560" w:type="dxa"/>
            <w:vAlign w:val="bottom"/>
            <w:tcBorders>
              <w:top w:val="single" w:sz="8" w:color="0000FF"/>
            </w:tcBorders>
            <w:gridSpan w:val="19"/>
          </w:tcPr>
          <w:p>
            <w:pPr>
              <w:spacing w:after="0"/>
              <w:rPr>
                <w:sz w:val="21"/>
                <w:szCs w:val="21"/>
                <w:color w:val="auto"/>
              </w:rPr>
            </w:pPr>
          </w:p>
        </w:tc>
        <w:tc>
          <w:tcPr>
            <w:tcW w:w="3400" w:type="dxa"/>
            <w:vAlign w:val="bottom"/>
            <w:gridSpan w:val="3"/>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260" w:type="dxa"/>
            <w:vAlign w:val="bottom"/>
          </w:tcPr>
          <w:p>
            <w:pPr>
              <w:spacing w:after="0"/>
              <w:rPr>
                <w:sz w:val="16"/>
                <w:szCs w:val="16"/>
                <w:color w:val="auto"/>
              </w:rPr>
            </w:pPr>
          </w:p>
        </w:tc>
        <w:tc>
          <w:tcPr>
            <w:tcW w:w="9960" w:type="dxa"/>
            <w:vAlign w:val="bottom"/>
            <w:gridSpan w:val="22"/>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Certain Relationships and Related Transactions, and Director Independence</w:t>
              </w:r>
            </w:hyperlink>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900" w:type="dxa"/>
            <w:vAlign w:val="bottom"/>
            <w:tcBorders>
              <w:top w:val="single" w:sz="8" w:color="0000FF"/>
            </w:tcBorders>
            <w:gridSpan w:val="16"/>
          </w:tcPr>
          <w:p>
            <w:pPr>
              <w:spacing w:after="0"/>
              <w:rPr>
                <w:sz w:val="21"/>
                <w:szCs w:val="21"/>
                <w:color w:val="auto"/>
              </w:rPr>
            </w:pPr>
          </w:p>
        </w:tc>
        <w:tc>
          <w:tcPr>
            <w:tcW w:w="5060" w:type="dxa"/>
            <w:vAlign w:val="bottom"/>
            <w:gridSpan w:val="6"/>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260" w:type="dxa"/>
            <w:vAlign w:val="bottom"/>
          </w:tcPr>
          <w:p>
            <w:pPr>
              <w:spacing w:after="0"/>
              <w:rPr>
                <w:sz w:val="16"/>
                <w:szCs w:val="16"/>
                <w:color w:val="auto"/>
              </w:rPr>
            </w:pPr>
          </w:p>
        </w:tc>
        <w:tc>
          <w:tcPr>
            <w:tcW w:w="2580" w:type="dxa"/>
            <w:vAlign w:val="bottom"/>
            <w:tcBorders>
              <w:bottom w:val="single" w:sz="8" w:color="0000FF"/>
            </w:tcBorders>
            <w:gridSpan w:val="11"/>
          </w:tcPr>
          <w:p>
            <w:pPr>
              <w:spacing w:after="0"/>
              <w:rPr>
                <w:rFonts w:ascii="Arial" w:cs="Arial" w:eastAsia="Arial" w:hAnsi="Arial"/>
                <w:sz w:val="16"/>
                <w:szCs w:val="16"/>
                <w:color w:val="0000FF"/>
                <w:w w:val="90"/>
              </w:rPr>
            </w:pPr>
            <w:hyperlink w:anchor="page79">
              <w:r>
                <w:rPr>
                  <w:rFonts w:ascii="Arial" w:cs="Arial" w:eastAsia="Arial" w:hAnsi="Arial"/>
                  <w:sz w:val="16"/>
                  <w:szCs w:val="16"/>
                  <w:color w:val="0000FF"/>
                  <w:w w:val="90"/>
                </w:rPr>
                <w:t>Principal Accountant Fees and Services</w:t>
              </w:r>
            </w:hyperlink>
          </w:p>
        </w:tc>
        <w:tc>
          <w:tcPr>
            <w:tcW w:w="7380" w:type="dxa"/>
            <w:vAlign w:val="bottom"/>
            <w:gridSpan w:val="11"/>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r>
      <w:tr>
        <w:trPr>
          <w:trHeight w:val="344"/>
        </w:trPr>
        <w:tc>
          <w:tcPr>
            <w:tcW w:w="2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6"/>
                <w:szCs w:val="16"/>
                <w:b w:val="1"/>
                <w:bCs w:val="1"/>
                <w:color w:val="0000FF"/>
              </w:rPr>
            </w:pPr>
            <w:hyperlink w:anchor="page80">
              <w:r>
                <w:rPr>
                  <w:rFonts w:ascii="Arial" w:cs="Arial" w:eastAsia="Arial" w:hAnsi="Arial"/>
                  <w:sz w:val="16"/>
                  <w:szCs w:val="16"/>
                  <w:b w:val="1"/>
                  <w:bCs w:val="1"/>
                  <w:color w:val="0000FF"/>
                </w:rPr>
                <w:t>PART IV</w:t>
              </w:r>
            </w:hyperlink>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Item 15:</w:t>
            </w:r>
          </w:p>
        </w:tc>
        <w:tc>
          <w:tcPr>
            <w:tcW w:w="2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Borders>
              <w:bottom w:val="single" w:sz="8" w:color="0000FF"/>
            </w:tcBorders>
            <w:gridSpan w:val="12"/>
          </w:tcPr>
          <w:p>
            <w:pPr>
              <w:spacing w:after="0"/>
              <w:rPr>
                <w:rFonts w:ascii="Arial" w:cs="Arial" w:eastAsia="Arial" w:hAnsi="Arial"/>
                <w:sz w:val="16"/>
                <w:szCs w:val="16"/>
                <w:color w:val="0000FF"/>
                <w:w w:val="91"/>
              </w:rPr>
            </w:pPr>
            <w:hyperlink w:anchor="page80">
              <w:r>
                <w:rPr>
                  <w:rFonts w:ascii="Arial" w:cs="Arial" w:eastAsia="Arial" w:hAnsi="Arial"/>
                  <w:sz w:val="16"/>
                  <w:szCs w:val="16"/>
                  <w:color w:val="0000FF"/>
                  <w:w w:val="91"/>
                </w:rPr>
                <w:t>Exhibits, Financial Statement Schedules</w:t>
              </w:r>
            </w:hyperlink>
          </w:p>
        </w:tc>
        <w:tc>
          <w:tcPr>
            <w:tcW w:w="734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900" w:type="dxa"/>
            <w:vAlign w:val="bottom"/>
            <w:gridSpan w:val="5"/>
          </w:tcPr>
          <w:p>
            <w:pPr>
              <w:spacing w:after="0"/>
              <w:rPr>
                <w:sz w:val="20"/>
                <w:szCs w:val="20"/>
                <w:color w:val="auto"/>
              </w:rPr>
            </w:pPr>
            <w:r>
              <w:rPr>
                <w:rFonts w:ascii="Arial" w:cs="Arial" w:eastAsia="Arial" w:hAnsi="Arial"/>
                <w:sz w:val="16"/>
                <w:szCs w:val="16"/>
                <w:color w:val="auto"/>
              </w:rPr>
              <w:t>Item 16:</w:t>
            </w:r>
          </w:p>
        </w:tc>
        <w:tc>
          <w:tcPr>
            <w:tcW w:w="260" w:type="dxa"/>
            <w:vAlign w:val="bottom"/>
          </w:tcPr>
          <w:p>
            <w:pPr>
              <w:spacing w:after="0"/>
              <w:rPr>
                <w:sz w:val="16"/>
                <w:szCs w:val="16"/>
                <w:color w:val="auto"/>
              </w:rPr>
            </w:pPr>
          </w:p>
        </w:tc>
        <w:tc>
          <w:tcPr>
            <w:tcW w:w="140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81">
              <w:r>
                <w:rPr>
                  <w:rFonts w:ascii="Arial" w:cs="Arial" w:eastAsia="Arial" w:hAnsi="Arial"/>
                  <w:sz w:val="16"/>
                  <w:szCs w:val="16"/>
                  <w:color w:val="0000FF"/>
                  <w:w w:val="92"/>
                </w:rPr>
                <w:t>Form 10-K Summary</w:t>
              </w:r>
            </w:hyperlink>
          </w:p>
        </w:tc>
        <w:tc>
          <w:tcPr>
            <w:tcW w:w="8560" w:type="dxa"/>
            <w:vAlign w:val="bottom"/>
            <w:gridSpan w:val="16"/>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20" w:type="dxa"/>
            <w:vAlign w:val="bottom"/>
            <w:gridSpan w:val="23"/>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1"/>
                <w:szCs w:val="21"/>
                <w:color w:val="auto"/>
              </w:rPr>
            </w:pPr>
          </w:p>
        </w:tc>
      </w:tr>
      <w:tr>
        <w:trPr>
          <w:trHeight w:val="59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095"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This Annual Report on Form 10-K, or Annual Report, includes forward-looking statements, which involve a number of risks and uncertainties.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future plans, strategies, intentions, expectations, objectives, goals or prospects and other statements that are not historical facts are also forward-looking statements. Discussions containing these forward-looking statements may be found, among other places, in “Business” and “Management’s Discussion and Analysis of Financial Condition and Results of Operations” in this Annual Report. For such statements, we claim the protection of the Private Securities Litigation Reform Act of 1995. Readers of this Annual Report are cautioned not to place undue reliance on these forward-looking statements, which speak only as of the time this Annual Report was filed with the Securities and Exchange Commission, or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those discussed in “Risk Factors” and in “Management’s Discussion and Analysis of Financial Condition and Results of Operations” of this Annual Report. Other sections of this report and our other filings with the SEC may include additional factors which could adversely impact our business and financial performance. Moreover, we operate in a very competitive and rapidly changing environment. There is substantial uncertainty regarding the impact of the COVID-19 outbreak (as defined below)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 to reflect events or circumstances that arise after the filing of this Annual Report or documents incorporated by reference herein that include forward-looking statements.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Unless the context requires otherwise, references in this Annual Report to “MEI Pharma,” “we,” “us” and “our” refer to MEI Pharma, Inc.</w:t>
      </w:r>
    </w:p>
    <w:p>
      <w:pPr>
        <w:spacing w:after="0" w:line="250"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MEI Pharma, Inc. and our corporate logo are registered service marks of MEI Pharma. Any other brand names or trademarks appearing in this Annual Report are the property of their respective 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ind w:right="40" w:firstLine="509"/>
        <w:spacing w:after="0" w:line="296" w:lineRule="auto"/>
        <w:rPr>
          <w:sz w:val="20"/>
          <w:szCs w:val="20"/>
          <w:color w:val="auto"/>
        </w:rPr>
      </w:pPr>
      <w:r>
        <w:rPr>
          <w:rFonts w:ascii="Arial" w:cs="Arial" w:eastAsia="Arial" w:hAnsi="Arial"/>
          <w:sz w:val="17"/>
          <w:szCs w:val="17"/>
          <w:color w:val="auto"/>
        </w:rPr>
        <w:t>MEI Pharma, Inc. is a late-stage pharmaceutical company committed to the development and commercialization of novel cancer therapies intended to improve outcomes for patients. Our portfolio of drug candidates has four clinical-stage assets, including zandelisib (f/k/a ME-401), currently in multiple ongoing clinical studies intended to support marketing applications with the U.S. Food and Drug Administration (“FDA”) and other regulatory authorities globally. Our common stock is listed on the NASDAQ Capital Market under the symbol “MEIP.”</w:t>
      </w:r>
    </w:p>
    <w:p>
      <w:pPr>
        <w:spacing w:after="0" w:line="170" w:lineRule="exact"/>
        <w:rPr>
          <w:sz w:val="20"/>
          <w:szCs w:val="20"/>
          <w:color w:val="auto"/>
        </w:rPr>
      </w:pPr>
    </w:p>
    <w:p>
      <w:pPr>
        <w:ind w:right="820" w:firstLine="509"/>
        <w:spacing w:after="0" w:line="293" w:lineRule="auto"/>
        <w:rPr>
          <w:sz w:val="20"/>
          <w:szCs w:val="20"/>
          <w:color w:val="auto"/>
        </w:rPr>
      </w:pPr>
      <w:r>
        <w:rPr>
          <w:rFonts w:ascii="Arial" w:cs="Arial" w:eastAsia="Arial" w:hAnsi="Arial"/>
          <w:sz w:val="18"/>
          <w:szCs w:val="18"/>
          <w:color w:val="auto"/>
        </w:rPr>
        <w:t>Our approach to building our pipeline is to license or acquire promising cancer agents and build value in programs through development, commercialization and strategic partnerships, as appropriate.</w:t>
      </w:r>
    </w:p>
    <w:p>
      <w:pPr>
        <w:spacing w:after="0" w:line="170"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In January 2020, the World Health Organization (“WHO”) announced a global health emergency because of a new strain of coronavirus (the “COVID-19 outbreak”) and the risks to the international community. In March 2020, the WHO classified the COVID-19 outbreak as a pandemic based on the rapid increase in exposure globally. 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In addition, although the FDA authorized vaccines for the treatment of COVID-19, and although a significant portion of the U.S. population has been vaccinated, the vaccination rate of the population and the effectiveness of the vaccines, particularly with respect to the COVID-19 Delta variant, as well as other variants, continues to create uncertainty. Furthermore, the COVID-19 virus may continue to mutate into different strains, which could be more contagious or severe or for which current vaccines and treatments are not effective or available.</w:t>
      </w:r>
    </w:p>
    <w:p>
      <w:pPr>
        <w:spacing w:after="0" w:line="178"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While we continue to enroll and dose patients in our clinical trials, certain of our clinical trials have been delayed due to COVID-19 and our clinical development program timelines may continue to be subject to potential negative impacts from the ongoing pandemic in the U.S. and globally. The extent to which the ongoing pandemic continues to impact our business, including our preclinical studies, chemistry, manufacturing and controls (“CMC”) studies, manufacturing, and clinical trials, will depend on future developments, which are highly uncertain and cannot be predicted with confidence including the ultimate geographic spread of the disease, the duration of the pandemic, the effectiveness and timing of distribution of treatments and vaccines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 including vaccination rates and effectiveness.</w:t>
      </w:r>
    </w:p>
    <w:p>
      <w:pPr>
        <w:spacing w:after="0" w:line="196" w:lineRule="exact"/>
        <w:rPr>
          <w:sz w:val="20"/>
          <w:szCs w:val="20"/>
          <w:color w:val="auto"/>
        </w:rPr>
      </w:pPr>
    </w:p>
    <w:p>
      <w:pPr>
        <w:ind w:right="140" w:firstLine="509"/>
        <w:spacing w:after="0" w:line="308" w:lineRule="auto"/>
        <w:rPr>
          <w:sz w:val="20"/>
          <w:szCs w:val="20"/>
          <w:color w:val="auto"/>
        </w:rPr>
      </w:pPr>
      <w:r>
        <w:rPr>
          <w:rFonts w:ascii="Arial" w:cs="Arial" w:eastAsia="Arial" w:hAnsi="Arial"/>
          <w:sz w:val="16"/>
          <w:szCs w:val="16"/>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collection, tabulation, analysis and integrity of our study data. The COVID-19 outbreak may further increase the need for clinical trial patient monitoring and regulatory reporting of adverse effects, may impact trial data collection and recording at the clinical research sites, and may delay regulatory authority meetings, inspections, or the regulatory review of marketing or investigational applications or submissions.</w:t>
      </w:r>
    </w:p>
    <w:p>
      <w:pPr>
        <w:spacing w:after="0" w:line="163" w:lineRule="exact"/>
        <w:rPr>
          <w:sz w:val="20"/>
          <w:szCs w:val="20"/>
          <w:color w:val="auto"/>
        </w:rPr>
      </w:pPr>
    </w:p>
    <w:p>
      <w:pPr>
        <w:ind w:right="200" w:firstLine="509"/>
        <w:spacing w:after="0" w:line="272" w:lineRule="auto"/>
        <w:rPr>
          <w:sz w:val="20"/>
          <w:szCs w:val="20"/>
          <w:color w:val="auto"/>
        </w:rPr>
      </w:pPr>
      <w:r>
        <w:rPr>
          <w:rFonts w:ascii="Arial" w:cs="Arial" w:eastAsia="Arial" w:hAnsi="Arial"/>
          <w:sz w:val="18"/>
          <w:szCs w:val="18"/>
          <w:color w:val="auto"/>
        </w:rPr>
        <w:t>Not only might the continuing COVID-19 pandemic impact the conduct of our clinical trials, but it may also impact our ability to procure the necessary supply of our investigational drug products, as well as any ancillary supplies necessary for the conduct of our studies. This could happen for a variety of reasons, including manufacturing shortages or shutdowns, or a manufacturer need to prioritize other products or customers over us, including under the Defense Production Act. Third party manufacturers may also need to implement measures and changes, or deviate from typical manufacturing requirements that may otherwise adversely impact our product candidates.</w:t>
      </w:r>
    </w:p>
    <w:p>
      <w:pPr>
        <w:spacing w:after="0" w:line="19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which guidance the FDA has continually updated. In addition, the European Medicines Agency (“EMA”) as well as various country regulatory authorities (EU and UK) have issued similar guidance. We have adapted the FDA and EMA/UK guidance for study procedures, data collection, and oversight resulting from the pandemic.</w:t>
      </w:r>
    </w:p>
    <w:p>
      <w:pPr>
        <w:spacing w:after="0" w:line="19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Although the U.S, federal government has implemented various economic stimulus programs in response to the COVID-19 pandemic, none of such programs have had a material impact on our financial condition, results of operations, or liquidity.</w:t>
      </w:r>
    </w:p>
    <w:p>
      <w:pPr>
        <w:sectPr>
          <w:pgSz w:w="11900" w:h="16838" w:orient="portrait"/>
          <w:cols w:equalWidth="0" w:num="1">
            <w:col w:w="11200"/>
          </w:cols>
          <w:pgMar w:left="320" w:top="418" w:right="37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43" w:lineRule="exact"/>
        <w:rPr>
          <w:sz w:val="20"/>
          <w:szCs w:val="20"/>
          <w:color w:val="auto"/>
        </w:rPr>
      </w:pPr>
    </w:p>
    <w:p>
      <w:pPr>
        <w:ind w:right="240" w:firstLine="509"/>
        <w:spacing w:after="0" w:line="329" w:lineRule="auto"/>
        <w:rPr>
          <w:sz w:val="20"/>
          <w:szCs w:val="20"/>
          <w:color w:val="auto"/>
        </w:rPr>
      </w:pPr>
      <w:r>
        <w:rPr>
          <w:rFonts w:ascii="Arial" w:cs="Arial" w:eastAsia="Arial" w:hAnsi="Arial"/>
          <w:sz w:val="16"/>
          <w:szCs w:val="16"/>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40" w:lineRule="exact"/>
        <w:rPr>
          <w:sz w:val="20"/>
          <w:szCs w:val="20"/>
          <w:color w:val="auto"/>
        </w:rPr>
      </w:pPr>
    </w:p>
    <w:p>
      <w:pPr>
        <w:ind w:left="960" w:right="2860"/>
        <w:spacing w:after="0" w:line="275" w:lineRule="auto"/>
        <w:rPr>
          <w:sz w:val="20"/>
          <w:szCs w:val="20"/>
          <w:color w:val="auto"/>
        </w:rPr>
      </w:pPr>
      <w:r>
        <w:rPr>
          <w:rFonts w:ascii="Arial" w:cs="Arial" w:eastAsia="Arial" w:hAnsi="Arial"/>
          <w:sz w:val="18"/>
          <w:szCs w:val="18"/>
          <w:color w:val="auto"/>
        </w:rPr>
        <w:t>Zandelisib (f/k/a ME-401), an oral phosphatidylinositol 3-kinase (“PI3K”) delta inhibitor; Voruciclib, an oral cyclin-dependent kinase 9 (“CDK9”) inhibitor; ME-344, a mitochondrial inhibitor targeting the oxidative phosphorylation (“OXPHOS”) complex; and Pracinostat, an oral histone deacetylase (“HDAC”)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-18415</wp:posOffset>
            </wp:positionV>
            <wp:extent cx="6583680" cy="280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36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980" w:hanging="445"/>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 study intended to support accelerated approval marketing applications with the FDA.</w:t>
      </w:r>
    </w:p>
    <w:p>
      <w:pPr>
        <w:spacing w:after="0" w:line="23" w:lineRule="exact"/>
        <w:rPr>
          <w:rFonts w:ascii="Arial" w:cs="Arial" w:eastAsia="Arial" w:hAnsi="Arial"/>
          <w:sz w:val="18"/>
          <w:szCs w:val="18"/>
          <w:color w:val="auto"/>
        </w:rPr>
      </w:pPr>
    </w:p>
    <w:p>
      <w:pPr>
        <w:ind w:left="1980" w:hanging="445"/>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Study arm initiated under clinical collaboration with BeiGene, Ltd.</w:t>
      </w:r>
    </w:p>
    <w:p>
      <w:pPr>
        <w:spacing w:after="0" w:line="22" w:lineRule="exact"/>
        <w:rPr>
          <w:rFonts w:ascii="Arial" w:cs="Arial" w:eastAsia="Arial" w:hAnsi="Arial"/>
          <w:sz w:val="18"/>
          <w:szCs w:val="18"/>
          <w:color w:val="auto"/>
        </w:rPr>
      </w:pPr>
    </w:p>
    <w:p>
      <w:pPr>
        <w:ind w:left="1980" w:hanging="445"/>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Investigator-initiated trial.</w:t>
      </w:r>
    </w:p>
    <w:p>
      <w:pPr>
        <w:spacing w:after="0" w:line="22" w:lineRule="exact"/>
        <w:rPr>
          <w:rFonts w:ascii="Arial" w:cs="Arial" w:eastAsia="Arial" w:hAnsi="Arial"/>
          <w:sz w:val="18"/>
          <w:szCs w:val="18"/>
          <w:color w:val="auto"/>
        </w:rPr>
      </w:pPr>
    </w:p>
    <w:p>
      <w:pPr>
        <w:ind w:left="1980" w:hanging="445"/>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Initiation of clinical studies is subject to opening of a new Investigational New Drug Application ("IND") with the FDA.</w:t>
      </w:r>
    </w:p>
    <w:p>
      <w:pPr>
        <w:spacing w:after="0" w:line="238"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i w:val="1"/>
          <w:iCs w:val="1"/>
          <w:u w:val="single" w:color="auto"/>
          <w:color w:val="auto"/>
        </w:rPr>
        <w:t>Zandelisib (f/k/a ME-401): PI3Kδ Inhibitor in Multiple Trials Intended to Support Marketing Approvals in Relapsed or Refractory Follicular and Marginal Zone Lymphomas</w:t>
      </w:r>
    </w:p>
    <w:p>
      <w:pPr>
        <w:spacing w:after="0" w:line="170"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Zandelisib is an oral, once-daily, selective PI3Kδ inhibitor in clinical development for the treatment of B-cell malignancies. In March 2020, the FDA granted zandelisib Fast Track designation for the treatment of adult patients with relapsed or refractory (“r/r”) follicular lymphoma (“FL”) who have received at least two prior systemic therapies. In April 2020, we entered into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17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We are conducting multiple ongoing studies evaluating zandelisib. Our studies include TIDAL, a Phase 2 study evaluating zandelisib as a monotherapy in patients with r/r FL and marginal zone lymphoma (“MZL”) patients who have received at least two prior lines of treatment. Enrollment in the FL primary efficacy population of TIDAL completed in April 2021; enrollment of the MZL arm remains ongoing. Subject to the results, data from TIDAL is intended to support submissions for accelerated approval marketing applications with the FDA in r/r FL and MZL patients receiving at least two prior lines of treatment.</w:t>
      </w:r>
    </w:p>
    <w:p>
      <w:pPr>
        <w:spacing w:after="0" w:line="19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Also ongoing is COASTAL, a Phase 3 study evaluating zandelisib in combination with rituximab in patients with r/r FL and MZL who have received at least one prior line of treatment. COASTAL is intended to support full marketing applications in the U.S. and globally in r/r FL and MZL patients receiving at least one prior line of treatment. COASTAL is also intended (subject to FDA agreement) to act as the required confirmatory study for the potential U.S. accelerated approvals of zandelisib based on the TIDAL study.</w:t>
      </w:r>
    </w:p>
    <w:p>
      <w:pPr>
        <w:sectPr>
          <w:pgSz w:w="11900" w:h="16838" w:orient="portrait"/>
          <w:cols w:equalWidth="0" w:num="1">
            <w:col w:w="11240"/>
          </w:cols>
          <w:pgMar w:left="320" w:top="418"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20" w:firstLine="509"/>
        <w:spacing w:after="0" w:line="275" w:lineRule="auto"/>
        <w:rPr>
          <w:sz w:val="20"/>
          <w:szCs w:val="20"/>
          <w:color w:val="auto"/>
        </w:rPr>
      </w:pPr>
      <w:r>
        <w:rPr>
          <w:rFonts w:ascii="Arial" w:cs="Arial" w:eastAsia="Arial" w:hAnsi="Arial"/>
          <w:sz w:val="18"/>
          <w:szCs w:val="18"/>
          <w:color w:val="auto"/>
        </w:rPr>
        <w:t>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malignancy pursuant to our agreement with KKC.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239"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While PI3Kδ inhibitors as a group are a clinically validated class for the treatment of B-cell malignancies, the FDA approved orally administered products, idelalisib (marketed as Zydelig</w:t>
      </w:r>
      <w:r>
        <w:rPr>
          <w:rFonts w:ascii="Arial" w:cs="Arial" w:eastAsia="Arial" w:hAnsi="Arial"/>
          <w:sz w:val="24"/>
          <w:szCs w:val="24"/>
          <w:color w:val="auto"/>
          <w:vertAlign w:val="superscript"/>
        </w:rPr>
        <w:t>®</w:t>
      </w:r>
      <w:r>
        <w:rPr>
          <w:rFonts w:ascii="Arial" w:cs="Arial" w:eastAsia="Arial" w:hAnsi="Arial"/>
          <w:sz w:val="18"/>
          <w:szCs w:val="18"/>
          <w:color w:val="auto"/>
        </w:rPr>
        <w:t>), duvelisib (marketed as COPIKTRA®), umbralisib (marketed as UKONIQ™), and the intravenously administered PI3Kδ/α inhibitor copanlisib (marketed as Aliqopa</w:t>
      </w:r>
      <w:r>
        <w:rPr>
          <w:rFonts w:ascii="Arial" w:cs="Arial" w:eastAsia="Arial" w:hAnsi="Arial"/>
          <w:sz w:val="24"/>
          <w:szCs w:val="24"/>
          <w:color w:val="auto"/>
          <w:vertAlign w:val="superscript"/>
        </w:rPr>
        <w:t>®</w:t>
      </w:r>
      <w:r>
        <w:rPr>
          <w:rFonts w:ascii="Arial" w:cs="Arial" w:eastAsia="Arial" w:hAnsi="Arial"/>
          <w:sz w:val="18"/>
          <w:szCs w:val="18"/>
          <w:color w:val="auto"/>
        </w:rPr>
        <w:t>), are challenged by dose-limiting toxicities, modest efficacy and/or inconvenience of administration route. We believe this provides an opportunity for the development of a next-generation candidate with pharmaceutical properties that may better maximize the therapeutic potential of PI3Kδ inhibition by limiting toxicities and improving upon modest efficacy, which together hinder clinical utility.</w:t>
      </w:r>
    </w:p>
    <w:p>
      <w:pPr>
        <w:spacing w:after="0" w:line="219"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The molecular structure and pharmacodynamic characteristics of zandelisib are distinct from the FDA approved PI3Kδ inhibitors.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exploration of flexible dosing regimens such as an intermittent dosing schedule, which has clinically demonstrated to date the potential to maintain clinical benefit while minimizing immune-related toxicities common to other PI3Kδ agents, either as a monotherapy or in combination with other therapies.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239"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In April 2020, we entered into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70"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174"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239"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183"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There are several isoforms of PI3K that are expressed in different types of cells. The PI3Kδ isoform is at the crossroads of B-cell receptor signaling pathways that are major drivers of survival and proliferation of many B-cell malignancies. Because the δ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ectPr>
          <w:pgSz w:w="11900" w:h="16838" w:orient="portrait"/>
          <w:cols w:equalWidth="0" w:num="1">
            <w:col w:w="11240"/>
          </w:cols>
          <w:pgMar w:left="320" w:top="418"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 Overview</w:t>
      </w:r>
    </w:p>
    <w:p>
      <w:pPr>
        <w:spacing w:after="0" w:line="23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are conducting multiple ongoing studies evaluating zandelisib including TIDAL, a global Phase 2 trial evaluating patients with r/r FL and MZL with at least two prior of lines of therapy that is intended to support FDA marketing applications for accelerated approval. Also ongoing is COASTAL, a global Phase 3 study evaluating patients with r/r FL and MZL with at least one prior line of therapy that is intended to support full marketing authorization with the FDA as well as regulatory authorities globally.</w:t>
      </w:r>
    </w:p>
    <w:p>
      <w:pPr>
        <w:spacing w:after="0" w:line="18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Additionally, we are conducting a multi-arm, open-label, Phase 1b dose escalation and expansion trial as a monotherapy and in combination with other therapies in patients with FL and other B-cell malignancies. The Phase 1b trial includes an arm exploring zandelisib in combination with zanubrutinib (marketed as BRUKINSA®), an inhibitor of Bruton’s tyrosine kinase developed by BeiGene, Ltd. (“BeiGene”). This study arm completed the safety evaluation stage in patients with B-cell malignancies and has expanded into disease specific B-cell malignancy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w:t>
      </w:r>
    </w:p>
    <w:p>
      <w:pPr>
        <w:spacing w:after="0" w:line="18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Ongoing clinical trials also include Phase 1 and Phase 2 studies conducted by KKC evaluating zandelisib as a monotherapy in patients in Japan with indolent B-cell malignancies. The Phase 2 study is intended to support marketing authorization in Japan.</w:t>
      </w:r>
    </w:p>
    <w:p>
      <w:pPr>
        <w:spacing w:after="0" w:line="170" w:lineRule="exact"/>
        <w:rPr>
          <w:sz w:val="20"/>
          <w:szCs w:val="20"/>
          <w:color w:val="auto"/>
        </w:rPr>
      </w:pPr>
    </w:p>
    <w:p>
      <w:pPr>
        <w:jc w:val="both"/>
        <w:ind w:right="200" w:firstLine="509"/>
        <w:spacing w:after="0" w:line="329" w:lineRule="auto"/>
        <w:rPr>
          <w:sz w:val="20"/>
          <w:szCs w:val="20"/>
          <w:color w:val="auto"/>
        </w:rPr>
      </w:pPr>
      <w:r>
        <w:rPr>
          <w:rFonts w:ascii="Arial" w:cs="Arial" w:eastAsia="Arial" w:hAnsi="Arial"/>
          <w:sz w:val="16"/>
          <w:szCs w:val="16"/>
          <w:color w:val="auto"/>
        </w:rPr>
        <w:t>In addition to other planned clinical studies sponsored by us, such as initiation of a Phase 2 study evaluating zandelisib plus venetoclax in patients with chronic lymphocytic leukemia ("CLL"), we also plan to support select investigator-initiated studies, including one being conducted at the Cleveland Clinic evaluating zandelisib combined with standard of care in patients with newly diagnosed diffuse large B-cell lymphoma (“DLBCL”).</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Multi-arm Trial</w:t>
      </w:r>
    </w:p>
    <w:p>
      <w:pPr>
        <w:spacing w:after="0" w:line="239" w:lineRule="exact"/>
        <w:rPr>
          <w:sz w:val="20"/>
          <w:szCs w:val="20"/>
          <w:color w:val="auto"/>
        </w:rPr>
      </w:pPr>
    </w:p>
    <w:p>
      <w:pPr>
        <w:ind w:right="320" w:firstLine="509"/>
        <w:spacing w:after="0" w:line="279" w:lineRule="auto"/>
        <w:rPr>
          <w:sz w:val="20"/>
          <w:szCs w:val="20"/>
          <w:color w:val="auto"/>
        </w:rPr>
      </w:pPr>
      <w:r>
        <w:rPr>
          <w:rFonts w:ascii="Arial" w:cs="Arial" w:eastAsia="Arial" w:hAnsi="Arial"/>
          <w:sz w:val="18"/>
          <w:szCs w:val="18"/>
          <w:color w:val="auto"/>
        </w:rPr>
        <w:t>In May 2021, we reported updated data from the ongoing Phase 1b clinical trial evaluating zandelisib as a monotherapy and in combination with rituximab and zanubrutinib in patients with r/r FL and other B-cell malignancies as featured in poster discussions at the American Society of Clinical Oncology ("ASCO") 2021 annual meeting.</w:t>
      </w:r>
    </w:p>
    <w:p>
      <w:pPr>
        <w:spacing w:after="0" w:line="183"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Data were reported from 37 patients with r/r FL administered zandelisib 60 mg once daily for two 28-day cycles and then on an intermittent schedule (“IS”) of once daily dosing for the first seven days of each subsequent 28-day cycle. The objective of this data presentation was to evaluate the safety, tolerability and efficacy of zandelisib as monotherapy or in combination with rituximab in patients with FL who had disease progression within 24 months after initial chemoimmunotherapy ("POD24") or disease progression beyond 24 months ("non-POD24").</w:t>
      </w:r>
    </w:p>
    <w:p>
      <w:pPr>
        <w:spacing w:after="0" w:line="170"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The overall response rate in the 37 patients with r/r FL was 87%, with 27% achieving a complete response. The overall response rate was 78% in 18 patients administered zandelisib as a monotherapy and 95% in 19 patients administered zandelisib in combination with rituximab. The overall response rate in nine evaluable patients with CLL, previously reported separately, was 89%.</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b w:val="1"/>
                <w:bCs w:val="1"/>
                <w:color w:val="auto"/>
              </w:rPr>
              <w:t>Overall Response Rates (“ORR”)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08"/>
        </w:trPr>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POD24</w:t>
            </w:r>
          </w:p>
        </w:tc>
        <w:tc>
          <w:tcPr>
            <w:tcW w:w="180" w:type="dxa"/>
            <w:vAlign w:val="bottom"/>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Non-POD24</w:t>
            </w:r>
          </w:p>
        </w:tc>
        <w:tc>
          <w:tcPr>
            <w:tcW w:w="140" w:type="dxa"/>
            <w:vAlign w:val="bottom"/>
          </w:tcPr>
          <w:p>
            <w:pPr>
              <w:spacing w:after="0"/>
              <w:rPr>
                <w:sz w:val="24"/>
                <w:szCs w:val="24"/>
                <w:color w:val="auto"/>
              </w:rPr>
            </w:pPr>
          </w:p>
        </w:tc>
        <w:tc>
          <w:tcPr>
            <w:tcW w:w="14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Total FL</w:t>
            </w:r>
          </w:p>
        </w:tc>
      </w:tr>
      <w:tr>
        <w:trPr>
          <w:trHeight w:val="241"/>
        </w:trPr>
        <w:tc>
          <w:tcPr>
            <w:tcW w:w="2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n = 22</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 = 15</w:t>
            </w:r>
          </w:p>
        </w:tc>
        <w:tc>
          <w:tcPr>
            <w:tcW w:w="14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n = 37</w:t>
            </w:r>
          </w:p>
        </w:tc>
      </w:tr>
      <w:tr>
        <w:trPr>
          <w:trHeight w:val="256"/>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Overall response rate (ORR)</w:t>
            </w:r>
          </w:p>
        </w:tc>
        <w:tc>
          <w:tcPr>
            <w:tcW w:w="2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(93%)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(87%)</w:t>
            </w:r>
          </w:p>
        </w:tc>
      </w:tr>
      <w:tr>
        <w:trPr>
          <w:trHeight w:val="250"/>
        </w:trPr>
        <w:tc>
          <w:tcPr>
            <w:tcW w:w="2880" w:type="dxa"/>
            <w:vAlign w:val="bottom"/>
          </w:tcPr>
          <w:p>
            <w:pPr>
              <w:spacing w:after="0"/>
              <w:rPr>
                <w:sz w:val="20"/>
                <w:szCs w:val="20"/>
                <w:color w:val="auto"/>
              </w:rPr>
            </w:pPr>
            <w:r>
              <w:rPr>
                <w:rFonts w:ascii="Arial" w:cs="Arial" w:eastAsia="Arial" w:hAnsi="Arial"/>
                <w:sz w:val="18"/>
                <w:szCs w:val="18"/>
                <w:b w:val="1"/>
                <w:bCs w:val="1"/>
                <w:color w:val="auto"/>
              </w:rPr>
              <w:t>Regimen</w:t>
            </w:r>
          </w:p>
        </w:tc>
        <w:tc>
          <w:tcPr>
            <w:tcW w:w="1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28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Monotherapy</w:t>
            </w:r>
          </w:p>
        </w:tc>
        <w:tc>
          <w:tcPr>
            <w:tcW w:w="2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8/11 (73%)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(86%)</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14/18 (78%)</w:t>
            </w:r>
          </w:p>
        </w:tc>
      </w:tr>
      <w:tr>
        <w:trPr>
          <w:trHeight w:val="250"/>
        </w:trPr>
        <w:tc>
          <w:tcPr>
            <w:tcW w:w="2880" w:type="dxa"/>
            <w:vAlign w:val="bottom"/>
          </w:tcPr>
          <w:p>
            <w:pPr>
              <w:ind w:left="520"/>
              <w:spacing w:after="0"/>
              <w:rPr>
                <w:sz w:val="20"/>
                <w:szCs w:val="20"/>
                <w:color w:val="auto"/>
              </w:rPr>
            </w:pPr>
            <w:r>
              <w:rPr>
                <w:rFonts w:ascii="Arial" w:cs="Arial" w:eastAsia="Arial" w:hAnsi="Arial"/>
                <w:sz w:val="18"/>
                <w:szCs w:val="18"/>
                <w:color w:val="auto"/>
              </w:rPr>
              <w:t>Combination with rituximab</w:t>
            </w: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10/11 (91%)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 (100%)</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18/19 (95%)</w:t>
            </w:r>
          </w:p>
        </w:tc>
      </w:tr>
      <w:tr>
        <w:trPr>
          <w:trHeight w:val="263"/>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Prior lines of therapy</w:t>
            </w:r>
          </w:p>
        </w:tc>
        <w:tc>
          <w:tcPr>
            <w:tcW w:w="14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r>
      <w:tr>
        <w:trPr>
          <w:trHeight w:val="250"/>
        </w:trPr>
        <w:tc>
          <w:tcPr>
            <w:tcW w:w="2880" w:type="dxa"/>
            <w:vAlign w:val="bottom"/>
          </w:tcPr>
          <w:p>
            <w:pPr>
              <w:ind w:left="520"/>
              <w:spacing w:after="0"/>
              <w:rPr>
                <w:sz w:val="20"/>
                <w:szCs w:val="20"/>
                <w:color w:val="auto"/>
              </w:rPr>
            </w:pPr>
            <w:r>
              <w:rPr>
                <w:rFonts w:ascii="Arial" w:cs="Arial" w:eastAsia="Arial" w:hAnsi="Arial"/>
                <w:sz w:val="18"/>
                <w:szCs w:val="18"/>
                <w:color w:val="auto"/>
              </w:rPr>
              <w:t>1 prior</w:t>
            </w: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5/7 (71%)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9/9 (100%)</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14/16 (88%)</w:t>
            </w:r>
          </w:p>
        </w:tc>
      </w:tr>
      <w:tr>
        <w:trPr>
          <w:trHeight w:val="263"/>
        </w:trPr>
        <w:tc>
          <w:tcPr>
            <w:tcW w:w="28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 2 prior</w:t>
            </w:r>
          </w:p>
        </w:tc>
        <w:tc>
          <w:tcPr>
            <w:tcW w:w="2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13/15 (87%)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 (83%)</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18/21 (86%)</w:t>
            </w:r>
          </w:p>
        </w:tc>
      </w:tr>
      <w:tr>
        <w:trPr>
          <w:trHeight w:val="256"/>
        </w:trPr>
        <w:tc>
          <w:tcPr>
            <w:tcW w:w="2880" w:type="dxa"/>
            <w:vAlign w:val="bottom"/>
          </w:tcPr>
          <w:p>
            <w:pPr>
              <w:spacing w:after="0"/>
              <w:rPr>
                <w:sz w:val="22"/>
                <w:szCs w:val="22"/>
                <w:color w:val="auto"/>
              </w:rPr>
            </w:pPr>
          </w:p>
        </w:tc>
        <w:tc>
          <w:tcPr>
            <w:tcW w:w="2900" w:type="dxa"/>
            <w:vAlign w:val="bottom"/>
            <w:gridSpan w:val="3"/>
          </w:tcPr>
          <w:p>
            <w:pPr>
              <w:spacing w:after="0"/>
              <w:rPr>
                <w:sz w:val="22"/>
                <w:szCs w:val="22"/>
                <w:color w:val="auto"/>
              </w:rPr>
            </w:pPr>
          </w:p>
        </w:tc>
        <w:tc>
          <w:tcPr>
            <w:tcW w:w="1620" w:type="dxa"/>
            <w:vAlign w:val="bottom"/>
            <w:gridSpan w:val="2"/>
          </w:tcPr>
          <w:p>
            <w:pPr>
              <w:spacing w:after="0"/>
              <w:rPr>
                <w:sz w:val="22"/>
                <w:szCs w:val="22"/>
                <w:color w:val="auto"/>
              </w:rPr>
            </w:pPr>
          </w:p>
        </w:tc>
        <w:tc>
          <w:tcPr>
            <w:tcW w:w="1580" w:type="dxa"/>
            <w:vAlign w:val="bottom"/>
            <w:gridSpan w:val="3"/>
          </w:tcPr>
          <w:p>
            <w:pPr>
              <w:spacing w:after="0"/>
              <w:rPr>
                <w:sz w:val="22"/>
                <w:szCs w:val="22"/>
                <w:color w:val="auto"/>
              </w:rPr>
            </w:pPr>
          </w:p>
        </w:tc>
      </w:tr>
      <w:tr>
        <w:trPr>
          <w:trHeight w:val="256"/>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 rate, n (%)</w:t>
            </w:r>
          </w:p>
        </w:tc>
        <w:tc>
          <w:tcPr>
            <w:tcW w:w="2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 (18%)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(40%)</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 (27%)</w:t>
            </w:r>
          </w:p>
        </w:tc>
      </w:tr>
    </w:tbl>
    <w:p>
      <w:pPr>
        <w:spacing w:after="0" w:line="207"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Median duration of response in the 37 patients with FL, as reported in a poster presentation at the 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International Conference on Malignant Lymphoma, has not yet been reached, and median follow-up was 16.9 months (range: 1.2 to 33.1 months). Responses appeared durable across patient subsets analyzed (prior lines of therapy (1 vs ≥ 2), treatment group (i.e., monotherapy or in combination with rituximab) or tumor bulk (&lt; 5 cm vs ≥5 cm)).</w:t>
      </w:r>
    </w:p>
    <w:p>
      <w:pPr>
        <w:sectPr>
          <w:pgSz w:w="11900" w:h="16838" w:orient="portrait"/>
          <w:cols w:equalWidth="0" w:num="1">
            <w:col w:w="11240"/>
          </w:cols>
          <w:pgMar w:left="320" w:top="418"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Duration of Response: Follicular Lymphoma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163195</wp:posOffset>
            </wp:positionV>
            <wp:extent cx="2743200" cy="1954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Zandelisib was generally well-tolerated. The rate of drug related grade 3 Adverse Events of Special Interest (“AESI”) in the 37 patients with r/r FL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 diarrhea 5% (2/37); colitis 5% (2/37); rash 8% (3/37); alanine aminotransferase (“ALT”)/ aspartate aminotransferase (“AST”) elevation 8% (3/37);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discontinuation rate due to adverse events was 8% (3/37).</w:t>
      </w:r>
    </w:p>
    <w:p>
      <w:pPr>
        <w:spacing w:after="0" w:line="238"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Data from the arm of the Phase 1b study evaluating 20 patients receiving zandelisib in combination with zanubrutinib was also reported in a poster session at the ASCO 2021 Annual Meeting. In this arm of the study two treatment dosing regimens were explored: Group A received zandelisib 60 mg, oral, daily continuously for eight weeks followed by days 1-7 of each subsequent 28-day cycle, and zanubrutinib, 160 mg oral, twice daily; Group B received zandelisib 60 mg, oral, daily on days 1-7 of each 28-day cycle starting Cycle 1 and zanubrutinib 80 mg, oral, twice daily. Group A enrolled a total of seven patients: one FL, three CLL, one MZL, one mantle cell lymphoma ("MCL"), and one diffuse large B-cell lymphoma/high grade B-cell lymphoma ("DLBCL/HGBCL"). Group B enrolled a total of 13 patients: seven FL, two CLL, one MZL, and three DLBCL/HGBCL. Treatment was continued until disease progression, intolerance or withdrawal of consent.</w:t>
      </w:r>
    </w:p>
    <w:p>
      <w:pPr>
        <w:spacing w:after="0" w:line="181"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The overall response rate in all evaluable patients with r/r indolent B-cell malignancies and CLL was 100%. No response was noted in the two patients with DLBCL/HGBCL. Responses were durable with median follow up for all patients was 6.6 months (0.6 to 21.3 months) with the majority of responders still on treatment.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w w:val="96"/>
              </w:rPr>
              <w:t>Overall Response Rate</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920" w:type="dxa"/>
            <w:vAlign w:val="bottom"/>
          </w:tcPr>
          <w:p>
            <w:pPr>
              <w:ind w:left="580"/>
              <w:spacing w:after="0"/>
              <w:rPr>
                <w:sz w:val="20"/>
                <w:szCs w:val="20"/>
                <w:color w:val="auto"/>
              </w:rPr>
            </w:pPr>
            <w:r>
              <w:rPr>
                <w:rFonts w:ascii="Arial" w:cs="Arial" w:eastAsia="Arial" w:hAnsi="Arial"/>
                <w:sz w:val="18"/>
                <w:szCs w:val="18"/>
                <w:b w:val="1"/>
                <w:bCs w:val="1"/>
                <w:color w:val="auto"/>
              </w:rPr>
              <w:t>Evaluable</w:t>
            </w: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FL</w:t>
            </w:r>
          </w:p>
        </w:tc>
        <w:tc>
          <w:tcPr>
            <w:tcW w:w="2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CLL/SLL</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MZL</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MCL</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DLBCL/HGBCL</w:t>
            </w:r>
          </w:p>
        </w:tc>
      </w:tr>
      <w:tr>
        <w:trPr>
          <w:trHeight w:val="241"/>
        </w:trPr>
        <w:tc>
          <w:tcPr>
            <w:tcW w:w="19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n = 18</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8)</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5)</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2)</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1)</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2)</w:t>
            </w:r>
          </w:p>
        </w:tc>
      </w:tr>
      <w:tr>
        <w:trPr>
          <w:trHeight w:val="257"/>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ORR*, n (%)</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3"/>
              </w:rPr>
              <w:t>8 (100%)</w:t>
            </w:r>
          </w:p>
        </w:tc>
        <w:tc>
          <w:tcPr>
            <w:tcW w:w="19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0"/>
              </w:rPr>
              <w:t>5 (100%)</w:t>
            </w:r>
          </w:p>
        </w:tc>
        <w:tc>
          <w:tcPr>
            <w:tcW w:w="18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3"/>
              </w:rPr>
              <w:t>2 (100%)</w:t>
            </w:r>
          </w:p>
        </w:tc>
        <w:tc>
          <w:tcPr>
            <w:tcW w:w="18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3"/>
              </w:rPr>
              <w:t>1 (100%)</w:t>
            </w:r>
          </w:p>
        </w:tc>
        <w:tc>
          <w:tcPr>
            <w:tcW w:w="18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0 (0%)</w:t>
            </w:r>
          </w:p>
        </w:tc>
      </w:tr>
      <w:tr>
        <w:trPr>
          <w:trHeight w:val="250"/>
        </w:trPr>
        <w:tc>
          <w:tcPr>
            <w:tcW w:w="1920" w:type="dxa"/>
            <w:vAlign w:val="bottom"/>
          </w:tcPr>
          <w:p>
            <w:pPr>
              <w:ind w:left="20"/>
              <w:spacing w:after="0"/>
              <w:rPr>
                <w:sz w:val="20"/>
                <w:szCs w:val="20"/>
                <w:color w:val="auto"/>
              </w:rPr>
            </w:pPr>
            <w:r>
              <w:rPr>
                <w:rFonts w:ascii="Arial" w:cs="Arial" w:eastAsia="Arial" w:hAnsi="Arial"/>
                <w:sz w:val="18"/>
                <w:szCs w:val="18"/>
                <w:color w:val="auto"/>
              </w:rPr>
              <w:t>Group A</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 (100%)</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 (100%)</w:t>
            </w:r>
          </w:p>
        </w:tc>
        <w:tc>
          <w:tcPr>
            <w:tcW w:w="184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1 (100%)</w:t>
            </w:r>
          </w:p>
        </w:tc>
        <w:tc>
          <w:tcPr>
            <w:tcW w:w="186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1 (100%)</w:t>
            </w:r>
          </w:p>
        </w:tc>
        <w:tc>
          <w:tcPr>
            <w:tcW w:w="184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0 (0%)</w:t>
            </w:r>
          </w:p>
        </w:tc>
      </w:tr>
      <w:tr>
        <w:trPr>
          <w:trHeight w:val="263"/>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Group B</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3"/>
              </w:rPr>
              <w:t>7 (100%)</w:t>
            </w:r>
          </w:p>
        </w:tc>
        <w:tc>
          <w:tcPr>
            <w:tcW w:w="19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0"/>
              </w:rPr>
              <w:t>2 (100%)</w:t>
            </w:r>
          </w:p>
        </w:tc>
        <w:tc>
          <w:tcPr>
            <w:tcW w:w="18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3"/>
              </w:rPr>
              <w:t>1 (100%)</w:t>
            </w:r>
          </w:p>
        </w:tc>
        <w:tc>
          <w:tcPr>
            <w:tcW w:w="18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0 (0%)</w:t>
            </w:r>
          </w:p>
        </w:tc>
        <w:tc>
          <w:tcPr>
            <w:tcW w:w="18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0 (0%)</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*CR/CRi in two of eight patients with FL (25%) and in two of five patients with CLL (40%).</w:t>
      </w:r>
    </w:p>
    <w:p>
      <w:pPr>
        <w:spacing w:after="0" w:line="131"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Imaging scans were taken at months 3, 7, 13, and then every six months until disease progression. Response reported based on Lugano criteria and International Workshop on Chronic Lymphocytic Leukemia ("iwCLL"). Two of 20 patients (one in DLBCL and one in HGBCL) did not have on-therapy scans. One patient had clinical progressive disease ("PD") and one patient had adverse events ("AE") due to prior therapy and discontinued early. Median follow-up time was 6.6 months for all patients (range 0.6 to 21.3 months), 3.6 months for Group A (range 0.6 to 21.3 months), and 6.6 months for Group B (range 1.9 to 14.1 months).</w:t>
      </w:r>
    </w:p>
    <w:p>
      <w:pPr>
        <w:spacing w:after="0" w:line="19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Group B, which received zandelisib 60 mg orally, daily on days 1-7 of each 28-day cycle starting Cycle 1 and zanubrutinib 80 mg, orally, twice daily, was well tolerated across the various B-cell malignancies in the completed part of the study. The combination administered on the optimized, Group B, dosing regimen did not result in additive toxicity to each agent alone. One of the two patients with Grade 3 AST/ALT increases in Group B was successfully retreated and continued therapy.</w:t>
      </w:r>
    </w:p>
    <w:p>
      <w:pPr>
        <w:sectPr>
          <w:pgSz w:w="11900" w:h="16838" w:orient="portrait"/>
          <w:cols w:equalWidth="0" w:num="1">
            <w:col w:w="11240"/>
          </w:cols>
          <w:pgMar w:left="320" w:top="418"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77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w w:val="96"/>
              </w:rPr>
              <w:t>Treatment-Emergent Adverse Events of Special Interest</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8"/>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Group A</w:t>
            </w:r>
          </w:p>
        </w:tc>
        <w:tc>
          <w:tcPr>
            <w:tcW w:w="3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4"/>
              </w:rPr>
              <w:t>Group B</w:t>
            </w:r>
          </w:p>
        </w:tc>
      </w:tr>
      <w:tr>
        <w:trPr>
          <w:trHeight w:val="241"/>
        </w:trPr>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Grade 3-4 AESI, n (%)</w:t>
            </w:r>
          </w:p>
        </w:tc>
        <w:tc>
          <w:tcPr>
            <w:tcW w:w="340" w:type="dxa"/>
            <w:vAlign w:val="bottom"/>
          </w:tcPr>
          <w:p>
            <w:pPr>
              <w:spacing w:after="0"/>
              <w:rPr>
                <w:sz w:val="20"/>
                <w:szCs w:val="20"/>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(n = 7)</w:t>
            </w:r>
          </w:p>
        </w:tc>
        <w:tc>
          <w:tcPr>
            <w:tcW w:w="32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 = 13)</w:t>
            </w:r>
          </w:p>
        </w:tc>
      </w:tr>
      <w:tr>
        <w:trPr>
          <w:trHeight w:val="256"/>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ALT / ALT increased</w:t>
            </w:r>
          </w:p>
        </w:tc>
        <w:tc>
          <w:tcPr>
            <w:tcW w:w="3320" w:type="dxa"/>
            <w:vAlign w:val="bottom"/>
            <w:gridSpan w:val="3"/>
            <w:shd w:val="clear" w:color="auto" w:fill="CFF0FC"/>
          </w:tcPr>
          <w:p>
            <w:pPr>
              <w:jc w:val="center"/>
              <w:ind w:left="250"/>
              <w:spacing w:after="0"/>
              <w:rPr>
                <w:sz w:val="20"/>
                <w:szCs w:val="20"/>
                <w:color w:val="auto"/>
              </w:rPr>
            </w:pPr>
            <w:r>
              <w:rPr>
                <w:rFonts w:ascii="Arial" w:cs="Arial" w:eastAsia="Arial" w:hAnsi="Arial"/>
                <w:sz w:val="18"/>
                <w:szCs w:val="18"/>
                <w:color w:val="auto"/>
                <w:w w:val="91"/>
              </w:rPr>
              <w:t>2 (29%)</w:t>
            </w:r>
          </w:p>
        </w:tc>
        <w:tc>
          <w:tcPr>
            <w:tcW w:w="330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1"/>
              </w:rPr>
              <w:t>2 (15%)</w:t>
            </w:r>
          </w:p>
        </w:tc>
      </w:tr>
      <w:tr>
        <w:trPr>
          <w:trHeight w:val="25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Rash</w:t>
            </w:r>
          </w:p>
        </w:tc>
        <w:tc>
          <w:tcPr>
            <w:tcW w:w="332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1 (14%)</w:t>
            </w:r>
          </w:p>
        </w:tc>
        <w:tc>
          <w:tcPr>
            <w:tcW w:w="330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0 (0%)</w:t>
            </w:r>
          </w:p>
        </w:tc>
      </w:tr>
      <w:tr>
        <w:trPr>
          <w:trHeight w:val="263"/>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CMV colitis</w:t>
            </w:r>
          </w:p>
        </w:tc>
        <w:tc>
          <w:tcPr>
            <w:tcW w:w="3320" w:type="dxa"/>
            <w:vAlign w:val="bottom"/>
            <w:gridSpan w:val="3"/>
            <w:shd w:val="clear" w:color="auto" w:fill="CFF0FC"/>
          </w:tcPr>
          <w:p>
            <w:pPr>
              <w:jc w:val="center"/>
              <w:ind w:left="250"/>
              <w:spacing w:after="0"/>
              <w:rPr>
                <w:sz w:val="20"/>
                <w:szCs w:val="20"/>
                <w:color w:val="auto"/>
              </w:rPr>
            </w:pPr>
            <w:r>
              <w:rPr>
                <w:rFonts w:ascii="Arial" w:cs="Arial" w:eastAsia="Arial" w:hAnsi="Arial"/>
                <w:sz w:val="18"/>
                <w:szCs w:val="18"/>
                <w:color w:val="auto"/>
                <w:w w:val="91"/>
              </w:rPr>
              <w:t>1 (14%)</w:t>
            </w:r>
          </w:p>
        </w:tc>
        <w:tc>
          <w:tcPr>
            <w:tcW w:w="330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4"/>
              </w:rPr>
              <w:t>0 (0%)</w:t>
            </w:r>
          </w:p>
        </w:tc>
      </w:tr>
      <w:tr>
        <w:trPr>
          <w:trHeight w:val="25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Pneumonia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ind w:left="20"/>
              <w:spacing w:after="0"/>
              <w:rPr>
                <w:sz w:val="20"/>
                <w:szCs w:val="20"/>
                <w:color w:val="auto"/>
              </w:rPr>
            </w:pPr>
            <w:r>
              <w:rPr>
                <w:rFonts w:ascii="Arial" w:cs="Arial" w:eastAsia="Arial" w:hAnsi="Arial"/>
                <w:sz w:val="18"/>
                <w:szCs w:val="18"/>
                <w:color w:val="auto"/>
              </w:rPr>
              <w:t>(14%)</w:t>
            </w:r>
          </w:p>
        </w:tc>
        <w:tc>
          <w:tcPr>
            <w:tcW w:w="330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0 (0%)</w:t>
            </w:r>
          </w:p>
        </w:tc>
      </w:tr>
      <w:tr>
        <w:trPr>
          <w:trHeight w:val="263"/>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Diarrhea</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(0%)</w:t>
            </w:r>
          </w:p>
        </w:tc>
        <w:tc>
          <w:tcPr>
            <w:tcW w:w="330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4"/>
              </w:rPr>
              <w:t>0 (0%)</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Atrial fibrillation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20" w:type="dxa"/>
            <w:vAlign w:val="bottom"/>
          </w:tcPr>
          <w:p>
            <w:pPr>
              <w:ind w:left="20"/>
              <w:spacing w:after="0"/>
              <w:rPr>
                <w:sz w:val="20"/>
                <w:szCs w:val="20"/>
                <w:color w:val="auto"/>
              </w:rPr>
            </w:pPr>
            <w:r>
              <w:rPr>
                <w:rFonts w:ascii="Arial" w:cs="Arial" w:eastAsia="Arial" w:hAnsi="Arial"/>
                <w:sz w:val="18"/>
                <w:szCs w:val="18"/>
                <w:color w:val="auto"/>
              </w:rPr>
              <w:t>(0%)</w:t>
            </w:r>
          </w:p>
        </w:tc>
        <w:tc>
          <w:tcPr>
            <w:tcW w:w="330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0 (0%)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1 DLBCL patient had several Grade 3 AEs on Day 1 attributed to prior therapy and discontinued treatment on Day 17.</w:t>
      </w:r>
    </w:p>
    <w:p>
      <w:pPr>
        <w:spacing w:after="0" w:line="239" w:lineRule="exact"/>
        <w:rPr>
          <w:sz w:val="20"/>
          <w:szCs w:val="20"/>
          <w:color w:val="auto"/>
        </w:rPr>
      </w:pPr>
    </w:p>
    <w:p>
      <w:pPr>
        <w:ind w:right="680" w:firstLine="509"/>
        <w:spacing w:after="0" w:line="293" w:lineRule="auto"/>
        <w:rPr>
          <w:sz w:val="20"/>
          <w:szCs w:val="20"/>
          <w:color w:val="auto"/>
        </w:rPr>
      </w:pPr>
      <w:r>
        <w:rPr>
          <w:rFonts w:ascii="Arial" w:cs="Arial" w:eastAsia="Arial" w:hAnsi="Arial"/>
          <w:sz w:val="18"/>
          <w:szCs w:val="18"/>
          <w:color w:val="auto"/>
        </w:rPr>
        <w:t>The Phase 1b study is continuing to enroll expansion cohorts in r/r FL and r/r MCL to further evaluate the combination of zandelisib 60 mg administered on days 1-7 starting Cycle 1 and zanubrutinib administered at 80 mg twice daily.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TIDAL: </w:t>
      </w:r>
      <w:r>
        <w:rPr>
          <w:rFonts w:ascii="Arial" w:cs="Arial" w:eastAsia="Arial" w:hAnsi="Arial"/>
          <w:sz w:val="18"/>
          <w:szCs w:val="18"/>
          <w:i w:val="1"/>
          <w:iCs w:val="1"/>
          <w:color w:val="auto"/>
        </w:rPr>
        <w:t>A Phase 2 Trial Intended to Support Accelerated Approval of Marketing Applications</w:t>
      </w:r>
    </w:p>
    <w:p>
      <w:pPr>
        <w:spacing w:after="0" w:line="239"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TIDAL is a global Phase 2 trial evaluating zandelisib as a monotherapy across two study arms: the first study arm for the treatment of adults with r/r FL and the second study arm for r/r MZL, in both cases after failure of at least two prior systemic therapies including chemotherapy and an anti-CD20 antibody. Subject to the results and discussions with the FDA, data from each study arm are intended to be submitted to the FDA to support marketing applications for accelerated approval. The study is evaluating zandelisib administered once daily at 60 mg for two 28-day cycles and then on an intermittent schedule of once daily dosing for the first seven days of each subsequent 28-day cycle (i.e., IS). The primary efficacy endpoint will be the rate of objective responses to therapy and other endpoints will include duration of response and tolerability of zandelisib. The primary efficacy population sample size for r/r FL is 91 patients and the primary efficacy population sample size for r/r MZL is 64 patients. Total study enrollment in the FL arm will be 120 patients to provide additional safety data for the registration application. Enrollment of the FL arm of the TIDAL study is complete.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COASTAL: A Phase 3 Trial Intended to Support Full FDA and Global Marketing Authorizations</w:t>
      </w:r>
    </w:p>
    <w:p>
      <w:pPr>
        <w:spacing w:after="0" w:line="239"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COASTAL is a global, randomized, two-arm Phase 3 trial comparing zandelisib plus rituximab to standard of care chemotherapy plus rituximab, in patients with r/r FL or MZL who received at least one prior line of therapy, which must have included an anti-CD20 antibody in combination with chemotherapy or lenalidomide. COASTAL is expected to enroll 534 patients. Zandelisib will be administered once daily for two 28-day cycles followed by an intermittent schedule of once daily dosing for seven days of each subsequent 28-day cycle for a total of 24 months, in combination with rituximab (R) in the first six months only. The control arm will consist of six cycles of the standard chemoimmunotherapy regimens R-CHOP or R-bendamustine. The primary efficacy endpoint is progression-free survival; secondary endpoints include overall response rate, overall survival, patient reported outcomes assessments, and safety and tolerability.</w:t>
      </w:r>
    </w:p>
    <w:p>
      <w:pPr>
        <w:spacing w:after="0" w:line="19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COASTAL is intended to support full marketing applications in the U.S. and globally in r/r FL and MZL patients who have received at least one prior line of treatment. COASTAL is also intended (subject to FDA agreement) to act as the required confirmatory study for the potential U.S. accelerated approval of zandelisib based on the ongoing Phase 2 TIDAL study evaluating patients with r/r FL and MZL patients who have received two or more prior lines of treatment.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TIDAL and COASTAL Studies</w:t>
      </w:r>
    </w:p>
    <w:p>
      <w:pPr>
        <w:spacing w:after="0" w:line="239"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color w:val="auto"/>
        </w:rPr>
        <w:t>The extent to which the COVID-19 pandemic will impact the progress of the zandelisib development program, including the enrollment and completion of the COASTAL and TIDAL studies, is subject to future developments, which are highly uncertain and cannot be predicted with confidence. Currently, we believe that the integrity of the program and individual studies remains intact; however, the pandemic did have a negative impact on the rate of enrollment in the TIDAL study. The development program remains ongoing and is continuing to enroll patients, although enrollment may potentially occur at a reduced rate. Topline data from the Phase 2 TIDAL study is expected in the fourth calendar quarter of 2021. We will continue to closely monitor for potential negative impacts on the development program related to the ongoing COVID-19 pandemic. We will also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Voruciclib: CDK Inhibitor with CDK9 Inhibition in Phase 1 Studies</w:t>
      </w:r>
    </w:p>
    <w:p>
      <w:pPr>
        <w:spacing w:after="0" w:line="239"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Voruciclib is an orally administered CDK inhibitor differentiated by its potent in vitro inhibition of CDK9 in addition to CDK6, 4 and 1.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directly inhibit KRAS as well as other targets in the RAS signaling pathway.</w:t>
      </w:r>
    </w:p>
    <w:p>
      <w:pPr>
        <w:sectPr>
          <w:pgSz w:w="11900" w:h="16838" w:orient="portrait"/>
          <w:cols w:equalWidth="0" w:num="1">
            <w:col w:w="11240"/>
          </w:cols>
          <w:pgMar w:left="320" w:top="40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31" w:lineRule="exact"/>
        <w:rPr>
          <w:sz w:val="20"/>
          <w:szCs w:val="20"/>
          <w:color w:val="auto"/>
        </w:rPr>
      </w:pPr>
    </w:p>
    <w:p>
      <w:pPr>
        <w:ind w:left="960"/>
        <w:spacing w:after="0" w:line="291" w:lineRule="auto"/>
        <w:rPr>
          <w:sz w:val="20"/>
          <w:szCs w:val="20"/>
          <w:color w:val="auto"/>
        </w:rPr>
      </w:pPr>
      <w:r>
        <w:rPr>
          <w:rFonts w:ascii="Arial" w:cs="Arial" w:eastAsia="Arial" w:hAnsi="Arial"/>
          <w:sz w:val="17"/>
          <w:szCs w:val="17"/>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ind w:left="960" w:right="40"/>
        <w:spacing w:after="0" w:line="319" w:lineRule="auto"/>
        <w:rPr>
          <w:sz w:val="20"/>
          <w:szCs w:val="20"/>
          <w:color w:val="auto"/>
        </w:rPr>
      </w:pPr>
      <w:r>
        <w:rPr>
          <w:rFonts w:ascii="Arial" w:cs="Arial" w:eastAsia="Arial" w:hAnsi="Arial"/>
          <w:sz w:val="16"/>
          <w:szCs w:val="16"/>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MCL1</w:t>
      </w:r>
    </w:p>
    <w:p>
      <w:pPr>
        <w:spacing w:after="0" w:line="239" w:lineRule="exact"/>
        <w:rPr>
          <w:sz w:val="20"/>
          <w:szCs w:val="20"/>
          <w:color w:val="auto"/>
        </w:rPr>
      </w:pPr>
    </w:p>
    <w:p>
      <w:pPr>
        <w:ind w:right="160" w:firstLine="509"/>
        <w:spacing w:after="0" w:line="329" w:lineRule="auto"/>
        <w:rPr>
          <w:sz w:val="20"/>
          <w:szCs w:val="20"/>
          <w:color w:val="auto"/>
        </w:rPr>
      </w:pPr>
      <w:r>
        <w:rPr>
          <w:rFonts w:ascii="Arial" w:cs="Arial" w:eastAsia="Arial" w:hAnsi="Arial"/>
          <w:sz w:val="16"/>
          <w:szCs w:val="16"/>
          <w:color w:val="auto"/>
        </w:rPr>
        <w:t xml:space="preserve">In pre-clinical studies voruciclib shows dose-dependent suppression of MCL1; in December 2017, a study of voruciclib published in the journal </w:t>
      </w:r>
      <w:r>
        <w:rPr>
          <w:rFonts w:ascii="Arial" w:cs="Arial" w:eastAsia="Arial" w:hAnsi="Arial"/>
          <w:sz w:val="16"/>
          <w:szCs w:val="16"/>
          <w:i w:val="1"/>
          <w:iCs w:val="1"/>
          <w:color w:val="auto"/>
        </w:rPr>
        <w:t xml:space="preserve">Nature Scientific Reports </w:t>
      </w:r>
      <w:r>
        <w:rPr>
          <w:rFonts w:ascii="Arial" w:cs="Arial" w:eastAsia="Arial" w:hAnsi="Arial"/>
          <w:sz w:val="16"/>
          <w:szCs w:val="16"/>
          <w:color w:val="auto"/>
        </w:rPr>
        <w:t>reported that the combination of voruciclib plus the BCL-2 inhibitor venetoclax was capable of inhibiting two master regulators</w:t>
      </w:r>
      <w:r>
        <w:rPr>
          <w:rFonts w:ascii="Arial" w:cs="Arial" w:eastAsia="Arial" w:hAnsi="Arial"/>
          <w:sz w:val="16"/>
          <w:szCs w:val="16"/>
          <w:i w:val="1"/>
          <w:iCs w:val="1"/>
          <w:color w:val="auto"/>
        </w:rPr>
        <w:t xml:space="preserve"> </w:t>
      </w:r>
      <w:r>
        <w:rPr>
          <w:rFonts w:ascii="Arial" w:cs="Arial" w:eastAsia="Arial" w:hAnsi="Arial"/>
          <w:sz w:val="16"/>
          <w:szCs w:val="16"/>
          <w:color w:val="auto"/>
        </w:rPr>
        <w:t>of cell survival, MCL-1 and BCL-2, and achieved synergistic antitumor effect in an aggressive subset of DLBCL pre-clinical models.</w:t>
      </w:r>
    </w:p>
    <w:p>
      <w:pPr>
        <w:spacing w:after="0" w:line="148"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Additionally, a peer reviewed manuscript published in 2020 by Luedtke et al, concluded that the inhibition of CDK9 by voruciclib synergistically enhances cell death induced by the Bcl-2 selective inhibitor venetoclax in preclinical models of acute myeloid leukemia.</w:t>
      </w:r>
    </w:p>
    <w:p>
      <w:pPr>
        <w:spacing w:after="0" w:line="170"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research presented suggests that voruciclib could be an attractive therapeutic target for treating cancers in combination with venetoclax or other BCL-2 inhibitors.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MYC</w:t>
      </w:r>
    </w:p>
    <w:p>
      <w:pPr>
        <w:spacing w:after="0" w:line="239"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KRAS mutated cancers are frequently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in a rapid decrease in the phosphorylation of proteins that promote MYC transcription;</w:t>
      </w:r>
    </w:p>
    <w:p>
      <w:pPr>
        <w:spacing w:after="0" w:line="23" w:lineRule="exact"/>
        <w:rPr>
          <w:sz w:val="20"/>
          <w:szCs w:val="20"/>
          <w:color w:val="auto"/>
        </w:rPr>
      </w:pPr>
    </w:p>
    <w:p>
      <w:pPr>
        <w:ind w:left="960" w:right="1260"/>
        <w:spacing w:after="0" w:line="281" w:lineRule="auto"/>
        <w:rPr>
          <w:sz w:val="20"/>
          <w:szCs w:val="20"/>
          <w:color w:val="auto"/>
        </w:rPr>
      </w:pPr>
      <w:r>
        <w:rPr>
          <w:rFonts w:ascii="Arial" w:cs="Arial" w:eastAsia="Arial" w:hAnsi="Arial"/>
          <w:sz w:val="17"/>
          <w:szCs w:val="17"/>
          <w:color w:val="auto"/>
        </w:rPr>
        <w:t xml:space="preserve">Rapidly decreases phosphorylation of MYC protein on Ser62, a site implicated in stabilizing MYC in KRAS mutant cancers; Possesses single agent activity against multiple KRAS mutant cancer cell lines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Synergistically inhibits KRAS G12C mutant cancer cell lines in combination with KRAS G12C inhibitors,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research presented suggests that voruciclib could be an attractive therapeutic target for cancers driven by KRAS mutations.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2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 refractory B-cell malignancies and AML after failure of prior standard therapies to determine the safety, preliminary efficacy and maximum tolerated dose. Once initial dose levels and schedules have been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191" w:lineRule="exact"/>
        <w:rPr>
          <w:sz w:val="20"/>
          <w:szCs w:val="20"/>
          <w:color w:val="auto"/>
        </w:rPr>
      </w:pPr>
    </w:p>
    <w:p>
      <w:pPr>
        <w:ind w:right="220" w:firstLine="509"/>
        <w:spacing w:after="0" w:line="319" w:lineRule="auto"/>
        <w:rPr>
          <w:sz w:val="20"/>
          <w:szCs w:val="20"/>
          <w:color w:val="auto"/>
        </w:rPr>
      </w:pPr>
      <w:r>
        <w:rPr>
          <w:rFonts w:ascii="Arial" w:cs="Arial" w:eastAsia="Arial" w:hAnsi="Arial"/>
          <w:sz w:val="16"/>
          <w:szCs w:val="16"/>
          <w:color w:val="auto"/>
        </w:rPr>
        <w:t>Preliminary data to date from the Phase 1b study evaluating voruciclib as a monotherapy at the doses studied demonstrates that voruciclib has not been associated with drug related gastrointestinal toxicity or neutropenia. Also, favorable pharmacokinetics have been observed, including a half-life supporting once-a-day oral dosing and dose proportional C-max. Our projections suggest that doses of 150-200 mg may be sufficient to achieve plasma concentrations sufficient to inhibit the molecular target. Early signs of biological activity have also been observed in patients with AML.</w:t>
      </w:r>
    </w:p>
    <w:p>
      <w:pPr>
        <w:spacing w:after="0" w:line="156" w:lineRule="exact"/>
        <w:rPr>
          <w:sz w:val="20"/>
          <w:szCs w:val="20"/>
          <w:color w:val="auto"/>
        </w:rPr>
      </w:pPr>
    </w:p>
    <w:p>
      <w:pPr>
        <w:ind w:right="340" w:firstLine="509"/>
        <w:spacing w:after="0" w:line="303" w:lineRule="auto"/>
        <w:rPr>
          <w:sz w:val="20"/>
          <w:szCs w:val="20"/>
          <w:color w:val="auto"/>
        </w:rPr>
      </w:pPr>
      <w:r>
        <w:rPr>
          <w:rFonts w:ascii="Arial" w:cs="Arial" w:eastAsia="Arial" w:hAnsi="Arial"/>
          <w:sz w:val="17"/>
          <w:szCs w:val="17"/>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w:t>
      </w:r>
    </w:p>
    <w:p>
      <w:pPr>
        <w:sectPr>
          <w:pgSz w:w="11900" w:h="16838" w:orient="portrait"/>
          <w:cols w:equalWidth="0" w:num="1">
            <w:col w:w="11220"/>
          </w:cols>
          <w:pgMar w:left="320" w:top="418" w:right="359" w:bottom="1440" w:gutter="0" w:footer="0" w:header="0"/>
        </w:sectPr>
      </w:pP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BRAF mutated advanced/inoperable malignant melanoma. Three of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239"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23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 xml:space="preserve">ME-344 is our novel and tumor selective, isoflavone-derived mitochondrial inhibitor drug candidate. It directly targets the OXPHOS complex 1, a pathway involved in adenosine triphosphate ("ATP") production in the mitochondria. ME-344 was studied in an investigator-initiated, multi-center, randomized clinical trial in combination with the vascular endothelial growth factor (“VEGF”) inhibitor bevacizumab (marketed as Avastin </w:t>
      </w:r>
      <w:r>
        <w:rPr>
          <w:rFonts w:ascii="Arial" w:cs="Arial" w:eastAsia="Arial" w:hAnsi="Arial"/>
          <w:sz w:val="24"/>
          <w:szCs w:val="24"/>
          <w:color w:val="auto"/>
          <w:vertAlign w:val="superscript"/>
        </w:rPr>
        <w:t>®</w:t>
      </w:r>
      <w:r>
        <w:rPr>
          <w:rFonts w:ascii="Arial" w:cs="Arial" w:eastAsia="Arial" w:hAnsi="Arial"/>
          <w:sz w:val="18"/>
          <w:szCs w:val="18"/>
          <w:color w:val="auto"/>
        </w:rPr>
        <w:t>) in a total of 42 patients with human epidermal growth factor receptor 2 (“HER2”) negative breast cancer.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239"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proteins and lipids.</w:t>
      </w:r>
    </w:p>
    <w:p>
      <w:pPr>
        <w:spacing w:after="0" w:line="183"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239" w:lineRule="exact"/>
        <w:rPr>
          <w:sz w:val="20"/>
          <w:szCs w:val="20"/>
          <w:color w:val="auto"/>
        </w:rPr>
      </w:pPr>
    </w:p>
    <w:p>
      <w:pPr>
        <w:ind w:right="160" w:firstLine="509"/>
        <w:spacing w:after="0" w:line="290"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176"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 xml:space="preserve">Support for this combinatorial use of ME-344 was first published in the June 2016 edition of </w:t>
      </w:r>
      <w:r>
        <w:rPr>
          <w:rFonts w:ascii="Arial" w:cs="Arial" w:eastAsia="Arial" w:hAnsi="Arial"/>
          <w:sz w:val="17"/>
          <w:szCs w:val="17"/>
          <w:i w:val="1"/>
          <w:iCs w:val="1"/>
          <w:color w:val="auto"/>
        </w:rPr>
        <w:t>Cell Reports</w:t>
      </w:r>
      <w:r>
        <w:rPr>
          <w:rFonts w:ascii="Arial" w:cs="Arial" w:eastAsia="Arial" w:hAnsi="Arial"/>
          <w:sz w:val="17"/>
          <w:szCs w:val="17"/>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174" w:lineRule="exact"/>
        <w:rPr>
          <w:sz w:val="20"/>
          <w:szCs w:val="20"/>
          <w:color w:val="auto"/>
        </w:rPr>
      </w:pPr>
    </w:p>
    <w:p>
      <w:pPr>
        <w:ind w:right="520" w:firstLine="509"/>
        <w:spacing w:after="0" w:line="279"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183" w:lineRule="exact"/>
        <w:rPr>
          <w:sz w:val="20"/>
          <w:szCs w:val="20"/>
          <w:color w:val="auto"/>
        </w:rPr>
      </w:pPr>
    </w:p>
    <w:p>
      <w:pPr>
        <w:ind w:right="400" w:firstLine="509"/>
        <w:spacing w:after="0" w:line="324" w:lineRule="auto"/>
        <w:rPr>
          <w:sz w:val="20"/>
          <w:szCs w:val="20"/>
          <w:color w:val="auto"/>
        </w:rPr>
      </w:pPr>
      <w:r>
        <w:rPr>
          <w:rFonts w:ascii="Arial" w:cs="Arial" w:eastAsia="Arial" w:hAnsi="Arial"/>
          <w:sz w:val="17"/>
          <w:szCs w:val="17"/>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w:t>
      </w:r>
    </w:p>
    <w:p>
      <w:pPr>
        <w:sectPr>
          <w:pgSz w:w="11900" w:h="16838" w:orient="portrait"/>
          <w:cols w:equalWidth="0" w:num="1">
            <w:col w:w="11240"/>
          </w:cols>
          <w:pgMar w:left="320" w:top="418"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control group who received bevacizumab alone. Secondary objectives included determining whether ME-344 biologic activity correlates with vascular normalization. The data demonstrate significant biologic activity in the ME-344 treatment group:</w:t>
      </w:r>
    </w:p>
    <w:p>
      <w:pPr>
        <w:spacing w:after="0" w:line="62" w:lineRule="exact"/>
        <w:rPr>
          <w:sz w:val="20"/>
          <w:szCs w:val="20"/>
          <w:color w:val="auto"/>
        </w:rPr>
      </w:pPr>
    </w:p>
    <w:p>
      <w:pPr>
        <w:ind w:left="960" w:right="160"/>
        <w:spacing w:after="0" w:line="266" w:lineRule="auto"/>
        <w:rPr>
          <w:sz w:val="20"/>
          <w:szCs w:val="20"/>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spacing w:after="0" w:line="1" w:lineRule="exact"/>
        <w:rPr>
          <w:sz w:val="20"/>
          <w:szCs w:val="20"/>
          <w:color w:val="auto"/>
        </w:rPr>
      </w:pPr>
    </w:p>
    <w:p>
      <w:pPr>
        <w:ind w:left="960"/>
        <w:spacing w:after="0" w:line="266" w:lineRule="auto"/>
        <w:rPr>
          <w:sz w:val="20"/>
          <w:szCs w:val="20"/>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jc w:val="both"/>
        <w:ind w:left="960" w:right="240"/>
        <w:spacing w:after="0" w:line="279" w:lineRule="auto"/>
        <w:rPr>
          <w:sz w:val="20"/>
          <w:szCs w:val="20"/>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18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170"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 xml:space="preserve">Results from our earlier, first-in-human, single-agent Phase 1 clinical trial of ME-344 in patients with refractory solid tumors were published in the April 1, 2015 issue of </w:t>
      </w:r>
      <w:r>
        <w:rPr>
          <w:rFonts w:ascii="Arial" w:cs="Arial" w:eastAsia="Arial" w:hAnsi="Arial"/>
          <w:sz w:val="17"/>
          <w:szCs w:val="17"/>
          <w:i w:val="1"/>
          <w:iCs w:val="1"/>
          <w:color w:val="auto"/>
        </w:rPr>
        <w:t>Cancer</w:t>
      </w:r>
      <w:r>
        <w:rPr>
          <w:rFonts w:ascii="Arial" w:cs="Arial" w:eastAsia="Arial" w:hAnsi="Arial"/>
          <w:sz w:val="17"/>
          <w:szCs w:val="17"/>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the anti-angiogenic antibody bevacizumab in a Phase 2 study evaluating patients with relapsed colorectal cancer.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Pracinostat: HDAC Inhibitor Candidate in a Phase 2 Clinical Trial</w:t>
      </w:r>
    </w:p>
    <w:p>
      <w:pPr>
        <w:spacing w:after="0" w:line="239"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 xml:space="preserve">Pracinostat is an oral HDAC inhibitor being evaluated in a Phase 2 trial in patients with high or very high-risk </w:t>
      </w:r>
      <w:r>
        <w:rPr>
          <w:rFonts w:ascii="Arial" w:cs="Arial" w:eastAsia="Arial" w:hAnsi="Arial"/>
          <w:sz w:val="18"/>
          <w:szCs w:val="18"/>
          <w:i w:val="1"/>
          <w:iCs w:val="1"/>
          <w:color w:val="auto"/>
        </w:rPr>
        <w:t>myelodysplastic syndrome</w:t>
      </w:r>
      <w:r>
        <w:rPr>
          <w:rFonts w:ascii="Arial" w:cs="Arial" w:eastAsia="Arial" w:hAnsi="Arial"/>
          <w:sz w:val="18"/>
          <w:szCs w:val="18"/>
          <w:color w:val="auto"/>
        </w:rPr>
        <w:t xml:space="preserve"> (“MDS”) who are previously untreated with hypomethylating agents (the “POC study”). All patients in the study have completed therapy, the study has closed, and analyses are ongoing in preparation of a final study report.</w:t>
      </w:r>
    </w:p>
    <w:p>
      <w:pPr>
        <w:spacing w:after="0" w:line="183"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In August 2016, we entered into an exclusive worldwide license, development, manufacturing and commercialization agreement with Helsinn Healthcare SA, a Swiss pharmaceutical corporation (“Helsinn”) for pracinostat (the “Helsinn License Agreement”) as a treatment for patients with MDS or AML. Under the agreement, Helsinn is primarily responsible for funding global development and commercialization costs for pracinostat. We are responsible for conducting the POC study, the cost of which was shared equally with Helsinn. Any future development and commercialization costs after the completion of the POC study will be the responsibility of Helsinn.</w:t>
      </w:r>
    </w:p>
    <w:p>
      <w:pPr>
        <w:spacing w:after="0" w:line="19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 Phase 3 study evaluating pracinostat in combination with azacitidine in patients with AML who are unfit to receive standard intensive chemotherapy was discontinued by Helsinn, the study sponsor, in July 2020 after an interim futility analysis undertaken by the study Independent Data Monitoring Committee demonstrated it was unlikely to meet the primary endpoint of overall survival compared to the control group. In connection with the discontinuation of the Phase 3 study, the FDA has withdrawn the breakthrough therapy designation previously granted for pracinostat in combination with azacitidine for the treatment of patients with AML. Following the discontinuation of the Phase 3 AML study, Helsinn communicated to us their plan to continue therapy and observation of the patients currently in the Phase 2 MDS study and that further development of pracinostat, including for the treatment of MDS, is under review. The POC study of pracinostat for the treatment of MDS described under “Clinical Program” below was completed in December 2020. There are currently no plans to commence any additional studies for pracinostat.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Pracinostat Scientific Overview; Epigenetics</w:t>
      </w:r>
    </w:p>
    <w:p>
      <w:pPr>
        <w:spacing w:after="0" w:line="239"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HDACs play a key role in epigenetic regulation of gene expression by regulating chromatin structure. Acetylation of positively charged lysine residues present in histone proteins by the histone acetyltransferase (“HATs”) reduces the affinity between histones and negatively charged DNA, resulting in the opening of the chromatin structure. This makes it easier for the transcriptional machinery to access the DNA, enhancing RNA transcription. Conversely, deacetylation by the HDACs closes the chromatin structure leading to a repression of gene transcription. In normal cells, HDACs and HATs together control histone acetylation levels to maintain a balance. In diseases such as cancer, this regulation can be disturbed. HDAC inhibitors cause accumulation of acetylated histones, enhance transcription and result in changes to a variety of cellular responses including differentiation, proliferation, migration, survival and response to metabolic and hypoxic stress. In general, tumor cells are more susceptible than normal cells to the anti-proliferative and pro-apoptotic effects of HDAC inhibitors.</w:t>
      </w:r>
    </w:p>
    <w:p>
      <w:pPr>
        <w:sectPr>
          <w:pgSz w:w="11900" w:h="16838" w:orient="portrait"/>
          <w:cols w:equalWidth="0" w:num="1">
            <w:col w:w="11220"/>
          </w:cols>
          <w:pgMar w:left="320" w:top="418" w:right="359" w:bottom="1440"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239"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 xml:space="preserve">Pracinostat is being investigated in the POC study, which is a Phase 2 dose optimization trial evaluating patients with high and very high-risk MDS who are previously untreated with hypomethylating agents. All patients in the study have completed therapy and analyses are ongoing in preparation of a final study report. This patient group represents the highest unmet need in MDS, with median survival estimates of 1.6 years and 0.8 years, respectively (Greenberg et al, </w:t>
      </w:r>
      <w:r>
        <w:rPr>
          <w:rFonts w:ascii="Arial" w:cs="Arial" w:eastAsia="Arial" w:hAnsi="Arial"/>
          <w:sz w:val="18"/>
          <w:szCs w:val="18"/>
          <w:i w:val="1"/>
          <w:iCs w:val="1"/>
          <w:color w:val="auto"/>
        </w:rPr>
        <w:t>Blood 2012</w:t>
      </w:r>
      <w:r>
        <w:rPr>
          <w:rFonts w:ascii="Arial" w:cs="Arial" w:eastAsia="Arial" w:hAnsi="Arial"/>
          <w:sz w:val="18"/>
          <w:szCs w:val="18"/>
          <w:color w:val="auto"/>
        </w:rPr>
        <w:t>). The POC Study is an open-label trial evaluating a 45 mg dose of pracinostat in combination with the standard dose of azacitidine. The trial is designed to evaluate tolerability of the combination, with the intent of maintaining patient enrollment longer than in an earlier Phase 2 trial evaluating a 60 mg dose. A prolonged treatment may result in a systemic exposure to pracinostat and azacitidine sufficient to achieve the desired treatment effect; data from the earlier Phase 2 trial suggested that insufficient exposure to treatment may have limited the treatment effect of the combination.</w:t>
      </w:r>
    </w:p>
    <w:p>
      <w:pPr>
        <w:spacing w:after="0" w:line="196"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A pre-planned interim analysis of the POC study demonstrated a 10% discontinuation rate among the first 20 evaluable patients treated, meeting the predefined threshold in the first 3 treatment cycles. The 10% rate is consistent with the discontinuation rate for azacitidine given as a monotherapy in earlier studies with pracinostat. Having met this threshold, the trial expanded open-label enrollment to a total of 60 patients in the study. An interim analysis presented at the 2018 American Society of Hematology annual meeting demonstrated a discontinuation rate due to adverse events in the first three cycles of 4%, substantially lower than the rate of 26% reported in our prior Phase 2 trial.</w:t>
      </w:r>
    </w:p>
    <w:p>
      <w:pPr>
        <w:spacing w:after="0" w:line="174"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POC study completed enrollment and patients are being followed for at least two years to evaluate safety and efficacy. The primary endpoints of the trial are 1) safety and tolerability and 2) overall response rate, defined as complete remission (“CR”), partial remission (“PR”) and marrow CR. Secondary endpoints include CR rate, overall hematologic improvement (“HI”) response rate, clinical benefit rate (defined as rate of CR + PR + HI + Marrow CR), rate of cytogenetic complete response/remission, duration of response, rate of leukemic transformation, event-free survival, progression-free survival and overall survival.</w:t>
      </w:r>
    </w:p>
    <w:p>
      <w:pPr>
        <w:spacing w:after="0" w:line="191"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Data from the POC study (n=64) presented as part of the ASCO 2020 Virtual Scientific Program in June 2020 demonstrated an estimated median overall survival (“OS”) rate of 23.5 months with a one-year OS rate of 77%. The median follow-up was 17.6 months (range, 15.7–18.8) and the overall response rate (“ORR”) was 33% (21/64), all of which are complete responses (“CR”). The clinical benefit rate (CR, mCR plus hematologic improvement (“HI”), mCR with no HI, or HI with no mCR) was 77% (49/64). Twenty-seven percent of patients (17/64) proceeded to a stem cell transplant while on study. Eleven percent of patients discontinued treatment because of adverse events. The most common grade ≥3 treatment emergent adverse events were hematologic, and included decreased neutrophil count (50%), anemia (39%), febrile neutropenia (34%), decreased platelet count (33%), thrombocytopenia (27%), and decreased white blood cell count (20%). The POC study results have reached maturity leading to closing the study; as of the end of December 2020 no patients are being treated or followed in the study.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marketplace for our drug candidates is highly competitive. A number of other companies have products or drug candidates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products that receive regulatory approval, such products may not compete successfully with products produced by our competitors or with products that may subsequently receive regulatory approval.</w:t>
      </w:r>
    </w:p>
    <w:p>
      <w:pPr>
        <w:spacing w:after="0" w:line="191"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marketing and commercialization than we do. They compete with us in recruiting sites and eligible patients to participate in clinical studies and in attracting development and/or commercialization partners. They also license technologies that are competitive with our technologies. As a result, our competitors may be able to more easily develop technologies and products that would render our technologies or our drug candidates obsolete or non-competitive.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right="260" w:firstLine="509"/>
        <w:spacing w:after="0" w:line="359" w:lineRule="auto"/>
        <w:rPr>
          <w:sz w:val="20"/>
          <w:szCs w:val="20"/>
          <w:color w:val="auto"/>
        </w:rPr>
      </w:pPr>
      <w:r>
        <w:rPr>
          <w:rFonts w:ascii="Arial" w:cs="Arial" w:eastAsia="Arial" w:hAnsi="Arial"/>
          <w:sz w:val="16"/>
          <w:szCs w:val="16"/>
          <w:color w:val="auto"/>
        </w:rPr>
        <w:t>We own, by assignment or exclusive license, worldwide rights to each of our current drug candidates. Our intellectual property portfolio includes approximately 40 issued U.S. patents, 330 issued foreign patents, 20 pending U.S. patent applications, and 165 pending foreign applications.</w:t>
      </w:r>
    </w:p>
    <w:p>
      <w:pPr>
        <w:spacing w:after="0" w:line="17"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We have acquired, by assignment, worldwide rights to zandelisib and other related compounds from Pathway Therapeutics, Inc. The U.S. Patent and Trademark Office (“USPTO”) has issued five patents covering zandelisib as composition of matter, pharmaceutical compositions, and methods of use to treat cancer. The issued U.S. patents with composition of matter claims covering zandelisib are projected to expire in January 2031 and December 2032, not including any patent term extension. There are approximately 47 foreign patents granted or</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324" w:lineRule="auto"/>
        <w:rPr>
          <w:sz w:val="20"/>
          <w:szCs w:val="20"/>
          <w:color w:val="auto"/>
        </w:rPr>
      </w:pPr>
      <w:r>
        <w:rPr>
          <w:rFonts w:ascii="Arial" w:cs="Arial" w:eastAsia="Arial" w:hAnsi="Arial"/>
          <w:sz w:val="17"/>
          <w:szCs w:val="17"/>
          <w:color w:val="auto"/>
        </w:rPr>
        <w:t>allowed. There are eight pending U.S. patent applications, one pending international patent application filed under the Patent Cooperation Treaty (PCT application), and approximately 96 pending foreign patent applications directed to zandelisib and related compounds.</w:t>
      </w:r>
    </w:p>
    <w:p>
      <w:pPr>
        <w:spacing w:after="0" w:line="39"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have acquired exclusive worldwide rights to develop, manufacture and commercialize voruciclib from Presage Biosciences, Inc. (“Presage”). The USPTO has issued three patents covering the composition of matter and pharmaceutical compositions of voruciclib which are projected to expire between April 2024 and September 2028, not including any patent term extension. In total there are currently 17 allowed or issued U.S. patents, 81 allowed or issued foreign patents, five pending U.S. patent applications, and 23 pending foreign patent applications for voruciclib, related compounds, and related methods of use.</w:t>
      </w:r>
    </w:p>
    <w:p>
      <w:pPr>
        <w:spacing w:after="0" w:line="83"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We have acquired, by assignment, patents and patent applications from Novogen, our former majority shareholder, relating to a family of isoflavonoid compounds, including ME-344. The USPTO has issued 11 patents covering ME-344 as composition of matter, pharmaceutical compositions, and methods of use to treat cancer. There are approximately 70 foreign patents granted or allowed. The issued U.S. patents with composition of matter claims covering ME-344 are expected to expire in March 2027 and November 2031, not including patent term extension. There are three pending U.S. patent applications, one pending PCT application, and three pending foreign patent applications directed to ME-344 and related compounds.</w:t>
      </w:r>
    </w:p>
    <w:p>
      <w:pPr>
        <w:spacing w:after="0" w:line="52"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have acquired, by assignment, patents and patent applications from S*Bio Pte Ltd (“S*Bio”) relating to a family of heterocyclic compounds, including pracinostat. The USPTO has issued nine patents covering pracinostat as composition of matter, pharmaceutical compositions, and methods of use to treat proliferative diseases. There are approximately 132 foreign granted or allowed patents. The issued U.S. patents with composition of matter claims covering pracinostat are projected to expire in May 2028, not including patent term extension. In the Helsinn License Agreement, we granted to Helsinn an exclusive (subject to certain retained rights to perform obligations under the agreement), sublicensable, payment-bearing, license under and to certain patents and know-how controlled by us to develop, manufacture and commercialize pracinostat and any pharmaceutical product containing pracinostat for all human and animal indications. There are four pending U.S. patent applications and approximately 43 pending foreign patent applications directed to pracinostat and related compounds.</w:t>
      </w:r>
    </w:p>
    <w:p>
      <w:pPr>
        <w:spacing w:after="0" w:line="18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Our success depends in large part on our ability to protect our proprietary technologies, compounds and information, and to operate without infringing the proprietary rights of third parties. We rely on a combination of patent, trade secret, copyright, and trademark laws, as well as confidentiality, licensing and other agreements, to establish and protect our proprietary rights. We seek patent protection for our key inventions, including drug candidates we identify, routes for chemical synthesis and pharmaceutical formulations. There is no assurance that any of our pending patent applications will issue, or that any of our patents will be enforceable or will cover a drug or other commercially significant product or method. In addition, we regularly review our patent portfolio to identify patents and patent applications that we deem to have relatively low value to our ongoing business operations for potential abandonment. There is also no assurance that we will correctly identify which of our patents and patent applications should be maintained and which should be abandoned. The term of most of our other current patents commenced, and most of our future patents, if any, will commence, on the date of issuance and terminate 20 years from the earliest effective filing date of the patent application. Because any marketing and regulatory approval for a drug often occurs several years after the related patent application is filed, the resulting market exclusivity afforded by any patent on our drug candidates and technologies will likely be substantially less than 20 years.</w:t>
      </w:r>
    </w:p>
    <w:p>
      <w:pPr>
        <w:spacing w:after="0" w:line="178"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As most patent applications in the U.S. are maintained as confidential until published by the USPTO at 18 months from filing for all cases filed after November 29, 2000, or at issue, for cases filed prior to November 29, 2000, we cannot be certain that we or Presage were the first to make the inventions covered by the patents and applications referred to above. Additionally, publication of discoveries in the scientific or patent literature often lags behind the actual discoveries. Moreover, pursuant to the terms of the Uruguay Round Agreements Act, patents filed on or after June 8, 1995 have a term of twenty years from the date of such filing except for provisional applications, irrespective of the period of time it may take for such patent to ultimately issue. This may shorten the period of patent protection afforded to therapeutic uses of zandelisib, voruciclib, ME-344 or pracinostat as patent applications in the biopharmaceutical sector often take considerable time to issue. However, in some countries the patent term may be extended.</w:t>
      </w:r>
    </w:p>
    <w:p>
      <w:pPr>
        <w:spacing w:after="0" w:line="164"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In order to protect the confidentiality of our technology, including trade secrets and know-how and other proprietary technical and business information, we require all of our consultants, advisors and collaborators to enter into agreements that prohibit the use or disclosure of information that is deemed confidential. These agreements also oblige our consultants, advisors and collaborators to assign to us, or negotiate a license to developments, discoveries and inventions made by such persons in connection with their work relating to our products. We cannot be sure that confidentiality will be maintained by those from whom we have acquired technology or disclosure prevented by these agreements. We also cannot be sure that our proprietary information or intellectual property will be protected by these agreements or that others will not independently develop substantially equivalent proprietary information or intellectual property.</w:t>
      </w:r>
    </w:p>
    <w:p>
      <w:pPr>
        <w:spacing w:after="0" w:line="192" w:lineRule="exact"/>
        <w:rPr>
          <w:sz w:val="20"/>
          <w:szCs w:val="20"/>
          <w:color w:val="auto"/>
        </w:rPr>
      </w:pPr>
    </w:p>
    <w:p>
      <w:pPr>
        <w:ind w:right="140" w:firstLine="509"/>
        <w:spacing w:after="0" w:line="296" w:lineRule="auto"/>
        <w:rPr>
          <w:sz w:val="20"/>
          <w:szCs w:val="20"/>
          <w:color w:val="auto"/>
        </w:rPr>
      </w:pPr>
      <w:r>
        <w:rPr>
          <w:rFonts w:ascii="Arial" w:cs="Arial" w:eastAsia="Arial" w:hAnsi="Arial"/>
          <w:sz w:val="17"/>
          <w:szCs w:val="17"/>
          <w:color w:val="auto"/>
        </w:rPr>
        <w:t>The pharmaceutical industry is highly competitive, and patents may have been applied for by, and issued to, other parties relating to products competitive with zandelisib, voruciclib, ME-344 or pracinostat. Use of these compounds and any other drug candidates may give rise to claims that they infringe the patents or proprietary rights of other parties, existing now and in the future. An adverse claim could subject us to significant liabilities to such other parties and/or require disputed rights to be licensed from such other parties. We cannot be sure that any</w:t>
      </w:r>
    </w:p>
    <w:p>
      <w:pPr>
        <w:sectPr>
          <w:pgSz w:w="11900" w:h="16838" w:orient="portrait"/>
          <w:cols w:equalWidth="0" w:num="1">
            <w:col w:w="11220"/>
          </w:cols>
          <w:pgMar w:left="320" w:top="418"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objective of our research and development program is the generation of data sufficient to achieve regulatory approval of our drug candidates in one or more dosage forms in major markets such as the U.S., to meet medical needs and develop a clinical and commercial profile with attractive attributes, and/or to allow us to enter into a development and/or commercial relationship with another party. The data are generated by our pre-clinical studies and clinical trial programs.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aspects of our research and development program are to provide more complete characterization of the following: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relevant molecular targets of action of our drug candidates;</w:t>
      </w:r>
    </w:p>
    <w:p>
      <w:pPr>
        <w:spacing w:after="0" w:line="23" w:lineRule="exact"/>
        <w:rPr>
          <w:sz w:val="20"/>
          <w:szCs w:val="20"/>
          <w:color w:val="auto"/>
        </w:rPr>
      </w:pPr>
    </w:p>
    <w:p>
      <w:pPr>
        <w:ind w:left="960" w:right="20"/>
        <w:spacing w:after="0" w:line="266" w:lineRule="auto"/>
        <w:rPr>
          <w:sz w:val="20"/>
          <w:szCs w:val="20"/>
          <w:color w:val="auto"/>
        </w:rPr>
      </w:pPr>
      <w:r>
        <w:rPr>
          <w:rFonts w:ascii="Arial" w:cs="Arial" w:eastAsia="Arial" w:hAnsi="Arial"/>
          <w:sz w:val="18"/>
          <w:szCs w:val="18"/>
          <w:color w:val="auto"/>
        </w:rPr>
        <w:t>the relative therapeutic benefits and indications for use of our drug candidates as a monotherapy or as part of combinational therapy with other agents; and</w:t>
      </w:r>
    </w:p>
    <w:p>
      <w:pPr>
        <w:ind w:left="960"/>
        <w:spacing w:after="0"/>
        <w:rPr>
          <w:sz w:val="20"/>
          <w:szCs w:val="20"/>
          <w:color w:val="auto"/>
        </w:rPr>
      </w:pPr>
      <w:r>
        <w:rPr>
          <w:rFonts w:ascii="Arial" w:cs="Arial" w:eastAsia="Arial" w:hAnsi="Arial"/>
          <w:sz w:val="18"/>
          <w:szCs w:val="18"/>
          <w:color w:val="auto"/>
        </w:rPr>
        <w:t>the most appropriate therapeutic indications and dosage forms for zandelisib, voruciclib, ME-344 and pracinostat.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 Regulatory Requirements</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FDA, and comparable regulatory agencies in other countries, regulate and impose substantial requirements upon the research, development, pre-clinical and clinical testing, labeling, manufacture, quality control, storage, approval, advertising, promotion, marketing, distribution, import, and export of pharmaceutical products including biologics, as well as significant reporting and record-keeping obligations. State governments may also impose obligations in these and other areas.</w:t>
      </w:r>
    </w:p>
    <w:p>
      <w:pPr>
        <w:spacing w:after="0" w:line="185" w:lineRule="exact"/>
        <w:rPr>
          <w:sz w:val="20"/>
          <w:szCs w:val="20"/>
          <w:color w:val="auto"/>
        </w:rPr>
      </w:pPr>
    </w:p>
    <w:p>
      <w:pPr>
        <w:ind w:right="440" w:firstLine="509"/>
        <w:spacing w:after="0" w:line="303" w:lineRule="auto"/>
        <w:rPr>
          <w:sz w:val="20"/>
          <w:szCs w:val="20"/>
          <w:color w:val="auto"/>
        </w:rPr>
      </w:pPr>
      <w:r>
        <w:rPr>
          <w:rFonts w:ascii="Arial" w:cs="Arial" w:eastAsia="Arial" w:hAnsi="Arial"/>
          <w:sz w:val="17"/>
          <w:szCs w:val="17"/>
          <w:color w:val="auto"/>
        </w:rPr>
        <w:t>In the U.S., pharmaceutical products are regulated by the FDA under the Federal Food, Drug, and Cosmetic Act (“FDCA”) and other laws, including in the case of biologics, the Public Health Service Act. We believe, but cannot be certain, that our products will be regulated as drugs by the FDA. The process required by the FDA before drugs may be marketed in the U.S. generally involves the following:</w:t>
      </w:r>
    </w:p>
    <w:p>
      <w:pPr>
        <w:spacing w:after="0" w:line="56" w:lineRule="exact"/>
        <w:rPr>
          <w:sz w:val="20"/>
          <w:szCs w:val="20"/>
          <w:color w:val="auto"/>
        </w:rPr>
      </w:pPr>
    </w:p>
    <w:p>
      <w:pPr>
        <w:ind w:left="960" w:right="140"/>
        <w:spacing w:after="0" w:line="266" w:lineRule="auto"/>
        <w:rPr>
          <w:sz w:val="20"/>
          <w:szCs w:val="20"/>
          <w:color w:val="auto"/>
        </w:rPr>
      </w:pPr>
      <w:r>
        <w:rPr>
          <w:rFonts w:ascii="Arial" w:cs="Arial" w:eastAsia="Arial" w:hAnsi="Arial"/>
          <w:sz w:val="18"/>
          <w:szCs w:val="18"/>
          <w:color w:val="auto"/>
        </w:rPr>
        <w:t>pre-clinical laboratory evaluations, including formulation and stability testing, and animal tests performed under the FDA’s Good Laboratory Practices ("GLP") regulations to assess pharmacological activity and toxicity potential;</w:t>
      </w:r>
    </w:p>
    <w:p>
      <w:pPr>
        <w:spacing w:after="0" w:line="1" w:lineRule="exact"/>
        <w:rPr>
          <w:sz w:val="20"/>
          <w:szCs w:val="20"/>
          <w:color w:val="auto"/>
        </w:rPr>
      </w:pPr>
    </w:p>
    <w:p>
      <w:pPr>
        <w:ind w:left="960" w:right="240"/>
        <w:spacing w:after="0" w:line="266" w:lineRule="auto"/>
        <w:rPr>
          <w:sz w:val="20"/>
          <w:szCs w:val="20"/>
          <w:color w:val="auto"/>
        </w:rPr>
      </w:pPr>
      <w:r>
        <w:rPr>
          <w:rFonts w:ascii="Arial" w:cs="Arial" w:eastAsia="Arial" w:hAnsi="Arial"/>
          <w:sz w:val="18"/>
          <w:szCs w:val="18"/>
          <w:color w:val="auto"/>
        </w:rPr>
        <w:t>submission and approval of an IND application, including results of pre-clinical tests, manufacturing information, and protocols for clinical tests, which must become effective before clinical trials may begin in the U.S.; obtaining approval of IRBs to administer the products to human subjects in clinical trials;</w:t>
      </w:r>
    </w:p>
    <w:p>
      <w:pPr>
        <w:ind w:left="960" w:right="240"/>
        <w:spacing w:after="0" w:line="266" w:lineRule="auto"/>
        <w:rPr>
          <w:sz w:val="20"/>
          <w:szCs w:val="20"/>
          <w:color w:val="auto"/>
        </w:rPr>
      </w:pPr>
      <w:r>
        <w:rPr>
          <w:rFonts w:ascii="Arial" w:cs="Arial" w:eastAsia="Arial" w:hAnsi="Arial"/>
          <w:sz w:val="18"/>
          <w:szCs w:val="18"/>
          <w:color w:val="auto"/>
        </w:rPr>
        <w:t>adequate and well-controlled human clinical trials to establish the safety and efficacy of the product for the product’s intended use; development of manufacturing processes which conform to FDA’s current Good Manufacturing Practices (“cGMP”), as confirmed by FDA inspection;</w:t>
      </w:r>
    </w:p>
    <w:p>
      <w:pPr>
        <w:ind w:left="960" w:right="220"/>
        <w:spacing w:after="0" w:line="266" w:lineRule="auto"/>
        <w:rPr>
          <w:sz w:val="20"/>
          <w:szCs w:val="20"/>
          <w:color w:val="auto"/>
        </w:rPr>
      </w:pPr>
      <w:r>
        <w:rPr>
          <w:rFonts w:ascii="Arial" w:cs="Arial" w:eastAsia="Arial" w:hAnsi="Arial"/>
          <w:sz w:val="18"/>
          <w:szCs w:val="18"/>
          <w:color w:val="auto"/>
        </w:rPr>
        <w:t>submission of results for pre-clinical, toxicology, and clinical studies, and chemistry, manufacture and control information on the product to the FDA in an NDA; and</w:t>
      </w:r>
    </w:p>
    <w:p>
      <w:pPr>
        <w:ind w:left="960"/>
        <w:spacing w:after="0"/>
        <w:rPr>
          <w:sz w:val="20"/>
          <w:szCs w:val="20"/>
          <w:color w:val="auto"/>
        </w:rPr>
      </w:pPr>
      <w:r>
        <w:rPr>
          <w:rFonts w:ascii="Arial" w:cs="Arial" w:eastAsia="Arial" w:hAnsi="Arial"/>
          <w:sz w:val="18"/>
          <w:szCs w:val="18"/>
          <w:color w:val="auto"/>
        </w:rPr>
        <w:t>FDA review and approval of an NDA, prior to any commercial sale or shipment of a product.</w:t>
      </w:r>
    </w:p>
    <w:p>
      <w:pPr>
        <w:spacing w:after="0" w:line="238"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 will be granted on a timely basis, if at all.</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The results of the pre-clinical studies, together with initial specified manufacturing information, the proposed clinical trial protocol, and information about the participating investigators are submitted to the FDA as part of an IND, which must become effective before we may begin human clinical trials in the U.S. Clinical trials must be conducted in accordance with federal regulations and Good Clinical Practice (“GCP”) requirements, and with investigational products that follow cGMP. GCPs include, among other requirements, the requirements related to monitoring, drug accountability, data integrity, and that all research subjects provide their informed consent in writing for their participation in any clinical trial. Additionally, an independent IRB must review and approve each study protocol and oversee conduct of the trial. An IND becomes effective 30 days after receipt by the FDA, unless the FDA, within the 30-day period, raises concerns or questions about the conduct of the trials as outlined in the IND and imposes a clinical hold. If the FDA imposes a clinical hold, the IND sponsor must resolve the FDA’s concerns before clinical trials can begin. Pre-clinical tests and studies can take several years to complete, and there is no guarantee that an IND we submit based on such tests and studies will become effective within any specific time period, if at all.</w:t>
      </w:r>
    </w:p>
    <w:p>
      <w:pPr>
        <w:spacing w:after="0" w:line="191" w:lineRule="exact"/>
        <w:rPr>
          <w:sz w:val="20"/>
          <w:szCs w:val="20"/>
          <w:color w:val="auto"/>
        </w:rPr>
      </w:pPr>
    </w:p>
    <w:p>
      <w:pPr>
        <w:ind w:right="100" w:firstLine="509"/>
        <w:spacing w:after="0" w:line="303" w:lineRule="auto"/>
        <w:rPr>
          <w:sz w:val="20"/>
          <w:szCs w:val="20"/>
          <w:color w:val="auto"/>
        </w:rPr>
      </w:pPr>
      <w:r>
        <w:rPr>
          <w:rFonts w:ascii="Arial" w:cs="Arial" w:eastAsia="Arial" w:hAnsi="Arial"/>
          <w:sz w:val="17"/>
          <w:szCs w:val="17"/>
          <w:color w:val="auto"/>
        </w:rPr>
        <w:t>Sponsors must make certain reports and submissions to FDA and global health authorities, as appropriate, and to clinical investigators who, in turn, make certain reports and submissions to the IRB or ethics committee, including annual reports, and reports of investigator financial interests, serious adverse events and other significant safety information, study amendments, and new study protocols. Information</w:t>
      </w:r>
    </w:p>
    <w:p>
      <w:pPr>
        <w:sectPr>
          <w:pgSz w:w="11900" w:h="16838" w:orient="portrait"/>
          <w:cols w:equalWidth="0" w:num="1">
            <w:col w:w="11240"/>
          </w:cols>
          <w:pgMar w:left="320" w:top="418"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about certain clinical trials, including a description of the study and study results, must also be submitted within specific timeframes to the National Institutes of Health, or NIH, for public dissemination on the clinicaltrials.gov website. Sponsors of investigational products for serious diseases must also have a publicly available policy on requests for expanded access.</w:t>
      </w:r>
    </w:p>
    <w:p>
      <w:pPr>
        <w:spacing w:after="0" w:line="183" w:lineRule="exact"/>
        <w:rPr>
          <w:sz w:val="20"/>
          <w:szCs w:val="20"/>
          <w:color w:val="auto"/>
        </w:rPr>
      </w:pPr>
    </w:p>
    <w:p>
      <w:pPr>
        <w:ind w:right="380" w:firstLine="509"/>
        <w:spacing w:after="0" w:line="279" w:lineRule="auto"/>
        <w:rPr>
          <w:sz w:val="20"/>
          <w:szCs w:val="20"/>
          <w:color w:val="auto"/>
        </w:rPr>
      </w:pPr>
      <w:r>
        <w:rPr>
          <w:rFonts w:ascii="Arial" w:cs="Arial" w:eastAsia="Arial" w:hAnsi="Arial"/>
          <w:sz w:val="18"/>
          <w:szCs w:val="18"/>
          <w:color w:val="auto"/>
        </w:rPr>
        <w:t>Investigational drugs and active ingredients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31"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patients and tested for safety and dosage tolerance. Absorption,</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distribution, and excretion testing is generally performed at this stage.</w:t>
      </w:r>
    </w:p>
    <w:p>
      <w:pPr>
        <w:spacing w:after="0" w:line="62" w:lineRule="exact"/>
        <w:rPr>
          <w:sz w:val="20"/>
          <w:szCs w:val="20"/>
          <w:color w:val="auto"/>
        </w:rPr>
      </w:pPr>
    </w:p>
    <w:p>
      <w:pPr>
        <w:ind w:left="960" w:right="20"/>
        <w:spacing w:after="0" w:line="275"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studied in controlled, exploratory therapeutic trials in a limited number of subjects with the disease or medical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 new drug is intended to be used in order to identify possible adverse effects and safety risks, to determine the preliminary or potential efficacy of the product for specific targeted diseases or medical conditions, and to determine dosage tolerance and the optimal effective dose.</w:t>
      </w:r>
    </w:p>
    <w:p>
      <w:pPr>
        <w:spacing w:after="0" w:line="77" w:lineRule="exact"/>
        <w:rPr>
          <w:sz w:val="20"/>
          <w:szCs w:val="20"/>
          <w:color w:val="auto"/>
        </w:rPr>
      </w:pPr>
    </w:p>
    <w:p>
      <w:pPr>
        <w:ind w:left="960" w:right="40"/>
        <w:spacing w:after="0" w:line="292"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When Phase 2 studies demonstrate that a specific dosage range of the drug may be effective and the drug has an acceptable safety</w:t>
      </w:r>
      <w:r>
        <w:rPr>
          <w:rFonts w:ascii="Arial" w:cs="Arial" w:eastAsia="Arial" w:hAnsi="Arial"/>
          <w:sz w:val="17"/>
          <w:szCs w:val="17"/>
          <w:i w:val="1"/>
          <w:iCs w:val="1"/>
          <w:color w:val="auto"/>
        </w:rPr>
        <w:t xml:space="preserve"> </w:t>
      </w:r>
      <w:r>
        <w:rPr>
          <w:rFonts w:ascii="Arial" w:cs="Arial" w:eastAsia="Arial" w:hAnsi="Arial"/>
          <w:sz w:val="17"/>
          <w:szCs w:val="17"/>
          <w:color w:val="auto"/>
        </w:rPr>
        <w:t>profile for further investigation, controlled, large-scale therapeutic Phase 3 trials are undertaken at multiple study sites to demonstrate clinical efficacy and to further test for safety in an expanded patient population. Typically, two Phase 3 trials are required by the FDA for product approval. Under some limited circumstances, however, the FDA may approve an NDA based upon a single Phase 3 clinical study plus confirmatory evidence or a single large multicenter trial without confirmatory evidence.</w:t>
      </w:r>
    </w:p>
    <w:p>
      <w:pPr>
        <w:spacing w:after="0" w:line="174"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color w:val="auto"/>
        </w:rPr>
        <w:t>Concurrent with clinical trials, companies usually complete additional non-clinical and toxicology studies and must also develop additional information about the CMC of the product candidate.</w:t>
      </w:r>
    </w:p>
    <w:p>
      <w:pPr>
        <w:spacing w:after="0" w:line="170" w:lineRule="exact"/>
        <w:rPr>
          <w:sz w:val="20"/>
          <w:szCs w:val="20"/>
          <w:color w:val="auto"/>
        </w:rPr>
      </w:pPr>
    </w:p>
    <w:p>
      <w:pPr>
        <w:ind w:right="120" w:firstLine="509"/>
        <w:spacing w:after="0" w:line="296" w:lineRule="auto"/>
        <w:rPr>
          <w:sz w:val="20"/>
          <w:szCs w:val="20"/>
          <w:color w:val="auto"/>
        </w:rPr>
      </w:pPr>
      <w:r>
        <w:rPr>
          <w:rFonts w:ascii="Arial" w:cs="Arial" w:eastAsia="Arial" w:hAnsi="Arial"/>
          <w:sz w:val="17"/>
          <w:szCs w:val="17"/>
          <w:color w:val="auto"/>
        </w:rPr>
        <w:t>Some clinical trials are overseen by an independent group of qualified experts organized by the clinical trial sponsor, known as a data monitoring committee. This group reviews data and advises the study sponsor regarding the continuing safety of the trial. This group may also review interim data to assess the continuing validity and scientific merit of the clinical trial. The data monitoring committee may advise the sponsor to halt the clinical trial, modify the clinical trial, or continue the clinical trial depending on safety results and the trial’s likelihood of success.</w:t>
      </w:r>
    </w:p>
    <w:p>
      <w:pPr>
        <w:spacing w:after="0" w:line="170"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We cannot be certain that we will successfully complete clinical testing of our products within any specific time period, if at all. Furthermore, the FDA, the IRB or we may suspend or terminate clinical trials at any time on various grounds, including a finding that the subjects or patients are being exposed to an unacceptable safety risk or noncompliance with applicable regulatory requirements.</w:t>
      </w:r>
    </w:p>
    <w:p>
      <w:pPr>
        <w:spacing w:after="0" w:line="183"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Results of pre-clinical and toxicology studies, and clinical trials, as well as detailed information about the manufacturing process, quality control methods, and product composition, among other things, are submitted to the FDA as part of an NDA seeking approval to market and commercially distribute the product on the basis of a determination that the product is safe and effective for its intended use. Once the FDA receives an application, it has 60 days to review the NDA to determine if it is substantially complete to permit a substantive review, before it accepts the application for filing. The FDA may request additional information rather than accept an application for filing. In this event, the application must be resubmitted with the additional information. Once the submission is accepted for filing, the FDA begins an in-depth substantive review. Under the goals agreed to by the FDA under the Prescription Drug User Fee Act, (“PDUFA”), the agency currently aims to review 90% of all applications for new molecular entities within ten months of the 60-day filing date for a standard review. The PDUFA date is only a goal, thus, the FDA does not always meet its PDUFA dates. The PDUFA date may also be extended if the FDA requests or the sponsor provides substantial additional information regarding the submission.</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FDA may refer certain applications to an advisory committee, which is a panel of experts that make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Before approving an NDA, the FDA will inspect the facilities at which the product is manufactured and may inspect the sponsor, clinical study vendors, and clinical sites at which the product candidate was studied and will not approve the product unless cGMP and GCP compliance are satisfactory. If applicable regulatory criteria are not satisfied, the FDA may issue a complete response letter (“CRL”) to the sponsor requiring additional non-clinical or clinical studies or data or additional CMC information. If a CRL is issued, the applicant may either: resubmit the marketing application, addressing all of the deficiencies identified in the letter; withdraw the application; or request an opportunity for a hearing.</w:t>
      </w:r>
    </w:p>
    <w:p>
      <w:pPr>
        <w:sectPr>
          <w:pgSz w:w="11900" w:h="16838" w:orient="portrait"/>
          <w:cols w:equalWidth="0" w:num="1">
            <w:col w:w="11180"/>
          </w:cols>
          <w:pgMar w:left="320" w:top="418" w:right="399" w:bottom="1440" w:gutter="0" w:footer="0" w:header="0"/>
        </w:sectPr>
      </w:pP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Once the FDA determines that the approval requirements are met, it will issue an approval letter that authorizes commercial marketing of the product with specific prescribing information for specific indications. As a condition of approval, the FDA also may require post-marketing commitments and requirements, including studies, and/or surveillance to monitor the product’s safety or efficacy. The FDA also may require a Medication Guide and also a risk evaluation and mitigation strategy ("REMS"), or other conditions for a product's approval or following approval to ensure that the benefits of the product candidate outweigh the risks. Moreover, even if the FDA approves a product, it may limit the approved indications or populations for use of the product, require that contraindications, warnings, or precautions be included in the product labeling, including a black box warning, impose other conditions, such as post-approval studies, or may not approve label statements that are necessary for successful commercialization and marketing.</w:t>
      </w:r>
    </w:p>
    <w:p>
      <w:pPr>
        <w:spacing w:after="0" w:line="16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Even after an NDA is approved, the FDA may impose additional obligations or restrictions (such as labeling changes, or clinical post-marketing requirements), or even suspend or withdraw a product approval or require additional testing or label revisions on the basis of data that arise after the product reaches the market, or if compliance with regulatory standards is not maintained. We cannot be certain that any NDA we submit will be approved by the FDA for full or accelerated approval on a timely basis, if at all. Also, any such approval may limit the indicated uses for which the product may be marketed. Any refusal to approve, delay in approval, suspension or withdrawal of approval, or restrictions on indicated uses could have a material adverse impact on our business prospects.</w:t>
      </w:r>
    </w:p>
    <w:p>
      <w:pPr>
        <w:spacing w:after="0" w:line="191"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Each NDA must be accompanied by a substantial user fee pursuant to the requirements of the PDUFA and its amendments. Fee waivers or reductions are available in certain circumstances. Following product approval, drug products are also subject to annual program fees. The FDA adjusts the PDUFA user fees on an annual basis. A written request can be submitted for a waiver for the application fee for the first human drug application that is filed by a small business, but there are no small business waivers for program fees. Product candidates that are designated as orphan products are not subject to application user fees unless the application includes an indication other than the orphan indication and may be exempt from program fees if certain criteria are met. We are not at the stage of development with our products where we are subject to these fees, but they are significant expenditures that may be incurred in the future and must be paid at the time of application submissions to the FDA.</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Satisfaction of FDA requirements typically takes many years. The actual time required varies substantially, based upon the type, complexity, and novelty of the pharmaceutical product, among other things. Government regulation imposes costly and time-consuming requirements and restrictions throughout the product life cycle and may delay product marketing for a considerable period of time, limit product marketing, or prevent marketing altogether. Success in pre-clinical or early stage clinical trials does not ensure success in later stage clinical trials. Data obtained from pre-clinical and clinical activities are not always conclusive and may be susceptible to varying interpretations that could delay, limit, or prevent marketing approval. Even if a product receives marketing approval, the approval is limited to specific clinical indications. Further, even after marketing approval is obtained, the discovery of previously unknown problems with a product may result in restrictions on the product or even complete withdrawal of the product from the market.</w:t>
      </w:r>
    </w:p>
    <w:p>
      <w:pPr>
        <w:spacing w:after="0" w:line="196"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After product approval, there are continuing significant regulatory requirements imposed by the FDA, including record-keeping requirements, obligations to report adverse side effects in patients using the products, and restrictions on advertising and promotional activities. Quality control and manufacturing procedures must continue to conform to cGMPs, and the FDA periodically inspects facilities to assess cGMP compliance. Additionally, post-approval changes in ingredient composition, manufacturing processes or facilities, product labeling, or other areas may require submission of an NDA Supplement to the FDA for review and approval. New indications will require additional clinical studies and submission of an NDA Supplement.</w:t>
      </w:r>
    </w:p>
    <w:p>
      <w:pPr>
        <w:spacing w:after="0" w:line="160" w:lineRule="exact"/>
        <w:rPr>
          <w:sz w:val="20"/>
          <w:szCs w:val="20"/>
          <w:color w:val="auto"/>
        </w:rPr>
      </w:pPr>
    </w:p>
    <w:p>
      <w:pPr>
        <w:jc w:val="both"/>
        <w:ind w:right="440" w:firstLine="509"/>
        <w:spacing w:after="0" w:line="299" w:lineRule="auto"/>
        <w:rPr>
          <w:sz w:val="20"/>
          <w:szCs w:val="20"/>
          <w:color w:val="auto"/>
        </w:rPr>
      </w:pPr>
      <w:r>
        <w:rPr>
          <w:rFonts w:ascii="Arial" w:cs="Arial" w:eastAsia="Arial" w:hAnsi="Arial"/>
          <w:sz w:val="16"/>
          <w:szCs w:val="16"/>
          <w:color w:val="auto"/>
        </w:rPr>
        <w:t>Failure to comply with the FDA's regulatory requirements may result in an enforcement action by the FDA, including clinical holds, refusal to approve marketing applications or supplements, Warning Letters, product recalls, suspension or revocation of product approval, seizure of product to prevent distribution, impositions of injunctions prohibiting product manufacture or distribution, and civil and criminal penalties, among other actions.</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Maintaining compliance is costly and time-consuming. We cannot be certain that we, or our present or future suppliers or third-party manufacturers, will be able to comply with all FDA regulatory requirements, and potential consequences of noncompliance could have a material adverse impact on our business prospects.</w:t>
      </w:r>
    </w:p>
    <w:p>
      <w:pPr>
        <w:spacing w:after="0" w:line="182"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The FDA’s policies may change, and additional governmental regulations may be enacted that could delay, limit, or prevent regulatory approval of our products or affect our ability to manufacture, market, or distribute our products after approval. Moreover, increased attention to the containment of healthcare costs in the U.S. and in foreign markets could result in new government regulations that could have a material adverse effect on our business. Our ability to commercialize future products will depend in part on the extent to which coverage and reimbursement for the products will be available from government and health administration authorities, private health insurers, and other third-party payers. European Union member states and U.S. government and other third-party payers increasingly are attempting to contain healthcare costs by consideration of new laws and regulations limiting both coverage and the level of reimbursement for new drugs. Our failure to obtain coverage, an adequate level of reimbursement, or acceptable prices for our future products could diminish any revenues we may be able to generate. We cannot predict the likelihood, nature or extent of adverse governmental regulation that might arise from future legislative or administrative action, either in the U.S. or abroad.</w:t>
      </w:r>
    </w:p>
    <w:p>
      <w:pPr>
        <w:sectPr>
          <w:pgSz w:w="11900" w:h="16838" w:orient="portrait"/>
          <w:cols w:equalWidth="0" w:num="1">
            <w:col w:w="11220"/>
          </w:cols>
          <w:pgMar w:left="320" w:top="418"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Our activities also may be subject to state laws and regulations that affect our ability to develop and sell our products. We are also subject to numerous federal, state, and local laws relating to such matters as safe working conditions, clinical, laboratory, and manufacturing practices, environmental protection, fire hazard control, and disposal of hazardous or potentially hazardous substances. We may incur significant costs to comply with such laws and regulations now or in the future, and the failure to comply may have a material adverse impact on our business prospects.</w:t>
      </w:r>
    </w:p>
    <w:p>
      <w:pPr>
        <w:spacing w:after="0" w:line="170"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The FDCA includes provisions designed to facilitate the development and expedite the review of drugs and biological products intended for treatment of serious or life-threatening conditions that demonstrate the potential to address unmet medical needs for such conditions or present a significant improvement over existing therapy. These provisions set forth a procedure for designation of a drug as a “fast track product”. The fast track designation applies to the combination of the product and specific indication for which it is being studied. A product designated as fast track is ordinarily eligible for additional programs for expediting development and review, such as increased FDA interactions and rolling submission of the application.</w:t>
      </w:r>
    </w:p>
    <w:p>
      <w:pPr>
        <w:spacing w:after="0" w:line="16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Products that are intended to treat serious or life-threatening conditions and that provide a meaningful therapeutic benefit over existing treatments may also be eligible for accelerated approval. Drug approval under the accelerated approval regulations may be based on evidence of clinical effect on a surrogate endpoint that is reasonably likely to predict clinical benefit. A post-marketing clinical study will be required to verify clinical benefit, and other restrictions to assure safe use may be imposed. Failure to conduct required post-approval studies, or confirm a clinical benefit, will allow the FDA to withdraw the drug or biologic from the market on an expedited basis.</w:t>
      </w:r>
    </w:p>
    <w:p>
      <w:pPr>
        <w:spacing w:after="0" w:line="191" w:lineRule="exact"/>
        <w:rPr>
          <w:sz w:val="20"/>
          <w:szCs w:val="20"/>
          <w:color w:val="auto"/>
        </w:rPr>
      </w:pPr>
    </w:p>
    <w:p>
      <w:pPr>
        <w:ind w:right="40" w:firstLine="509"/>
        <w:spacing w:after="0" w:line="314" w:lineRule="auto"/>
        <w:rPr>
          <w:sz w:val="20"/>
          <w:szCs w:val="20"/>
          <w:color w:val="auto"/>
        </w:rPr>
      </w:pPr>
      <w:r>
        <w:rPr>
          <w:rFonts w:ascii="Arial" w:cs="Arial" w:eastAsia="Arial" w:hAnsi="Arial"/>
          <w:sz w:val="16"/>
          <w:szCs w:val="16"/>
          <w:color w:val="auto"/>
        </w:rPr>
        <w:t>A third potential designation that may be available is breakthrough therapy designation. A breakthrough therapy is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Products designated as breakthrough therapies are eligible for intensive FDA guidance, a commitment from the FDA to involve senior managers and experienced review staff in a proactive collaborative and cross-disciplinary review, rolling submission of the application, and the facilitation of cross-disciplinary review.</w:t>
      </w:r>
    </w:p>
    <w:p>
      <w:pPr>
        <w:spacing w:after="0" w:line="160"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Finally, if a product is intended to treat a serious condition and, if approved, would provide significant improvements in the safety or effectiveness of the treatment, diagnosis, or prevention of the condition, the product may be eligible for priority review meaning that FDA’s goal for the review of an NDA is shortened to six months (after a two month period during which the FDA decides whether the application is ready for filing) rather than the standard review of ten months from application acceptance. Currently, we have fast track designation for one of our clinical programs (zandelisib for patients with relapsed follicular lymphoma who have received at least two prior systemic therapies). If we should seek additional designations for any of our programs, we cannot be assured that it will be granted by the FDA. There is also no guarantee that we will be able to maintain any designation that we have received or may receive.</w:t>
      </w:r>
    </w:p>
    <w:p>
      <w:pPr>
        <w:spacing w:after="0" w:line="193"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Following the FDA's approval of an NDA, sponsors are required to list with the FDA each patent with claims that cover the applicant’s drug or a method of using the drug. These patents are published in the FDA’s list of Approved Drug Products with Therapeutic Equivalence Evaluations, commonly known as the Orange Book. Drugs listed in the Orange Book can be cited by potential competitors as a reference listed drug in support of a 505(b)(2) NDA or an Abbreviated New Drug Application, (“ANDA”). In an effort to clarify which patents must be listed in the Orange Book, in January 2021, Congress passed the Orange Book Transparency Act of 2020, which largely codifies FDA's existing practices into the FDCA.</w:t>
      </w:r>
    </w:p>
    <w:p>
      <w:pPr>
        <w:spacing w:after="0" w:line="174"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An ANDA provides for marketing of a generic drug product that has the same active ingredients, dosage form, strength, route of administration, labeling, performance characteristics and intended use as a previously approved product. ANDA applicants generally must only scientifically demonstrate that their product is bioequivalent to, or performs in the same manner as, the innovator drug and can often be substituted by pharmacists under prescriptions written for the reference listed drug.</w:t>
      </w:r>
    </w:p>
    <w:p>
      <w:pPr>
        <w:spacing w:after="0" w:line="181"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Generally, the FDA may not approve an ANDA or 505(b)(2) NDA unless the reference listed drug’s Orange Book listed patents have expired and/or if the applicant certifies that it is not seeking approval for a patented method of use. FDA may approve these applications, however, if the 505(b)(2) NDA or ANDA sponsor certifies that the Orange Book listed patents for the reference listed drug are invalid or will not be infringed upon by the manufacture, use or sale of the drug product for which the application is submitted. This later certification is called a paragraph IV certification. If the ANDA or 505(b)</w:t>
      </w:r>
    </w:p>
    <w:p>
      <w:pPr>
        <w:spacing w:after="0" w:line="2" w:lineRule="exact"/>
        <w:rPr>
          <w:sz w:val="20"/>
          <w:szCs w:val="20"/>
          <w:color w:val="auto"/>
        </w:rPr>
      </w:pPr>
    </w:p>
    <w:p>
      <w:pPr>
        <w:ind w:right="80" w:firstLine="8"/>
        <w:spacing w:after="0" w:line="295"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NDA applicant has made a paragraph IV certification, following notice to the NDA and patent holders, the NDA and patent holders may then initiate a patent infringement lawsuit. If a lawsuit is brought,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w:t>
      </w:r>
    </w:p>
    <w:p>
      <w:pPr>
        <w:sectPr>
          <w:pgSz w:w="11900" w:h="16838" w:orient="portrait"/>
          <w:cols w:equalWidth="0" w:num="1">
            <w:col w:w="11200"/>
          </w:cols>
          <w:pgMar w:left="320" w:top="418" w:right="379" w:bottom="1440" w:gutter="0" w:footer="0" w:header="0"/>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Recently, Congress and U.S. federal administrative agencies have taken certain measures to increase drug competition and thus decrease drug prices, including by facilitating 505(b)(2) NDAs and ANDAs, and by introducing additional products into the U.S. market. By example, the FDA finalized a rule and a guidance to facilitate drug importation. Congress also passed a bill requiring sponsors of NDA products to provide sufficient quantities of drug product on commercially reasonable market-based terms to entities developing generic and 505(b)(2) products. This bill also included provisions on shared and individual REMS for generic drug products.</w:t>
      </w:r>
    </w:p>
    <w:p>
      <w:pPr>
        <w:spacing w:after="0" w:line="191"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Under the Drug Price Competition and Patent Term Restoration Act of 1984, a sponsor may obtain marketing exclusivity for a specified period of time following FDA approval of certain drug applications. By example, new drugs containing new chemical entities that have not been previously approved by the FDA may obtain five years of exclusivity.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This exclusivity is not absolute. For instance, it will not delay the submission or approval of a full NDA; though, an applicant submitting a full NDA would be required to conduct or obtain a right of reference to all of the preclinical studies and adequate and well-controlled clinical trials necessary to demonstrate safety and efficacy.</w:t>
      </w:r>
    </w:p>
    <w:p>
      <w:pPr>
        <w:spacing w:after="0" w:line="163"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Following NDA approval, a patent owner may obtain an extension of a single unexpired patent that has not previously been extended for a period equal to one-half the period of time elapsed between the filing of an IND and the filing of the corresponding NDA plus the period of time between the filing of the NDA and FDA approval, with a five year maximum patent extension. The total patent life of the product with the extension cannot exceed fourteen years from the product’s approval date. The period of patent extension may also be reduced for any time that the applicant did not act with due diligence. We cannot be certain that we will be able to take advantage of either the patent term extension or marketing exclusivity provisions of these laws or that, if received, they will adequately protect any approved products from competition.</w:t>
      </w:r>
    </w:p>
    <w:p>
      <w:pPr>
        <w:spacing w:after="0" w:line="176"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Best Pharmaceuticals for Children Act (“BPCA”), signed into law on January 4, 2002, was reauthorized and amended by the FDA Amendments Act of 2007 (“FDAAA”). The reauthorization of BPCA adds an additional six months of marketing exclusivity and patent protection to unexpired exclusivities and unexpired patents listed with the FDA for NDA applicants that conduct acceptable pediatric studies of new and currently marketed drug products for which pediatric information would be beneficial, as identified by the FDA in a Pediatric Written Request. The data do not need to show the product to be effective in the pediatric population studied; rather, if the clinical trial is deemed to fairly address the agreement between the sponsor and the FDA in the Pediatric Written Request, the additional protection is granted.</w:t>
      </w:r>
    </w:p>
    <w:p>
      <w:pPr>
        <w:spacing w:after="0" w:line="176"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The Pediatric Research Equity Act (“PREA”), signed into law on December 3, 2003, also was reauthorized and amended by the FDAAA. The reauthorization of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The FDA may waive (partially or fully) the pediatric assessment requirement for several reasons, including if the applicant can demonstrate that reasonable attempts to produce a pediatric formulation necessary for that age group have failed. Orphan products are also exempt from the PREA requirements. The Food and Drug Administration Safety and Innovation Act signed into law on July 9, 2012, permanently renewed and strengthened BPCA and PREA.</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Under the FDA Reauthorization Act of 2017, sponsors submitting original applications on or after August 18, 2020, for product candidates intended for the treatment of adult cancer which are directed at molecular targets that the FDA determines to be substantially relevant to the growth or progression of pediatric cancer must submit, prior to marketing application submission, submit an initial Pediatric Study Plan ("iPSP") for FDA agreement, and with the application, reports from molecularly targeted pediatric cancer clinical investigations designed to yield clinically meaningful pediatric study data, using appropriate pediatric formulations, to inform potential pediatric labeling. While orphan products are not exempt from this requirement, the FDA may grant full or partial waivers, or deferrals, for submission of data.</w:t>
      </w:r>
    </w:p>
    <w:p>
      <w:pPr>
        <w:spacing w:after="0" w:line="191"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which generally is a disease or condition that affects fewer than 200,000 individuals in the U.S. Additionally, sponsors must present a plausible hypothesis for clinical superiority to obtain orphan drug designation if there is a product already approved by the FDA that is considered by the FDA to be the same as the already approved product and is intended for the same indication. Orphan drug designation does not convey any advantage in, or shorten the duration of, the regulatory review and approval process. Orphan drug designation does, however, entitle a party to financial incentives such as opportunities for grant funding towards clinical study costs, tax advantages, and certain user-fee waivers. The tax advantages, however, were limited in the 2017 Tax Cuts and Jobs Act.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except in limited circumstances. If there is already a product approved by FDA that is the same product for the same indication, the orphan designated product will only receive orphan drug exclusivity if the prior hypothesis of clinical superiority is demonstrated.</w:t>
      </w:r>
    </w:p>
    <w:p>
      <w:pPr>
        <w:sectPr>
          <w:pgSz w:w="11900" w:h="16838" w:orient="portrait"/>
          <w:cols w:equalWidth="0" w:num="1">
            <w:col w:w="11240"/>
          </w:cols>
          <w:pgMar w:left="320" w:top="418"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Regulatory Requirements</w:t>
      </w:r>
    </w:p>
    <w:p>
      <w:pPr>
        <w:spacing w:after="0" w:line="131"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Outside the U.S., our ability to market our products will also be contingent upon receiving marketing authorizations from the appropriate regulatory authorities and compliance with applicable post-approval regulatory requirements. Although the specific requirements and restrictions vary from country to country, as a general matter, foreign regulatory systems include risks similar to those associated with FDA's regulations, described above.</w:t>
      </w:r>
    </w:p>
    <w:p>
      <w:pPr>
        <w:spacing w:after="0" w:line="4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a decentralized procedure (“DCP”). Under the centralized procedure, a single application to the EMA leads to an approval granted by the European Commission which permits the marketing of the product throughout the EU. The centralized procedure is mandatory for certain classes of medicinal products such as new substances for the treatment of oncology. In addition, all medicinal products developed by certain biotechnological means, and those developed for cancer and other specified diseases and disorders, must be authorized via the centralized procedure. The centralized procedure will apply to any of our products that are developed by means of a biotechnology process or are intended for treatment of cancer. The DCP is used for products that are not eligible or required to be authorized by the centralized procedure. The centralized procedure is optional for certain other products. Since the exit of the UK from the European Union, the UK has been excluded from the centralized procedure. It will be necessary for applicants to make a separate application to the UK Medicines and Healthcare products Regulatory Agency ("MHRA") for a UK marketing authorization. There is currently no procedure for mutual EU/UK recognition of new medicinal products.</w:t>
      </w:r>
    </w:p>
    <w:p>
      <w:pPr>
        <w:spacing w:after="0" w:line="74" w:lineRule="exact"/>
        <w:rPr>
          <w:sz w:val="20"/>
          <w:szCs w:val="20"/>
          <w:color w:val="auto"/>
        </w:rPr>
      </w:pPr>
    </w:p>
    <w:p>
      <w:pPr>
        <w:jc w:val="both"/>
        <w:ind w:right="120" w:firstLine="509"/>
        <w:spacing w:after="0" w:line="329" w:lineRule="auto"/>
        <w:rPr>
          <w:sz w:val="20"/>
          <w:szCs w:val="20"/>
          <w:color w:val="auto"/>
        </w:rPr>
      </w:pPr>
      <w:r>
        <w:rPr>
          <w:rFonts w:ascii="Arial" w:cs="Arial" w:eastAsia="Arial" w:hAnsi="Arial"/>
          <w:sz w:val="16"/>
          <w:szCs w:val="16"/>
          <w:color w:val="auto"/>
        </w:rPr>
        <w:t>As with FDA approval, we may not be able to secure regulatory approvals in the EU in a timely manner, if at all. Additionally, as in the U.S., post-approval regulatory requirements, such as those regarding product manufacture, marketing, or distribution, would apply to any product that is approved in the EU, and failure to comply with such obligations could have a material adverse effect on our ability to successfully commercialize any product.</w:t>
      </w:r>
    </w:p>
    <w:p>
      <w:pPr>
        <w:spacing w:after="0" w:line="4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conduct of clinical trials in the European Union is governed by the European Clinical Trials Directive ("CTD"), which was implemented in May 2004. This Directive governs how regulatory bodies in member states control clinical trials. No clinical trial may be started without a clinical trial authorization granted by the national competent authority and favorable ethics approval. New legislation to revise and replace the European Clinical Trials Directive (the Clinical Trials Regulation/"CTR") has been passed but is not yet implemented (currently estimated for 31 January 2022). With the exit of the UK from the European Union, the UK will not be implementing the CTR and the UK provisions implementing the current law as set out in the CTD will continue to apply until amended by the UK.</w:t>
      </w:r>
    </w:p>
    <w:p>
      <w:pPr>
        <w:spacing w:after="0" w:line="83"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Accordingly, there is a marked degree of change and uncertainty both in the regulation of clinical trials and in respect of marketing authorizations which we face for our products in the EU.</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do not have the facilities or capabilities to commercially manufacture any of our drug candidates. We are and expect to continue to be dependent on contract manufacturers for supplying our existing and future candidates for clinical trials and commercial scale manufacturing of our candidates in accordance with regulatory requirements, including cGMP. Contract manufacturers may utilize their own technology, technology developed by us, or technology acquired or licensed from third parties. FDA approval of the manufacturing procedures and the site will be required prior to commercial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35"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As of June 30, 2021, we had 76 employees, 18 of whom hold a Ph.D. or M.D. degree. Other personnel resources are used from time to time as consultants or third-party service organizations on an as-needed basis. All members of our senior management team have prior experience with pharmaceutical, biotechnology or medical product companies. We believe that we have been successful in attracting skilled and experienced personnel, but there can be no assurance that we will be able to attract and retain the individuals needed.</w:t>
      </w:r>
    </w:p>
    <w:p>
      <w:pPr>
        <w:spacing w:after="0" w:line="77"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Our people are a critical component in our continued success. We strive to create a workplace of choice to attract, retain and develop top talent to achieve our strategic goals. We strive to maximize the potential of our human capital resources by creating a respectful, rewarding, and inclusive work environment that enables our employees to further our mission. We adhere to a philosophy that includes, among other things, commitments to create ongoing job opportunities, pay fair wages, and protect worker health and safety.</w:t>
      </w:r>
    </w:p>
    <w:p>
      <w:pPr>
        <w:spacing w:after="0" w:line="77" w:lineRule="exact"/>
        <w:rPr>
          <w:sz w:val="20"/>
          <w:szCs w:val="20"/>
          <w:color w:val="auto"/>
        </w:rPr>
      </w:pPr>
    </w:p>
    <w:p>
      <w:pPr>
        <w:ind w:right="520" w:firstLine="509"/>
        <w:spacing w:after="0" w:line="324" w:lineRule="auto"/>
        <w:rPr>
          <w:sz w:val="20"/>
          <w:szCs w:val="20"/>
          <w:color w:val="auto"/>
        </w:rPr>
      </w:pPr>
      <w:r>
        <w:rPr>
          <w:rFonts w:ascii="Arial" w:cs="Arial" w:eastAsia="Arial" w:hAnsi="Arial"/>
          <w:sz w:val="17"/>
          <w:szCs w:val="17"/>
          <w:color w:val="auto"/>
        </w:rPr>
        <w:t>We invest in our workforce by offering competitive salaries and benefits. We endeavor to foster a strong sense of ownership by offering stock options under our equity incentive plan. We also offer comprehensive and locally relevant benefits for all eligible employees.</w:t>
      </w:r>
    </w:p>
    <w:p>
      <w:pPr>
        <w:spacing w:after="0" w:line="39" w:lineRule="exact"/>
        <w:rPr>
          <w:sz w:val="20"/>
          <w:szCs w:val="20"/>
          <w:color w:val="auto"/>
        </w:rPr>
      </w:pPr>
    </w:p>
    <w:p>
      <w:pPr>
        <w:jc w:val="both"/>
        <w:ind w:right="80" w:firstLine="509"/>
        <w:spacing w:after="0" w:line="359" w:lineRule="auto"/>
        <w:rPr>
          <w:sz w:val="20"/>
          <w:szCs w:val="20"/>
          <w:color w:val="auto"/>
        </w:rPr>
      </w:pPr>
      <w:r>
        <w:rPr>
          <w:rFonts w:ascii="Arial" w:cs="Arial" w:eastAsia="Arial" w:hAnsi="Arial"/>
          <w:sz w:val="16"/>
          <w:szCs w:val="16"/>
          <w:color w:val="auto"/>
        </w:rPr>
        <w:t>We focus on our culture through a combination of regular training for employees at all levels, policies and practices in support of these goals, and a variety of internal and community-based events and actions that reinforce the power of our values and the unique characteristics of each of our employees.</w:t>
      </w:r>
    </w:p>
    <w:p>
      <w:pPr>
        <w:spacing w:after="0" w:line="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We have implemented COVID-19 policies designed to ensure the safety and well-being of all employees and the people associated with them. As a result of the COVID-19 pandemic, to reduce risk, our employees have been asked to work remotely, and all employees have been asked to avoid all non-essential travel, adhere to good hygiene practices, and engage in physical distancing.</w:t>
      </w:r>
    </w:p>
    <w:p>
      <w:pPr>
        <w:sectPr>
          <w:pgSz w:w="11900" w:h="16838" w:orient="portrait"/>
          <w:cols w:equalWidth="0" w:num="1">
            <w:col w:w="11220"/>
          </w:cols>
          <w:pgMar w:left="320" w:top="418"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20" w:firstLine="509"/>
        <w:spacing w:after="0" w:line="359" w:lineRule="auto"/>
        <w:rPr>
          <w:sz w:val="20"/>
          <w:szCs w:val="20"/>
          <w:color w:val="auto"/>
        </w:rPr>
      </w:pPr>
      <w:r>
        <w:rPr>
          <w:rFonts w:ascii="Arial" w:cs="Arial" w:eastAsia="Arial" w:hAnsi="Arial"/>
          <w:sz w:val="16"/>
          <w:szCs w:val="16"/>
          <w:color w:val="auto"/>
        </w:rPr>
        <w:t>None of our employees are represented by a labor union or covered by collective bargaining agreements. We have never experienced a work stoppage and believe our relationship with our employees is good. Management considers its relations with employees to generally be positive.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with or furnished to the Securities and Exchange Commission pursuant to Section 13(a) or 15(d) of the Securities Exchange Act of 1934, as amended, are available free of charge through our website at www.meipharma.com as soon as reasonably practicable after they are electronically filed with, or furnished to, the Securities and Exchange Commission.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i w:val="1"/>
          <w:iCs w:val="1"/>
          <w:color w:val="auto"/>
        </w:rPr>
        <w:t>Investment in our securities involves a high degree of risk. You should consider carefully the risks described below, together with other information in this Annual Report and other public filings, before making investment decisions regarding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Moreover, the risks described below are not the only ones that we face. Additional risks not presently known to us or that we currently deem immaterial may also affect our business, operating results, prospects or financial condition.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common stock. Set forth below is a summary of the principal risks we face:</w:t>
      </w:r>
    </w:p>
    <w:p>
      <w:pPr>
        <w:spacing w:after="0" w:line="62" w:lineRule="exact"/>
        <w:rPr>
          <w:sz w:val="20"/>
          <w:szCs w:val="20"/>
          <w:color w:val="auto"/>
        </w:rPr>
      </w:pPr>
    </w:p>
    <w:p>
      <w:pPr>
        <w:ind w:left="960" w:right="180"/>
        <w:spacing w:after="0" w:line="299" w:lineRule="auto"/>
        <w:rPr>
          <w:sz w:val="20"/>
          <w:szCs w:val="20"/>
          <w:color w:val="auto"/>
        </w:rPr>
      </w:pPr>
      <w:r>
        <w:rPr>
          <w:rFonts w:ascii="Arial" w:cs="Arial" w:eastAsia="Arial" w:hAnsi="Arial"/>
          <w:sz w:val="16"/>
          <w:szCs w:val="16"/>
          <w:color w:val="auto"/>
        </w:rPr>
        <w:t>We will need substantial additional funds to progress the clinical trial program for our drug candidates, and to develop new compounds. The actual amount of funds we will need will be determined by a number of factors, some of which are beyond our control;</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are a clinical research and development stage company and are likely to incur operating losses for the foreseeable future;</w:t>
      </w:r>
    </w:p>
    <w:p>
      <w:pPr>
        <w:spacing w:after="0" w:line="23" w:lineRule="exact"/>
        <w:rPr>
          <w:sz w:val="20"/>
          <w:szCs w:val="20"/>
          <w:color w:val="auto"/>
        </w:rPr>
      </w:pPr>
    </w:p>
    <w:p>
      <w:pPr>
        <w:ind w:left="960" w:right="100"/>
        <w:spacing w:after="0" w:line="266" w:lineRule="auto"/>
        <w:rPr>
          <w:sz w:val="20"/>
          <w:szCs w:val="20"/>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ind w:left="960" w:right="180"/>
        <w:spacing w:after="0" w:line="266" w:lineRule="auto"/>
        <w:rPr>
          <w:sz w:val="20"/>
          <w:szCs w:val="20"/>
          <w:color w:val="auto"/>
        </w:rPr>
      </w:pPr>
      <w:r>
        <w:rPr>
          <w:rFonts w:ascii="Arial" w:cs="Arial" w:eastAsia="Arial" w:hAnsi="Arial"/>
          <w:sz w:val="18"/>
          <w:szCs w:val="18"/>
          <w:color w:val="auto"/>
        </w:rPr>
        <w:t>The outbreak of the novel coronavirus disease, COVID-19, or other pandemic, epidemic or outbreak of an infectious disease may materially and adversely impact our business, including our preclinical studies and clinical trials;</w:t>
      </w:r>
    </w:p>
    <w:p>
      <w:pPr>
        <w:ind w:left="960"/>
        <w:spacing w:after="0"/>
        <w:rPr>
          <w:sz w:val="20"/>
          <w:szCs w:val="20"/>
          <w:color w:val="auto"/>
        </w:rPr>
      </w:pPr>
      <w:r>
        <w:rPr>
          <w:rFonts w:ascii="Arial" w:cs="Arial" w:eastAsia="Arial" w:hAnsi="Arial"/>
          <w:sz w:val="18"/>
          <w:szCs w:val="18"/>
          <w:color w:val="auto"/>
        </w:rPr>
        <w:t>Changes in drug candidate manufacturing or formulation may result in additional costs or delay;</w:t>
      </w:r>
    </w:p>
    <w:p>
      <w:pPr>
        <w:spacing w:after="0" w:line="23"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ind w:left="960" w:right="60"/>
        <w:spacing w:after="0" w:line="266" w:lineRule="auto"/>
        <w:rPr>
          <w:sz w:val="20"/>
          <w:szCs w:val="20"/>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ind w:left="960" w:right="100"/>
        <w:spacing w:after="0" w:line="266" w:lineRule="auto"/>
        <w:rPr>
          <w:sz w:val="20"/>
          <w:szCs w:val="20"/>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ind w:left="960" w:right="80"/>
        <w:spacing w:after="0" w:line="266" w:lineRule="auto"/>
        <w:rPr>
          <w:sz w:val="20"/>
          <w:szCs w:val="20"/>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ind w:left="960" w:right="580"/>
        <w:spacing w:after="0" w:line="266" w:lineRule="auto"/>
        <w:rPr>
          <w:sz w:val="20"/>
          <w:szCs w:val="20"/>
          <w:color w:val="auto"/>
        </w:rPr>
      </w:pPr>
      <w:r>
        <w:rPr>
          <w:rFonts w:ascii="Arial" w:cs="Arial" w:eastAsia="Arial" w:hAnsi="Arial"/>
          <w:sz w:val="18"/>
          <w:szCs w:val="18"/>
          <w:color w:val="auto"/>
        </w:rPr>
        <w:t>The FDA may determine that our drug candidates have undesirable side effects that could delay or prevent their regulatory approval or commercialization;</w:t>
      </w:r>
    </w:p>
    <w:p>
      <w:pPr>
        <w:ind w:left="960" w:right="240"/>
        <w:spacing w:after="0" w:line="266" w:lineRule="auto"/>
        <w:rPr>
          <w:sz w:val="20"/>
          <w:szCs w:val="20"/>
          <w:color w:val="auto"/>
        </w:rPr>
      </w:pPr>
      <w:r>
        <w:rPr>
          <w:rFonts w:ascii="Arial" w:cs="Arial" w:eastAsia="Arial" w:hAnsi="Arial"/>
          <w:sz w:val="18"/>
          <w:szCs w:val="18"/>
          <w:color w:val="auto"/>
        </w:rPr>
        <w:t>If we experience delays or difficulties in the enrolment of patients in clinical trials, our completion of clinical trials and receipt of necessary regulatory approvals could be delayed or prevented;</w:t>
      </w:r>
    </w:p>
    <w:p>
      <w:pPr>
        <w:ind w:left="960" w:right="260"/>
        <w:spacing w:after="0" w:line="266" w:lineRule="auto"/>
        <w:rPr>
          <w:sz w:val="20"/>
          <w:szCs w:val="20"/>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ind w:left="960"/>
        <w:spacing w:after="0"/>
        <w:rPr>
          <w:sz w:val="20"/>
          <w:szCs w:val="20"/>
          <w:color w:val="auto"/>
        </w:rPr>
      </w:pPr>
      <w:r>
        <w:rPr>
          <w:rFonts w:ascii="Arial" w:cs="Arial" w:eastAsia="Arial" w:hAnsi="Arial"/>
          <w:sz w:val="18"/>
          <w:szCs w:val="18"/>
          <w:color w:val="auto"/>
        </w:rPr>
        <w:t>Failure to obtain regulatory approval in foreign jurisdictions would prevent us from marketing our products internationally;</w:t>
      </w:r>
    </w:p>
    <w:p>
      <w:pPr>
        <w:spacing w:after="0" w:line="23"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ind w:left="960"/>
        <w:spacing w:after="0"/>
        <w:rPr>
          <w:sz w:val="20"/>
          <w:szCs w:val="20"/>
          <w:color w:val="auto"/>
        </w:rPr>
      </w:pPr>
      <w:r>
        <w:rPr>
          <w:rFonts w:ascii="Arial" w:cs="Arial" w:eastAsia="Arial" w:hAnsi="Arial"/>
          <w:sz w:val="18"/>
          <w:szCs w:val="18"/>
          <w:color w:val="auto"/>
        </w:rPr>
        <w:t>Any orphan drug designations we receive may not confer marketing exclusivity or other benefits;</w:t>
      </w:r>
    </w:p>
    <w:p>
      <w:pPr>
        <w:spacing w:after="0" w:line="23" w:lineRule="exact"/>
        <w:rPr>
          <w:sz w:val="20"/>
          <w:szCs w:val="20"/>
          <w:color w:val="auto"/>
        </w:rPr>
      </w:pPr>
    </w:p>
    <w:p>
      <w:pPr>
        <w:ind w:left="960" w:right="500"/>
        <w:spacing w:after="0" w:line="292" w:lineRule="auto"/>
        <w:rPr>
          <w:sz w:val="20"/>
          <w:szCs w:val="20"/>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960" w:right="500"/>
        <w:spacing w:after="0" w:line="266" w:lineRule="auto"/>
        <w:rPr>
          <w:sz w:val="20"/>
          <w:szCs w:val="20"/>
          <w:color w:val="auto"/>
        </w:rPr>
      </w:pPr>
      <w:r>
        <w:rPr>
          <w:rFonts w:ascii="Arial" w:cs="Arial" w:eastAsia="Arial" w:hAnsi="Arial"/>
          <w:sz w:val="18"/>
          <w:szCs w:val="18"/>
          <w:color w:val="auto"/>
        </w:rPr>
        <w:t>If any products we develop become subject to unfavorable pricing regulations, third-party reimbursement practices or healthcare reform initiatives, our ability to successfully commercialize our products will be impaired;</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drug candidates are subject to ongoing government regulation both before and after regulatory approval;</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be able to establish the contractual arrangements necessary to develop, market and distribute our drug candidates;</w:t>
      </w:r>
    </w:p>
    <w:p>
      <w:pPr>
        <w:spacing w:after="0" w:line="23" w:lineRule="exact"/>
        <w:rPr>
          <w:sz w:val="20"/>
          <w:szCs w:val="20"/>
          <w:color w:val="auto"/>
        </w:rPr>
      </w:pPr>
    </w:p>
    <w:p>
      <w:pPr>
        <w:ind w:left="960"/>
        <w:spacing w:after="0" w:line="266" w:lineRule="auto"/>
        <w:rPr>
          <w:sz w:val="20"/>
          <w:szCs w:val="20"/>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ind w:left="960"/>
        <w:spacing w:after="0"/>
        <w:rPr>
          <w:sz w:val="20"/>
          <w:szCs w:val="20"/>
          <w:color w:val="auto"/>
        </w:rPr>
      </w:pPr>
      <w:r>
        <w:rPr>
          <w:rFonts w:ascii="Arial" w:cs="Arial" w:eastAsia="Arial" w:hAnsi="Arial"/>
          <w:sz w:val="18"/>
          <w:szCs w:val="18"/>
          <w:color w:val="auto"/>
        </w:rPr>
        <w:t>Our product candidates may face competition sooner than anticipated;</w:t>
      </w:r>
    </w:p>
    <w:p>
      <w:pPr>
        <w:spacing w:after="0" w:line="23" w:lineRule="exact"/>
        <w:rPr>
          <w:sz w:val="20"/>
          <w:szCs w:val="20"/>
          <w:color w:val="auto"/>
        </w:rPr>
      </w:pPr>
    </w:p>
    <w:p>
      <w:pPr>
        <w:ind w:left="960" w:right="320"/>
        <w:spacing w:after="0" w:line="266" w:lineRule="auto"/>
        <w:rPr>
          <w:sz w:val="20"/>
          <w:szCs w:val="20"/>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jc w:val="both"/>
        <w:ind w:left="960" w:right="240"/>
        <w:spacing w:after="0" w:line="266" w:lineRule="auto"/>
        <w:rPr>
          <w:sz w:val="20"/>
          <w:szCs w:val="20"/>
          <w:color w:val="auto"/>
        </w:rPr>
      </w:pPr>
      <w:r>
        <w:rPr>
          <w:rFonts w:ascii="Arial" w:cs="Arial" w:eastAsia="Arial" w:hAnsi="Arial"/>
          <w:sz w:val="18"/>
          <w:szCs w:val="18"/>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ind w:left="960"/>
        <w:spacing w:after="0"/>
        <w:rPr>
          <w:sz w:val="20"/>
          <w:szCs w:val="20"/>
          <w:color w:val="auto"/>
        </w:rPr>
      </w:pPr>
      <w:r>
        <w:rPr>
          <w:rFonts w:ascii="Arial" w:cs="Arial" w:eastAsia="Arial" w:hAnsi="Arial"/>
          <w:sz w:val="18"/>
          <w:szCs w:val="18"/>
          <w:color w:val="auto"/>
        </w:rPr>
        <w:t>We rely on acquisitions or licenses from third parties to expand our pipeline of drug candidates;</w:t>
      </w:r>
    </w:p>
    <w:p>
      <w:pPr>
        <w:spacing w:after="0" w:line="23" w:lineRule="exact"/>
        <w:rPr>
          <w:sz w:val="20"/>
          <w:szCs w:val="20"/>
          <w:color w:val="auto"/>
        </w:rPr>
      </w:pPr>
    </w:p>
    <w:p>
      <w:pPr>
        <w:jc w:val="both"/>
        <w:ind w:left="960" w:right="240"/>
        <w:spacing w:after="0" w:line="266" w:lineRule="auto"/>
        <w:rPr>
          <w:sz w:val="20"/>
          <w:szCs w:val="20"/>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jc w:val="both"/>
        <w:ind w:left="960" w:right="220"/>
        <w:spacing w:after="0" w:line="266" w:lineRule="auto"/>
        <w:rPr>
          <w:sz w:val="20"/>
          <w:szCs w:val="20"/>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ind w:left="960" w:right="160"/>
        <w:spacing w:after="0" w:line="266" w:lineRule="auto"/>
        <w:rPr>
          <w:sz w:val="20"/>
          <w:szCs w:val="20"/>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ind w:left="960" w:right="1080"/>
        <w:spacing w:after="0" w:line="266" w:lineRule="auto"/>
        <w:rPr>
          <w:sz w:val="20"/>
          <w:szCs w:val="20"/>
          <w:color w:val="auto"/>
        </w:rPr>
      </w:pPr>
      <w:r>
        <w:rPr>
          <w:rFonts w:ascii="Arial" w:cs="Arial" w:eastAsia="Arial" w:hAnsi="Arial"/>
          <w:sz w:val="18"/>
          <w:szCs w:val="18"/>
          <w:color w:val="auto"/>
        </w:rPr>
        <w:t>We may be subject to substantial costs stemming from our defense against third-party intellectual property infringement claims; We face a risk of product liability claims and claims may exceed our insurance limits;</w:t>
      </w:r>
    </w:p>
    <w:p>
      <w:pPr>
        <w:ind w:left="960" w:right="40"/>
        <w:spacing w:after="0" w:line="266" w:lineRule="auto"/>
        <w:rPr>
          <w:sz w:val="20"/>
          <w:szCs w:val="20"/>
          <w:color w:val="auto"/>
        </w:rPr>
      </w:pPr>
      <w:r>
        <w:rPr>
          <w:rFonts w:ascii="Arial" w:cs="Arial" w:eastAsia="Arial" w:hAnsi="Arial"/>
          <w:sz w:val="18"/>
          <w:szCs w:val="18"/>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ind w:left="960"/>
        <w:spacing w:after="0"/>
        <w:rPr>
          <w:sz w:val="20"/>
          <w:szCs w:val="20"/>
          <w:color w:val="auto"/>
        </w:rPr>
      </w:pPr>
      <w:r>
        <w:rPr>
          <w:rFonts w:ascii="Arial" w:cs="Arial" w:eastAsia="Arial" w:hAnsi="Arial"/>
          <w:sz w:val="18"/>
          <w:szCs w:val="18"/>
          <w:color w:val="auto"/>
        </w:rPr>
        <w:t>Our business and operations would suffer in the event of system failures;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efforts will be seriously jeopardized if we are unable to retain and attract key employees;</w:t>
      </w:r>
    </w:p>
    <w:p>
      <w:pPr>
        <w:spacing w:after="0" w:line="23" w:lineRule="exact"/>
        <w:rPr>
          <w:sz w:val="20"/>
          <w:szCs w:val="20"/>
          <w:color w:val="auto"/>
        </w:rPr>
      </w:pPr>
    </w:p>
    <w:p>
      <w:pPr>
        <w:ind w:left="960" w:right="540"/>
        <w:spacing w:after="0" w:line="266" w:lineRule="auto"/>
        <w:rPr>
          <w:sz w:val="20"/>
          <w:szCs w:val="20"/>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ind w:left="960" w:right="380"/>
        <w:spacing w:after="0" w:line="266" w:lineRule="auto"/>
        <w:rPr>
          <w:sz w:val="20"/>
          <w:szCs w:val="20"/>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jc w:val="both"/>
        <w:ind w:left="960" w:right="20"/>
        <w:spacing w:after="0" w:line="266" w:lineRule="auto"/>
        <w:rPr>
          <w:sz w:val="20"/>
          <w:szCs w:val="20"/>
          <w:color w:val="auto"/>
        </w:rPr>
      </w:pPr>
      <w:r>
        <w:rPr>
          <w:rFonts w:ascii="Arial" w:cs="Arial" w:eastAsia="Arial" w:hAnsi="Arial"/>
          <w:sz w:val="18"/>
          <w:szCs w:val="18"/>
          <w:color w:val="auto"/>
        </w:rPr>
        <w:t>If we fail to establish and maintain proper and effective internal controls, our ability to produce accurate financial statements on a timely basis could be impaired, which would adversely affect our operating results, our ability to operate our business, and our stock price, and could result in litigation or similar actions;</w:t>
      </w:r>
    </w:p>
    <w:p>
      <w:pPr>
        <w:ind w:left="960" w:right="340"/>
        <w:spacing w:after="0" w:line="266" w:lineRule="auto"/>
        <w:rPr>
          <w:sz w:val="20"/>
          <w:szCs w:val="20"/>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ind w:left="960" w:right="200"/>
        <w:spacing w:after="0" w:line="266" w:lineRule="auto"/>
        <w:rPr>
          <w:sz w:val="20"/>
          <w:szCs w:val="20"/>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ind w:left="960"/>
        <w:spacing w:after="0" w:line="266" w:lineRule="auto"/>
        <w:rPr>
          <w:sz w:val="20"/>
          <w:szCs w:val="20"/>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ind w:left="960"/>
        <w:spacing w:after="0"/>
        <w:rPr>
          <w:sz w:val="20"/>
          <w:szCs w:val="20"/>
          <w:color w:val="auto"/>
        </w:rPr>
      </w:pPr>
      <w:r>
        <w:rPr>
          <w:rFonts w:ascii="Arial" w:cs="Arial" w:eastAsia="Arial" w:hAnsi="Arial"/>
          <w:sz w:val="18"/>
          <w:szCs w:val="18"/>
          <w:color w:val="auto"/>
        </w:rPr>
        <w:t>Limitations on the deductibility of net operating losses could adversely affect our business and financial condition;</w:t>
      </w:r>
    </w:p>
    <w:p>
      <w:pPr>
        <w:spacing w:after="0" w:line="23"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ind w:left="960" w:right="120"/>
        <w:spacing w:after="0" w:line="266" w:lineRule="auto"/>
        <w:rPr>
          <w:sz w:val="20"/>
          <w:szCs w:val="20"/>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ind w:left="960" w:right="200"/>
        <w:spacing w:after="0" w:line="266" w:lineRule="auto"/>
        <w:rPr>
          <w:sz w:val="20"/>
          <w:szCs w:val="20"/>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ind w:left="960" w:right="1720"/>
        <w:spacing w:after="0" w:line="299" w:lineRule="auto"/>
        <w:rPr>
          <w:sz w:val="20"/>
          <w:szCs w:val="20"/>
          <w:color w:val="auto"/>
        </w:rPr>
      </w:pPr>
      <w:r>
        <w:rPr>
          <w:rFonts w:ascii="Arial" w:cs="Arial" w:eastAsia="Arial" w:hAnsi="Arial"/>
          <w:sz w:val="16"/>
          <w:szCs w:val="16"/>
          <w:color w:val="auto"/>
        </w:rPr>
        <w:t>We will have broad discretion over the use of the net proceeds from any exercise of outstanding warrants and options; We are authorized to issue blank check preferred stock, which could adversely affect the holders of our common stock;</w:t>
      </w:r>
    </w:p>
    <w:p>
      <w:pPr>
        <w:spacing w:after="0" w:line="1" w:lineRule="exact"/>
        <w:rPr>
          <w:sz w:val="20"/>
          <w:szCs w:val="20"/>
          <w:color w:val="auto"/>
        </w:rPr>
      </w:pPr>
    </w:p>
    <w:p>
      <w:pPr>
        <w:ind w:left="960" w:right="60"/>
        <w:spacing w:after="0" w:line="266" w:lineRule="auto"/>
        <w:rPr>
          <w:sz w:val="20"/>
          <w:szCs w:val="20"/>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ind w:left="960" w:right="160"/>
        <w:spacing w:after="0" w:line="266" w:lineRule="auto"/>
        <w:rPr>
          <w:sz w:val="20"/>
          <w:szCs w:val="20"/>
          <w:color w:val="auto"/>
        </w:rPr>
      </w:pPr>
      <w:r>
        <w:rPr>
          <w:rFonts w:ascii="Arial" w:cs="Arial" w:eastAsia="Arial" w:hAnsi="Arial"/>
          <w:sz w:val="18"/>
          <w:szCs w:val="18"/>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ind w:left="960"/>
        <w:spacing w:after="0"/>
        <w:rPr>
          <w:sz w:val="20"/>
          <w:szCs w:val="20"/>
          <w:color w:val="auto"/>
        </w:rPr>
      </w:pPr>
      <w:r>
        <w:rPr>
          <w:rFonts w:ascii="Arial" w:cs="Arial" w:eastAsia="Arial" w:hAnsi="Arial"/>
          <w:sz w:val="18"/>
          <w:szCs w:val="18"/>
          <w:color w:val="auto"/>
        </w:rPr>
        <w:t>Our executive officers and directors may sell shares of their stock, and these sales could adversely affect our stock price.</w:t>
      </w:r>
    </w:p>
    <w:p>
      <w:pPr>
        <w:sectPr>
          <w:pgSz w:w="11900" w:h="16838" w:orient="portrait"/>
          <w:cols w:equalWidth="0" w:num="1">
            <w:col w:w="11240"/>
          </w:cols>
          <w:pgMar w:left="320" w:top="418"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Development Stage</w:t>
      </w:r>
    </w:p>
    <w:p>
      <w:pPr>
        <w:spacing w:after="0" w:line="135" w:lineRule="exact"/>
        <w:rPr>
          <w:sz w:val="20"/>
          <w:szCs w:val="20"/>
          <w:color w:val="auto"/>
        </w:rPr>
      </w:pPr>
    </w:p>
    <w:p>
      <w:pPr>
        <w:ind w:right="320"/>
        <w:spacing w:after="0" w:line="359" w:lineRule="auto"/>
        <w:rPr>
          <w:sz w:val="20"/>
          <w:szCs w:val="20"/>
          <w:color w:val="auto"/>
        </w:rPr>
      </w:pPr>
      <w:r>
        <w:rPr>
          <w:rFonts w:ascii="Arial" w:cs="Arial" w:eastAsia="Arial" w:hAnsi="Arial"/>
          <w:sz w:val="16"/>
          <w:szCs w:val="16"/>
          <w:b w:val="1"/>
          <w:bCs w:val="1"/>
          <w:i w:val="1"/>
          <w:iCs w:val="1"/>
          <w:color w:val="auto"/>
        </w:rPr>
        <w:t>We will need substantial additional funds to progress the clinical trial program for our drug candidates, and to develop new compounds. The actual amount of funds we will need will be determined by a number of factors, some of which are beyond our control.</w:t>
      </w:r>
    </w:p>
    <w:p>
      <w:pPr>
        <w:spacing w:after="0" w:line="17"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8"/>
          <w:szCs w:val="18"/>
          <w:color w:val="auto"/>
        </w:rPr>
        <w:t>We will need substantial additional funds to progress the clinical trial program for our drug candidates and to develop any additional compounds. The factors that will determine the actual amount of funds that we will need to progress the clinical trial programs may include, but are not limited to, the following: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therapeutic indications for use being developed;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clinical trial endpoint required to achieve regulatory approval;</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clinical trials required to achieve regulatory approval;</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sites included in the trials;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length of time required to enroll suitable patients;</w:t>
      </w:r>
    </w:p>
    <w:p>
      <w:pPr>
        <w:spacing w:after="0" w:line="23" w:lineRule="exact"/>
        <w:rPr>
          <w:sz w:val="20"/>
          <w:szCs w:val="20"/>
          <w:color w:val="auto"/>
        </w:rPr>
      </w:pPr>
    </w:p>
    <w:p>
      <w:pPr>
        <w:jc w:val="both"/>
        <w:ind w:left="960" w:right="4100"/>
        <w:spacing w:after="0" w:line="299" w:lineRule="auto"/>
        <w:rPr>
          <w:sz w:val="20"/>
          <w:szCs w:val="20"/>
          <w:color w:val="auto"/>
        </w:rPr>
      </w:pPr>
      <w:r>
        <w:rPr>
          <w:rFonts w:ascii="Arial" w:cs="Arial" w:eastAsia="Arial" w:hAnsi="Arial"/>
          <w:sz w:val="16"/>
          <w:szCs w:val="16"/>
          <w:color w:val="auto"/>
        </w:rPr>
        <w:t>the number of patients who participate in the trials and the rate that they are recruited; the number of treatment cycles patients complete while they are enrolled in the trials;</w:t>
      </w:r>
    </w:p>
    <w:p>
      <w:pPr>
        <w:spacing w:after="0" w:line="1" w:lineRule="exact"/>
        <w:rPr>
          <w:sz w:val="20"/>
          <w:szCs w:val="20"/>
          <w:color w:val="auto"/>
        </w:rPr>
      </w:pPr>
    </w:p>
    <w:p>
      <w:pPr>
        <w:ind w:left="960" w:right="2940"/>
        <w:spacing w:after="0" w:line="292" w:lineRule="auto"/>
        <w:rPr>
          <w:sz w:val="20"/>
          <w:szCs w:val="20"/>
          <w:color w:val="auto"/>
        </w:rPr>
      </w:pPr>
      <w:r>
        <w:rPr>
          <w:rFonts w:ascii="Arial" w:cs="Arial" w:eastAsia="Arial" w:hAnsi="Arial"/>
          <w:sz w:val="18"/>
          <w:szCs w:val="18"/>
          <w:color w:val="auto"/>
        </w:rPr>
        <w:t>costs and potential difficulties encountered in manufacturing sufficient drug product for the trials; and the efficacy and safety profile of the product.</w:t>
      </w:r>
    </w:p>
    <w:p>
      <w:pPr>
        <w:spacing w:after="0" w:line="17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have been opportunistic in our efforts to obtain cash, and we expect to continue to evaluate various funding alternatives from time to time. If we obtain additional funding, it may adversely affect the market price of our common stock and may be dilutive to existing stockholders. If we are unable to obtain additional funds on favorable terms or at all, we may be required to cease or reduce our operations. We may sell additional shares of common stock, and securities exercisable for or convertible into shares of our common stock, or we may seek to obtain debt financing, in each case, to satisfy our capital and operating needs; however, such transactions will be subject to market conditions and there can be no assurance any such transactions will be completed.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 research and development stage company and are likely to incur operating losses for the foreseeable future.</w:t>
      </w:r>
    </w:p>
    <w:p>
      <w:pPr>
        <w:spacing w:after="0" w:line="131"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You should consider our prospects in light of the risks and difficulties frequently encountered by clinical research stage and developmental companies. We have incurred net losses of $327.8 million from our inception through June 30, 2021, including a net loss of $68.7 million for the year ended June 30, 2021 (excluding $18.1 million of non-cash gain resulting from a change in fair value of our warrant liability), a net loss of $23.1 million for the year ended June 30, 2020 (excluding $22.9 million of non-cash expense resulting from a change in fair value of our warrant liability), and a net loss of $44.5 million for the year ended June 30, 2019 (excluding $27.6 million of non-cash income resulting from a change in the fair value of our warrant liability). We anticipate that we will incur operating losses and negative operating cash flow for the foreseeable future. We have not yet commercialized any drug candidates and cannot be sure that we will ever be able to do so, or that we may ever become profitable.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Clinical Trials</w:t>
      </w:r>
    </w:p>
    <w:p>
      <w:pPr>
        <w:spacing w:after="0" w:line="351"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The results of pre-clinical studies and completed clinical trials are not necessarily predictive of future results, and our current drug candidates may not have favorable results in later studies or trials.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Pre-clinical studies and Phase 1 and Phase 2 clinical trials are an expensive and uncertain process that may take years to complete. Pre-clinical studies and Phase 1 and Phase 2 clinical trials are usually not primarily designed to test the efficacy of a drug candidate, but rather to test safety, to study pharmacokinetics and pharmacodynamics, and to understand the drug candidate’s side effects at various doses and schedules. Favorable results in early studies or trials, as well as small studies or trials, may not be repeated in later studies or trials, including ongoing pre-clinical studies, large-scale Phase 3 clinical trials, or other studies intended as registration trials, and our drug candidates in later-stage trials may fail to show desired safety and efficacy despite having progressed through earlier-stage trials. Interim and top-line results, as well as any results from post-hoc data analyses, may also not be predictive of the final results of a clinical study and/or may not support product approval. The FDA also generally does not accept post-hoc data analyses as support for regulatory approval.</w:t>
      </w:r>
    </w:p>
    <w:p>
      <w:pPr>
        <w:spacing w:after="0" w:line="8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 July 2020, we announced the discontinuation of the Phase 3 study conducted by Helsinn with respect to the use of pracinostat for the treatment of AML because of the failure to meet the primary endpoint of the study, despite prior encouraging results in our earlier Phase 1 and Phase 2 clinical trials. The results of the Phase 3 pracinostat study for the treatment of AML may also impact the interpretation of the results from our pracinostat study for MDS. Moreover, comparisons of results across different studies should be viewed with caution as such comparisons are limited by a number of factors, including differences in study designs and populations. Such comparisons also will not provide a sufficient basis for any comparative claims following product approval. Unfavorable results from ongoing pre-clinical studies or</w:t>
      </w:r>
    </w:p>
    <w:p>
      <w:pPr>
        <w:sectPr>
          <w:pgSz w:w="11900" w:h="16838" w:orient="portrait"/>
          <w:cols w:equalWidth="0" w:num="1">
            <w:col w:w="11240"/>
          </w:cols>
          <w:pgMar w:left="320" w:top="418"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clinical trials could result in delays, modifications or abandonment of ongoing or future clinical trials, or abandonment of a clinical program. Pre-clinical and clinical results are frequently susceptible to varying interpretations that may delay, limit or prevent regulatory approvals or commercialization. Negative or inconclusive results or adverse medical events during a clinical trial could cause a clinical trial to be delayed, repeated or terminated, or a clinical program to be abandoned.</w:t>
      </w:r>
    </w:p>
    <w:p>
      <w:pPr>
        <w:spacing w:after="0" w:line="293"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62"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In December 2019, the novel coronavirus disease, COVID-19, was identified in Wuhan, China. This virus has been declared a pandemic and has spread to multiple global regions.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COVID-19 outbreak, “shelter in place” orders and other public health guidance measures were implemented across much of the United States, Europe and Asia, including in the locations of our offices, clinical trial sites, key vendors and partners. Although some of such orders have been lifted in certain geographic locations, such measures may be, and, in some cases, have been re-implemented due an increase in the number of positive cases of COVID-19 or severity thereof, including cases attributable to new variants. These restrictions, as well as government restrictions on travel and a lack of public confidence in the safety of air travel and the use of public transportation have reduced and may continue to reduce the willingness of patients to participate in our clinical trials and the ability of regulatory officials and clinical monitors to perform visits of our clinical trial locations. As a result, our clinical development program timelines have been and may continue to be negatively affected by COVID-19, which could materially and adversely affect our business, financial condition and results of operations. Despite the vaccination of a large portion of the U.S. adult population, a significant portion of the global adult population remains unvaccinated and effective vaccines for children have not yet been developed or approved. The ineffectiveness of vaccines or public perception thereof, including in combating the “delta” variant or new variants of the virus, could lead to increased governmental restrictions and changes in public behavior adversely affecting the economy. Further, due to “shelter in place” orders and other public health guidance measures, we have implemented a work-from-home policy for all staff members excluding those necessary to maintain minimum basic operations. Our increased reliance on personnel working from home may negatively impact productivity, or disrupt, delay or otherwise adversely impact our business.</w:t>
      </w:r>
    </w:p>
    <w:p>
      <w:pPr>
        <w:spacing w:after="0" w:line="169" w:lineRule="exact"/>
        <w:rPr>
          <w:sz w:val="20"/>
          <w:szCs w:val="20"/>
          <w:color w:val="auto"/>
        </w:rPr>
      </w:pPr>
    </w:p>
    <w:p>
      <w:pPr>
        <w:jc w:val="both"/>
        <w:ind w:right="200" w:firstLine="509"/>
        <w:spacing w:after="0" w:line="329" w:lineRule="auto"/>
        <w:rPr>
          <w:sz w:val="20"/>
          <w:szCs w:val="20"/>
          <w:color w:val="auto"/>
        </w:rPr>
      </w:pPr>
      <w:r>
        <w:rPr>
          <w:rFonts w:ascii="Arial" w:cs="Arial" w:eastAsia="Arial" w:hAnsi="Arial"/>
          <w:sz w:val="16"/>
          <w:szCs w:val="16"/>
          <w:color w:val="auto"/>
        </w:rPr>
        <w:t>As a result of the COVID-19 outbreak, or similar pandemics, and related “shelter in place” orders and other public health guidance measures, we have experienced disruptions that have materially and adversely impacted our clinical trials, including delays in patient enrollment. We may in the future experience disruptions that could materially and adversely impact our clinical trials, business, financial condition and results of operations, including:</w:t>
      </w:r>
    </w:p>
    <w:p>
      <w:pPr>
        <w:spacing w:after="0" w:line="40" w:lineRule="exact"/>
        <w:rPr>
          <w:sz w:val="20"/>
          <w:szCs w:val="20"/>
          <w:color w:val="auto"/>
        </w:rPr>
      </w:pPr>
    </w:p>
    <w:p>
      <w:pPr>
        <w:ind w:left="960" w:right="440"/>
        <w:spacing w:after="0" w:line="266" w:lineRule="auto"/>
        <w:rPr>
          <w:sz w:val="20"/>
          <w:szCs w:val="20"/>
          <w:color w:val="auto"/>
        </w:rPr>
      </w:pPr>
      <w:r>
        <w:rPr>
          <w:rFonts w:ascii="Arial" w:cs="Arial" w:eastAsia="Arial" w:hAnsi="Arial"/>
          <w:sz w:val="18"/>
          <w:szCs w:val="18"/>
          <w:color w:val="auto"/>
        </w:rPr>
        <w:t>additional delays or difficulties in enrolling patients in our clinical trials, including the potential need to suspend or delay enrollment. By example, we experienced enrollment delays in our TIDAL study and could possibly in our COASTAL study;</w:t>
      </w:r>
    </w:p>
    <w:p>
      <w:pPr>
        <w:spacing w:after="0" w:line="1" w:lineRule="exact"/>
        <w:rPr>
          <w:sz w:val="20"/>
          <w:szCs w:val="20"/>
          <w:color w:val="auto"/>
        </w:rPr>
      </w:pPr>
    </w:p>
    <w:p>
      <w:pPr>
        <w:ind w:left="960" w:right="100"/>
        <w:spacing w:after="0" w:line="266" w:lineRule="auto"/>
        <w:rPr>
          <w:sz w:val="20"/>
          <w:szCs w:val="20"/>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ind w:left="960" w:right="460"/>
        <w:spacing w:after="0" w:line="266" w:lineRule="auto"/>
        <w:rPr>
          <w:sz w:val="20"/>
          <w:szCs w:val="20"/>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due to social distancing measures or state law requirements, or being forced to quarantine;</w:t>
      </w:r>
    </w:p>
    <w:p>
      <w:pPr>
        <w:ind w:left="960" w:right="580"/>
        <w:spacing w:after="0" w:line="266" w:lineRule="auto"/>
        <w:rPr>
          <w:sz w:val="20"/>
          <w:szCs w:val="20"/>
          <w:color w:val="auto"/>
        </w:rPr>
      </w:pPr>
      <w:r>
        <w:rPr>
          <w:rFonts w:ascii="Arial" w:cs="Arial" w:eastAsia="Arial" w:hAnsi="Arial"/>
          <w:sz w:val="18"/>
          <w:szCs w:val="18"/>
          <w:color w:val="auto"/>
        </w:rPr>
        <w:t>diversion of healthcare resources away from the conduct of clinical trials or the closure of clinical trial sites, including the diversion of hospitals serving as our clinical trial sites and hospital staff supporting the conduct of our clinical trials; the need to modify, suspend, postpone, or terminate clinical trials;</w:t>
      </w:r>
    </w:p>
    <w:p>
      <w:pPr>
        <w:ind w:left="960" w:right="120"/>
        <w:spacing w:after="0" w:line="266" w:lineRule="auto"/>
        <w:rPr>
          <w:sz w:val="20"/>
          <w:szCs w:val="20"/>
          <w:color w:val="auto"/>
        </w:rPr>
      </w:pPr>
      <w:r>
        <w:rPr>
          <w:rFonts w:ascii="Arial" w:cs="Arial" w:eastAsia="Arial" w:hAnsi="Arial"/>
          <w:sz w:val="18"/>
          <w:szCs w:val="18"/>
          <w:color w:val="auto"/>
        </w:rPr>
        <w:t>the need to implement alternative study procedures, including alternative methods for drug candidate delivery and administration, alternative study sites, remote study procedures, and alternative methods to obtain subject informed consent;</w:t>
      </w:r>
    </w:p>
    <w:p>
      <w:pPr>
        <w:ind w:left="960" w:right="140"/>
        <w:spacing w:after="0" w:line="266" w:lineRule="auto"/>
        <w:rPr>
          <w:sz w:val="20"/>
          <w:szCs w:val="20"/>
          <w:color w:val="auto"/>
        </w:rPr>
      </w:pPr>
      <w:r>
        <w:rPr>
          <w:rFonts w:ascii="Arial" w:cs="Arial" w:eastAsia="Arial" w:hAnsi="Arial"/>
          <w:sz w:val="18"/>
          <w:szCs w:val="18"/>
          <w:color w:val="auto"/>
        </w:rPr>
        <w:t>potential noncompliance or deviations from the protocol or regulatory requirements due to necessary safety or public health measures; 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ind w:left="960" w:right="100"/>
        <w:spacing w:after="0" w:line="266" w:lineRule="auto"/>
        <w:rPr>
          <w:sz w:val="20"/>
          <w:szCs w:val="20"/>
          <w:color w:val="auto"/>
        </w:rPr>
      </w:pPr>
      <w:r>
        <w:rPr>
          <w:rFonts w:ascii="Arial" w:cs="Arial" w:eastAsia="Arial" w:hAnsi="Arial"/>
          <w:sz w:val="18"/>
          <w:szCs w:val="18"/>
          <w:color w:val="auto"/>
        </w:rPr>
        <w:t>interruption or delays in the operations of the FDA or other regulatory authorities, which may impact review and approval timelines and may limit our ability to interact with agency representatives;</w:t>
      </w:r>
    </w:p>
    <w:p>
      <w:pPr>
        <w:ind w:left="960" w:right="220"/>
        <w:spacing w:after="0" w:line="266" w:lineRule="auto"/>
        <w:rPr>
          <w:sz w:val="20"/>
          <w:szCs w:val="20"/>
          <w:color w:val="auto"/>
        </w:rPr>
      </w:pPr>
      <w:r>
        <w:rPr>
          <w:rFonts w:ascii="Arial" w:cs="Arial" w:eastAsia="Arial" w:hAnsi="Arial"/>
          <w:sz w:val="18"/>
          <w:szCs w:val="18"/>
          <w:color w:val="auto"/>
        </w:rPr>
        <w:t>delays or disruptions in preclinical experiments and investigational new drug application-enabling studies due to restrictions of on-site staff and unforeseen circumstances at contract research organizations and vendors;</w:t>
      </w:r>
    </w:p>
    <w:p>
      <w:pPr>
        <w:ind w:left="960"/>
        <w:spacing w:after="0" w:line="266" w:lineRule="auto"/>
        <w:rPr>
          <w:sz w:val="20"/>
          <w:szCs w:val="20"/>
          <w:color w:val="auto"/>
        </w:rPr>
      </w:pPr>
      <w:r>
        <w:rPr>
          <w:rFonts w:ascii="Arial" w:cs="Arial" w:eastAsia="Arial" w:hAnsi="Arial"/>
          <w:sz w:val="18"/>
          <w:szCs w:val="18"/>
          <w:color w:val="auto"/>
        </w:rPr>
        <w:t>interruption of, or delays in receiving, supplies of our product candidates from our contract manufacturing organizations and other clinical study materials due to staffing shortages, production slowdowns or stoppages, disruptions in delivery systems, and order prioritization of other companies' products, such as under the Defense Production Act;</w:t>
      </w:r>
    </w:p>
    <w:p>
      <w:pPr>
        <w:ind w:left="960" w:right="480"/>
        <w:spacing w:after="0" w:line="292" w:lineRule="auto"/>
        <w:rPr>
          <w:sz w:val="20"/>
          <w:szCs w:val="20"/>
          <w:color w:val="auto"/>
        </w:rPr>
      </w:pPr>
      <w:r>
        <w:rPr>
          <w:rFonts w:ascii="Arial" w:cs="Arial" w:eastAsia="Arial" w:hAnsi="Arial"/>
          <w:sz w:val="18"/>
          <w:szCs w:val="18"/>
          <w:color w:val="auto"/>
        </w:rPr>
        <w:t>changes or deviations from manufacturing requirements, that may adversely affect our product candidates or that may require FDA pre-approval or notification;</w:t>
      </w:r>
    </w:p>
    <w:p>
      <w:pPr>
        <w:sectPr>
          <w:pgSz w:w="11900" w:h="16838" w:orient="portrait"/>
          <w:cols w:equalWidth="0" w:num="1">
            <w:col w:w="11220"/>
          </w:cols>
          <w:pgMar w:left="320" w:top="418"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960" w:right="520"/>
        <w:spacing w:after="0" w:line="266" w:lineRule="auto"/>
        <w:rPr>
          <w:sz w:val="20"/>
          <w:szCs w:val="20"/>
          <w:color w:val="auto"/>
        </w:rPr>
      </w:pPr>
      <w:r>
        <w:rPr>
          <w:rFonts w:ascii="Arial" w:cs="Arial" w:eastAsia="Arial" w:hAnsi="Arial"/>
          <w:sz w:val="18"/>
          <w:szCs w:val="18"/>
          <w:color w:val="auto"/>
        </w:rPr>
        <w:t>limitations on our ability to recruit and hire key personnel due to our inability to meet with candidates because of travel restrictions and “shelter in place” orders;</w:t>
      </w:r>
    </w:p>
    <w:p>
      <w:pPr>
        <w:spacing w:after="0" w:line="1" w:lineRule="exact"/>
        <w:rPr>
          <w:sz w:val="20"/>
          <w:szCs w:val="20"/>
          <w:color w:val="auto"/>
        </w:rPr>
      </w:pPr>
    </w:p>
    <w:p>
      <w:pPr>
        <w:ind w:left="960" w:right="440"/>
        <w:spacing w:after="0" w:line="279" w:lineRule="auto"/>
        <w:rPr>
          <w:sz w:val="20"/>
          <w:szCs w:val="20"/>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 interruption or delays to our sourced discovery and clinical activities.</w:t>
      </w:r>
    </w:p>
    <w:p>
      <w:pPr>
        <w:spacing w:after="0" w:line="182"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w:t>
      </w:r>
    </w:p>
    <w:p>
      <w:pPr>
        <w:spacing w:after="0" w:line="183"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 COVID-19 pandemic and the governmental response continues to rapidly evolve. In light of the COVID-19 outbreak, the FDA has issued a number of new guidance documents, including guidance related to the potential effect of the COVID-19 outbreak on many clinical trial programs. The FDA also issued guidance on additional steps that are required to maintain GMPs during the pandemic in addition to a number of other COVID-19 related guidance.</w:t>
      </w:r>
    </w:p>
    <w:p>
      <w:pPr>
        <w:spacing w:after="0" w:line="185" w:lineRule="exact"/>
        <w:rPr>
          <w:sz w:val="20"/>
          <w:szCs w:val="20"/>
          <w:color w:val="auto"/>
        </w:rPr>
      </w:pPr>
    </w:p>
    <w:p>
      <w:pPr>
        <w:jc w:val="both"/>
        <w:ind w:right="100" w:firstLine="509"/>
        <w:spacing w:after="0" w:line="329" w:lineRule="auto"/>
        <w:rPr>
          <w:sz w:val="20"/>
          <w:szCs w:val="20"/>
          <w:color w:val="auto"/>
        </w:rPr>
      </w:pPr>
      <w:r>
        <w:rPr>
          <w:rFonts w:ascii="Arial" w:cs="Arial" w:eastAsia="Arial" w:hAnsi="Arial"/>
          <w:sz w:val="16"/>
          <w:szCs w:val="16"/>
          <w:color w:val="auto"/>
        </w:rPr>
        <w:t>The extent to which the outbreak impacts our business, preclinical studies and clinical trials will depend on future developments, which are highly uncertain and cannot be predicted with confidence. If we or any of the third parties with whom we engage were to experience shutdowns or other business disruptions, our ability to conduct our business in the manner and on the timelines presently planned could be materially and negatively impacted.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drug candidate manufacturing or formulation may result in additional costs or delay.</w:t>
      </w:r>
    </w:p>
    <w:p>
      <w:pPr>
        <w:spacing w:after="0" w:line="13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As drug candidates are developed through preclinical studies to late-stage clinical trials toward approval and commercialization, it is common that various aspects of the development program, such as manufacturing methods, manufacturing sites, formulation, and methods of delivery are altered along the way in an effort to optimize processes and results. Any of these changes could cause our drug candidates to perform differently and affect the results of planned clinical trials or other future clinical trials conducted with the altered materials. Such changes may also require additional studies to demonstrate the comparability of the product candidate using prior processes, formulation, or manufacturers, FDA notification, or FDA approval. Any of the foregoing could limit our future revenues and growth.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Licensing and Collaboration Agreements</w:t>
      </w:r>
    </w:p>
    <w:p>
      <w:pPr>
        <w:spacing w:after="0" w:line="351"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75"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In April 2020, we entered into an agreement with KKC to collaborate on the development, manufacturing, and commercialization of zandelisib globally. The agreement substantially retains and consolidates the terms of the 2018 agreement with KKC to develop and commercialize in Japan. We may enter into additional agreements to collaborate with other third parties on the development, manufacturing or commercialization of our drug candidates in the future. In connection with these agreements, we may grant certain rights regarding the use of our patents and technology. The counterparties may be responsible for development, manufacturing or commercialization of our drug candidates and the costs related thereto.</w:t>
      </w:r>
    </w:p>
    <w:p>
      <w:pPr>
        <w:spacing w:after="0" w:line="174"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color w:val="auto"/>
        </w:rPr>
        <w:t>Our counterparties might not fulfill all of their obligations to us. In addition, the agreements with our counterparties provide the counterparties with substantial control of the development and commercialization of our drug candidates and discretion whether to devote resources to the full pursuit thereof. or otherwise fail to fully pursue the development and commercialization of our drug candidates Even without breaching their obligations to us, our counterparties may not devote adequate resources or otherwise pursue the development and commercialization of our drug candidates, whether as a result of their assessment of the likelihood of success of such efforts, for financial reasons or otherwise. Our ability to receive revenue from our drug candidates may be dependent upon their efforts. If they fail to devote adequate resources or otherwise do not successfully develop, commercialize or manufacture our drug candidates, we may not receive the future milestone payments or royalties provided for in the agreement. In addition, under certain circumstances, including our failure to satisfy our obligations under the agreement, the counterparty may have the right to terminate the agreement.</w:t>
      </w:r>
    </w:p>
    <w:p>
      <w:pPr>
        <w:spacing w:after="0" w:line="163"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We could also become involved in disputes with our counterparties, which could lead to delays in or termination of the agreement and time-consuming and expensive litigation or arbitration.</w:t>
      </w:r>
    </w:p>
    <w:p>
      <w:pPr>
        <w:spacing w:after="0" w:line="170" w:lineRule="exact"/>
        <w:rPr>
          <w:sz w:val="20"/>
          <w:szCs w:val="20"/>
          <w:color w:val="auto"/>
        </w:rPr>
      </w:pPr>
    </w:p>
    <w:p>
      <w:pPr>
        <w:ind w:right="220" w:firstLine="509"/>
        <w:spacing w:after="0" w:line="324" w:lineRule="auto"/>
        <w:rPr>
          <w:sz w:val="20"/>
          <w:szCs w:val="20"/>
          <w:color w:val="auto"/>
        </w:rPr>
      </w:pPr>
      <w:r>
        <w:rPr>
          <w:rFonts w:ascii="Arial" w:cs="Arial" w:eastAsia="Arial" w:hAnsi="Arial"/>
          <w:sz w:val="17"/>
          <w:szCs w:val="17"/>
          <w:color w:val="auto"/>
        </w:rPr>
        <w:t>If our counterparties are unwilling or unable to fulfill their obligations or otherwise fail to fully pursue the development and commercialization of our drug candidates or if the agreement is terminated, we may lack sufficient resources to develop and commercialize our</w:t>
      </w:r>
    </w:p>
    <w:p>
      <w:pPr>
        <w:sectPr>
          <w:pgSz w:w="11900" w:h="16838" w:orient="portrait"/>
          <w:cols w:equalWidth="0" w:num="1">
            <w:col w:w="11220"/>
          </w:cols>
          <w:pgMar w:left="320" w:top="418" w:right="359" w:bottom="1440" w:gutter="0" w:footer="0" w:header="0"/>
        </w:sectPr>
      </w:pP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40"/>
        <w:spacing w:after="0" w:line="324" w:lineRule="auto"/>
        <w:rPr>
          <w:sz w:val="20"/>
          <w:szCs w:val="20"/>
          <w:color w:val="auto"/>
        </w:rPr>
      </w:pPr>
      <w:r>
        <w:rPr>
          <w:rFonts w:ascii="Arial" w:cs="Arial" w:eastAsia="Arial" w:hAnsi="Arial"/>
          <w:sz w:val="17"/>
          <w:szCs w:val="17"/>
          <w:color w:val="auto"/>
        </w:rPr>
        <w:t>drug candidates on our own and may be unable to reach agreement with a suitable alternative collaborator. The failure to develop and commercialize our drug candidates would have a material adverse effect on our business, operating results, prospects and financial condition.</w:t>
      </w:r>
    </w:p>
    <w:p>
      <w:pPr>
        <w:spacing w:after="0" w:line="255" w:lineRule="exact"/>
        <w:rPr>
          <w:sz w:val="20"/>
          <w:szCs w:val="20"/>
          <w:color w:val="auto"/>
        </w:rPr>
      </w:pPr>
    </w:p>
    <w:p>
      <w:pPr>
        <w:jc w:val="both"/>
        <w:ind w:right="160"/>
        <w:spacing w:after="0" w:line="359" w:lineRule="auto"/>
        <w:rPr>
          <w:sz w:val="20"/>
          <w:szCs w:val="20"/>
          <w:color w:val="auto"/>
        </w:rPr>
      </w:pPr>
      <w:r>
        <w:rPr>
          <w:rFonts w:ascii="Arial" w:cs="Arial" w:eastAsia="Arial" w:hAnsi="Arial"/>
          <w:sz w:val="15"/>
          <w:szCs w:val="15"/>
          <w:b w:val="1"/>
          <w:bCs w:val="1"/>
          <w:i w:val="1"/>
          <w:iCs w:val="1"/>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2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In September 2017, we entered into a license agreement with Presage (“the Presage License Agreement”). Under the terms of the agreement, Presage granted us exclusive worldwide rights to develop, manufacture and commercialize voruciclib, a clinical-stage, oral and selective CDK inhibitor, and related compounds. In exchange, we paid Presage $2.9 million and are obligated for additional potential payments of up to $181 million upon the achievement of certain development, regulatory and commercial milestones. We will also pay mid-single-digit tiered royalties on the net sales of any product successfully developed pursuant to such agreement. We may enter into similar agreements in the future that require us to make significant payments upon obtainment of development, regulatory or commercial milestones. We may be obligated to make milestone or royalty payments when we do not have the cash on hand to make these payments or have available cash for our other development efforts. These milestone and royalty payments could adversely affect the overall profitability for us of any products that we may seek to commercialize. In addition, if we fail to comply with our obligations under the license agreement, the counterparty may have the right to terminate the agreement. In such a case, we would lose our rights to the intellectual property covered by the license agreement and we would not be able to develop, manufacture or commercialize our drug candidates.</w:t>
      </w:r>
    </w:p>
    <w:p>
      <w:pPr>
        <w:spacing w:after="0" w:line="16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The profitability of our license agreement with Presage depends on the successful development, regulatory approval and commercialization of voruciclib. We are solely responsible for the development and commercialization of voruciclib, including the related costs. Drug development is a long, expensive and uncertain process and delay or failure can occur at any stage of our clinical trials. We cannot be certain that we will ever receive regulatory approval for voruciclib or that it will be successfully commercialized, even if approved.</w:t>
      </w:r>
    </w:p>
    <w:p>
      <w:pPr>
        <w:spacing w:after="0" w:line="293"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62" w:lineRule="exact"/>
        <w:rPr>
          <w:sz w:val="20"/>
          <w:szCs w:val="20"/>
          <w:color w:val="auto"/>
        </w:rPr>
      </w:pPr>
    </w:p>
    <w:p>
      <w:pPr>
        <w:ind w:right="80" w:firstLine="720"/>
        <w:spacing w:after="0" w:line="271" w:lineRule="auto"/>
        <w:rPr>
          <w:sz w:val="20"/>
          <w:szCs w:val="20"/>
          <w:color w:val="auto"/>
        </w:rPr>
      </w:pPr>
      <w:r>
        <w:rPr>
          <w:rFonts w:ascii="Arial" w:cs="Arial" w:eastAsia="Arial" w:hAnsi="Arial"/>
          <w:sz w:val="18"/>
          <w:szCs w:val="18"/>
          <w:color w:val="auto"/>
        </w:rPr>
        <w:t>Our current business strategy may include the entry into additional collaborative or license agreements for the development and commercialization of our drug and drug candidates. The negotiation and consummation of these types of agreements typically involve simultaneous discussions with multiple potential collaborators or licensees and require significant time and resources. In addition, in attracting the attention of pharmaceutical and biotechnology company collaborators or licensees, we compete with numerous other third parties with product opportunities as well as the collaborators’ or licensees’ own internal product opportunities. We may not be able to consummate collaborative or license agreements, or we may not be able to negotiate commercially acceptable terms for these agreements.</w:t>
      </w:r>
    </w:p>
    <w:p>
      <w:pPr>
        <w:spacing w:after="0" w:line="83" w:lineRule="exact"/>
        <w:rPr>
          <w:sz w:val="20"/>
          <w:szCs w:val="20"/>
          <w:color w:val="auto"/>
        </w:rPr>
      </w:pPr>
    </w:p>
    <w:p>
      <w:pPr>
        <w:ind w:right="40" w:firstLine="720"/>
        <w:spacing w:after="0" w:line="292" w:lineRule="auto"/>
        <w:rPr>
          <w:sz w:val="20"/>
          <w:szCs w:val="20"/>
          <w:color w:val="auto"/>
        </w:rPr>
      </w:pPr>
      <w:r>
        <w:rPr>
          <w:rFonts w:ascii="Arial" w:cs="Arial" w:eastAsia="Arial" w:hAnsi="Arial"/>
          <w:sz w:val="17"/>
          <w:szCs w:val="17"/>
          <w:color w:val="auto"/>
        </w:rPr>
        <w:t>If we do enter into such arrangements, we could be dependent upon the subsequent success of these other parties in performing their respective responsibilities and the cooperation of our partners. Our collaborators may not cooperate with us or perform their obligations under our agreements with them. We cannot control the amount and timing of our collaborators’ resources that will be devoted to researching our product candidates pursuant to our collaborative agreements with them or whether our collaborators will comply with the applicable regulatory requirements. Our collaborators may choose to pursue existing or alternative technologies in preference to those being developed in collaboration with us.</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Under agreements with any collaborators or licensees we may work with in the future, we may rely significantly on them to, among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fund research and development activities with us;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pay us fees upon the achievement of milestones; and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for or with us any commercial products that result from our collaborations.</w:t>
      </w:r>
    </w:p>
    <w:p>
      <w:pPr>
        <w:spacing w:after="0" w:line="13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If we do not consummate collaborative or license agreements, we may use our financial resources more rapidly on our drug development efforts, continue to defer certain development activities or forego the exploitation of certain geographic territories, any of which could have a material adverse effect on our business prospects. Further, we may not be successful in overseeing any such collaborative arrangements. If we fail to establish and maintain necessary collaborative or license relationships, our business prospects could suffer.</w:t>
      </w:r>
    </w:p>
    <w:p>
      <w:pPr>
        <w:spacing w:after="0" w:line="77"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Collaboration agreements may not lead to development or commercialization of drug candidates in the most efficient manner, or at all. If any collaborations we might enter into do not result in the successful development and commercialization of drug candidates or if one of our collaborators subsequently terminates its agreement with us, we may not receive any future research funding or milestone or royalty payments under the collaboration. If we do not receive the funding we expect under the agreements, our development of our drug candidates could be delayed, and we may need additional resources to develop our drug candidates and our product platform. All of the risks relating to product development, regulatory approval and commercialization described in this Annual Report also apply to the activities of our</w:t>
      </w:r>
    </w:p>
    <w:p>
      <w:pPr>
        <w:sectPr>
          <w:pgSz w:w="11900" w:h="16838" w:orient="portrait"/>
          <w:cols w:equalWidth="0" w:num="1">
            <w:col w:w="11240"/>
          </w:cols>
          <w:pgMar w:left="320" w:top="418"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collaborators. Moreover, should our collaborators not comply with the applicable regulatory or legal requirements, we and/or they, may be subject to regulatory enforcement action.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FDA and Non-U.S. Regulation</w:t>
      </w:r>
    </w:p>
    <w:p>
      <w:pPr>
        <w:spacing w:after="0" w:line="351"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Final approval by regulatory authorities of our drug candidates for commercial use may be delayed, limited or prevented, any of which would adversely affect our ability to generate operating revenues.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We will not generate any operating revenue until we, a licensee, or a potential collaborator successfully commercialize one of our drug candidates. Currently, we have drug candidates at different stages of development, and each will need to successfully complete certain clinical studies and obtain regulatory approval before potential commercialization. We may experience unforeseen events during product development that may substantially delay or prevent product approval. For example, the FDA may order the temporary, or permanent, discontinuation of a clinical trial at any time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clinical trial patients. The FDA or an IRB may also impose conditions on the conduct of a clinical trial. Clinical trial sponsors may also choose to discontinue clinical trials as a result of risks to clinical trial patients, a lack of favorable results, or changing business priorities.</w:t>
      </w:r>
    </w:p>
    <w:p>
      <w:pPr>
        <w:spacing w:after="0" w:line="194"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The pre-clinical and clinical development, manufacturing, labeling, packaging, storage, recordkeeping, export, marketing and distribution, and other possible activities relating to our drug candidates are subject to extensive regulation by the FDA and other regulatory agencies. Failure to comply with applicable regulatory requirements may, either before or after product approval, subject us to administrative or judicially imposed sanctions that may negatively impact the approval of one or more of our drug candidates or otherwise negatively impact our business.</w:t>
      </w:r>
    </w:p>
    <w:p>
      <w:pPr>
        <w:spacing w:after="0" w:line="17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Neither collaborators, licensees nor we are permitted to market a drug candidate in the United States until the particular drug candidate is approved for marketing by the FDA. Specific pre-clinical data, chemistry, manufacturing and controls data, a proposed clinical trial protocol and other information must be submitted to the FDA as part of an IND application, and clinical trials may commence only after the IND application becomes effective. To market a new drug in the United States, we must submit to the FDA and obtain FDA approval of an NDA. An NDA must be supported by extensive clinical and pre-clinical data, as well as extensive information regarding chemistry, manufacturing and controls to demonstrate the safety and effectiveness of the drug candidate.</w:t>
      </w:r>
    </w:p>
    <w:p>
      <w:pPr>
        <w:spacing w:after="0" w:line="19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Obtaining approval of an NDA can be a lengthy, expensive and uncertain process. Regulatory approval of an NDA is not guaranteed. The number and types of pre-clinical studies and clinical trials that will be required for FDA approval varies depending on the drug candidate, the disease or condition that the drug candidate is designed to target and the regulations applicable to any particular drug candidate. The FDA may also require additional studies or data after a trial has begun or more studies or data than we otherwise have anticipated. For example, we are conducting a multi-arm, open-label, Phase 1b dose finding and expansion trial evaluating zandelisib as a monotherapy and in combination with other therapies in patients with relapsed or refractory B-cell malignancies. Despite the time and expense exerted in pre-clinical and clinical studies, failure can occur at any stage, and we could encounter problems that delay our product candidate development, trigger additional requirements from the FDA, or that cause us to abandon clinical trials or to repeat or perform additional pre-clinical studies and clinical trials. The FDA can delay, limit or deny approval of a drug candidate for many reasons, and product candidate development programs may be delayed or may not be successful for many reasons including but not limited to, the following: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FDA or IRBs may not authorize us to commence, amend, or continue clinical studies;</w:t>
      </w:r>
    </w:p>
    <w:p>
      <w:pPr>
        <w:spacing w:after="0" w:line="23" w:lineRule="exact"/>
        <w:rPr>
          <w:sz w:val="20"/>
          <w:szCs w:val="20"/>
          <w:color w:val="auto"/>
        </w:rPr>
      </w:pPr>
    </w:p>
    <w:p>
      <w:pPr>
        <w:ind w:left="960" w:right="80"/>
        <w:spacing w:after="0" w:line="266" w:lineRule="auto"/>
        <w:rPr>
          <w:sz w:val="20"/>
          <w:szCs w:val="20"/>
          <w:color w:val="auto"/>
        </w:rPr>
      </w:pPr>
      <w:r>
        <w:rPr>
          <w:rFonts w:ascii="Arial" w:cs="Arial" w:eastAsia="Arial" w:hAnsi="Arial"/>
          <w:sz w:val="18"/>
          <w:szCs w:val="18"/>
          <w:color w:val="auto"/>
        </w:rPr>
        <w:t>we may be required to amend our clinical studies in such a way that it compromises the study data or makes the ongoing conduct of the study is impracticable;</w:t>
      </w:r>
    </w:p>
    <w:p>
      <w:pPr>
        <w:ind w:left="960" w:right="660"/>
        <w:spacing w:after="0" w:line="266" w:lineRule="auto"/>
        <w:rPr>
          <w:sz w:val="20"/>
          <w:szCs w:val="20"/>
          <w:color w:val="auto"/>
        </w:rPr>
      </w:pPr>
      <w:r>
        <w:rPr>
          <w:rFonts w:ascii="Arial" w:cs="Arial" w:eastAsia="Arial" w:hAnsi="Arial"/>
          <w:sz w:val="18"/>
          <w:szCs w:val="18"/>
          <w:color w:val="auto"/>
        </w:rPr>
        <w:t>there may be deviations from the clinical study protocol that may result in the need to drop patients from the study, increase the study enrollment size or duration, or that may compromise the reliability of the study and the resulting data;</w:t>
      </w:r>
    </w:p>
    <w:p>
      <w:pPr>
        <w:ind w:left="960" w:right="20"/>
        <w:spacing w:after="0" w:line="266" w:lineRule="auto"/>
        <w:rPr>
          <w:sz w:val="20"/>
          <w:szCs w:val="20"/>
          <w:color w:val="auto"/>
        </w:rPr>
      </w:pPr>
      <w:r>
        <w:rPr>
          <w:rFonts w:ascii="Arial" w:cs="Arial" w:eastAsia="Arial" w:hAnsi="Arial"/>
          <w:sz w:val="18"/>
          <w:szCs w:val="18"/>
          <w:color w:val="auto"/>
        </w:rPr>
        <w:t>we may not be able to enroll a sufficient number of qualified patients for clinical trials in a timely manner or at all, patients may drop out of our clinical trials or be lost to follow-up at a higher rate than we anticipate, patients may not follow the clinical trial procedures, or the number of patients required for clinical trials may be larger than we anticipate;</w:t>
      </w:r>
    </w:p>
    <w:p>
      <w:pPr>
        <w:ind w:left="960"/>
        <w:spacing w:after="0"/>
        <w:rPr>
          <w:sz w:val="20"/>
          <w:szCs w:val="20"/>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23" w:lineRule="exact"/>
        <w:rPr>
          <w:sz w:val="20"/>
          <w:szCs w:val="20"/>
          <w:color w:val="auto"/>
        </w:rPr>
      </w:pPr>
    </w:p>
    <w:p>
      <w:pPr>
        <w:ind w:left="960" w:right="620"/>
        <w:spacing w:after="0" w:line="266"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as a result of global trade policies;</w:t>
      </w:r>
    </w:p>
    <w:p>
      <w:pPr>
        <w:ind w:left="960" w:right="4140"/>
        <w:spacing w:after="0" w:line="299" w:lineRule="auto"/>
        <w:rPr>
          <w:sz w:val="20"/>
          <w:szCs w:val="20"/>
          <w:color w:val="auto"/>
        </w:rPr>
      </w:pPr>
      <w:r>
        <w:rPr>
          <w:rFonts w:ascii="Arial" w:cs="Arial" w:eastAsia="Arial" w:hAnsi="Arial"/>
          <w:sz w:val="16"/>
          <w:szCs w:val="16"/>
          <w:color w:val="auto"/>
        </w:rPr>
        <w:t>a drug candidate may not be deemed adequately safe or effective for an intended use; the FDA may not find the data from pre-clinical studies and clinical trials sufficient;</w:t>
      </w:r>
    </w:p>
    <w:p>
      <w:pPr>
        <w:spacing w:after="0" w:line="1" w:lineRule="exact"/>
        <w:rPr>
          <w:sz w:val="20"/>
          <w:szCs w:val="20"/>
          <w:color w:val="auto"/>
        </w:rPr>
      </w:pPr>
    </w:p>
    <w:p>
      <w:pPr>
        <w:ind w:left="960" w:right="720"/>
        <w:spacing w:after="0" w:line="292" w:lineRule="auto"/>
        <w:rPr>
          <w:sz w:val="20"/>
          <w:szCs w:val="20"/>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ectPr>
          <w:pgSz w:w="11900" w:h="16838" w:orient="portrait"/>
          <w:cols w:equalWidth="0" w:num="1">
            <w:col w:w="11220"/>
          </w:cols>
          <w:pgMar w:left="320" w:top="418"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there may be changes to standard of care that impact the design and conduct of our trial, may result in studies no longer being clinically significant, may require that we change our studies once they have already commenced, or may result in other products being preferred over our product candidates, if they are approved;</w:t>
      </w:r>
    </w:p>
    <w:p>
      <w:pPr>
        <w:spacing w:after="0" w:line="1" w:lineRule="exact"/>
        <w:rPr>
          <w:sz w:val="20"/>
          <w:szCs w:val="20"/>
          <w:color w:val="auto"/>
        </w:rPr>
      </w:pPr>
    </w:p>
    <w:p>
      <w:pPr>
        <w:ind w:left="960" w:right="20"/>
        <w:spacing w:after="0" w:line="266" w:lineRule="auto"/>
        <w:rPr>
          <w:sz w:val="20"/>
          <w:szCs w:val="20"/>
          <w:color w:val="auto"/>
        </w:rPr>
      </w:pPr>
      <w:r>
        <w:rPr>
          <w:rFonts w:ascii="Arial" w:cs="Arial" w:eastAsia="Arial" w:hAnsi="Arial"/>
          <w:sz w:val="18"/>
          <w:szCs w:val="18"/>
          <w:color w:val="auto"/>
        </w:rPr>
        <w:t>to the extent that we are developing drug candidates for use in combination with other products, clinical trials may be more complex, resulting data may be more difficult to interpret, we may not be able to demonstrate that clinical trial results are attributable to our drug candidate, or developments with respect to the other product or standard of care may impact our ability to obtain product approval for our drug candidate or to successfully market our drug candidate;</w:t>
      </w:r>
    </w:p>
    <w:p>
      <w:pPr>
        <w:ind w:left="960" w:right="560"/>
        <w:spacing w:after="0" w:line="266" w:lineRule="auto"/>
        <w:rPr>
          <w:sz w:val="20"/>
          <w:szCs w:val="20"/>
          <w:color w:val="auto"/>
        </w:rPr>
      </w:pPr>
      <w:r>
        <w:rPr>
          <w:rFonts w:ascii="Arial" w:cs="Arial" w:eastAsia="Arial" w:hAnsi="Arial"/>
          <w:sz w:val="18"/>
          <w:szCs w:val="18"/>
          <w:color w:val="auto"/>
        </w:rPr>
        <w:t>the FDA or comparable foreign regulatory authorities may not accept data from studies with clinical trial sites in foreign countries; the FDA may require that we conduct additional pre-clinical or clinical studies, change our manufacturing process, or gather additional manufacturing information above what we currently have planned for;</w:t>
      </w:r>
    </w:p>
    <w:p>
      <w:pPr>
        <w:ind w:left="960"/>
        <w:spacing w:after="0"/>
        <w:rPr>
          <w:sz w:val="20"/>
          <w:szCs w:val="20"/>
          <w:color w:val="auto"/>
        </w:rPr>
      </w:pPr>
      <w:r>
        <w:rPr>
          <w:rFonts w:ascii="Arial" w:cs="Arial" w:eastAsia="Arial" w:hAnsi="Arial"/>
          <w:sz w:val="18"/>
          <w:szCs w:val="18"/>
          <w:color w:val="auto"/>
        </w:rPr>
        <w:t>the FDA’s interpretation and our interpretation of data from pre-clinical studies and clinical trials may differ significantly;</w:t>
      </w:r>
    </w:p>
    <w:p>
      <w:pPr>
        <w:spacing w:after="0" w:line="23" w:lineRule="exact"/>
        <w:rPr>
          <w:sz w:val="20"/>
          <w:szCs w:val="20"/>
          <w:color w:val="auto"/>
        </w:rPr>
      </w:pPr>
    </w:p>
    <w:p>
      <w:pPr>
        <w:ind w:left="960" w:right="300"/>
        <w:spacing w:after="0" w:line="266" w:lineRule="auto"/>
        <w:rPr>
          <w:sz w:val="20"/>
          <w:szCs w:val="20"/>
          <w:color w:val="auto"/>
        </w:rPr>
      </w:pPr>
      <w:r>
        <w:rPr>
          <w:rFonts w:ascii="Arial" w:cs="Arial" w:eastAsia="Arial" w:hAnsi="Arial"/>
          <w:sz w:val="18"/>
          <w:szCs w:val="18"/>
          <w:color w:val="auto"/>
        </w:rPr>
        <w:t>the FDA may not agree with our intended indications, the design of our clinical or pre-clinical studies, or there may be a flaw in the design that does not become apparent until the studies are well advanced;</w:t>
      </w:r>
    </w:p>
    <w:p>
      <w:pPr>
        <w:ind w:left="960" w:right="60"/>
        <w:spacing w:after="0" w:line="266" w:lineRule="auto"/>
        <w:rPr>
          <w:sz w:val="20"/>
          <w:szCs w:val="20"/>
          <w:color w:val="auto"/>
        </w:rPr>
      </w:pPr>
      <w:r>
        <w:rPr>
          <w:rFonts w:ascii="Arial" w:cs="Arial" w:eastAsia="Arial" w:hAnsi="Arial"/>
          <w:sz w:val="18"/>
          <w:szCs w:val="18"/>
          <w:color w:val="auto"/>
        </w:rPr>
        <w:t>we may not be able to establish agreements with contractors or collaborators, including clinical trial sites and CROs, or they or we may fail to comply with applicable FDA, protocol, and other regulatory requirements, including those identified in other risk factors; the FDA may not approve the manufacturing processes or facilities;</w:t>
      </w:r>
    </w:p>
    <w:p>
      <w:pPr>
        <w:ind w:left="960" w:right="80"/>
        <w:spacing w:after="0" w:line="266" w:lineRule="auto"/>
        <w:rPr>
          <w:sz w:val="20"/>
          <w:szCs w:val="20"/>
          <w:color w:val="auto"/>
        </w:rPr>
      </w:pPr>
      <w:r>
        <w:rPr>
          <w:rFonts w:ascii="Arial" w:cs="Arial" w:eastAsia="Arial" w:hAnsi="Arial"/>
          <w:sz w:val="18"/>
          <w:szCs w:val="18"/>
          <w:color w:val="auto"/>
        </w:rPr>
        <w:t>the FDA may change its approval policies or adopt new laws, guidance, or regulations and our development program may not meet newly imposed requirements. By example, FDA has issued guidance on the development of drug products for the treatment cancer, including a draft guidance specifically concerning AML and hematological malignancies;</w:t>
      </w:r>
    </w:p>
    <w:p>
      <w:pPr>
        <w:ind w:left="960" w:right="40"/>
        <w:spacing w:after="0" w:line="266" w:lineRule="auto"/>
        <w:rPr>
          <w:sz w:val="20"/>
          <w:szCs w:val="20"/>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 or</w:t>
      </w:r>
    </w:p>
    <w:p>
      <w:pPr>
        <w:ind w:left="960"/>
        <w:spacing w:after="0"/>
        <w:rPr>
          <w:sz w:val="20"/>
          <w:szCs w:val="20"/>
          <w:color w:val="auto"/>
        </w:rPr>
      </w:pPr>
      <w:r>
        <w:rPr>
          <w:rFonts w:ascii="Arial" w:cs="Arial" w:eastAsia="Arial" w:hAnsi="Arial"/>
          <w:sz w:val="18"/>
          <w:szCs w:val="18"/>
          <w:color w:val="auto"/>
        </w:rPr>
        <w:t>the FDA may not accept an NDA or other submission due to, among other reasons, the content or formatting of the submission.</w:t>
      </w:r>
    </w:p>
    <w:p>
      <w:pPr>
        <w:spacing w:after="0" w:line="238"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Our pre-clinical and clinical data, other information and procedures relating to a drug candidate may not be sufficient to support approval by the FDA or any other U.S. or foreign regulatory authority, or regulatory interpretation of these data and procedures may be unfavorable. Our efforts to take advantage of expedited regulatory pathways for serious or life-threatening illnesses, such as accelerated approval, to secure marketing authorization more quickly may not be successful. We cannot be certain that any NDA we submit will be approved by the FDA for full or accelerated approval on a timely basis, if at all. Securing accelerated approval requires demonstrating a meaningful therapeutic benefit over available existing treatments. Accelerated approvals are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If approved, the FDA will require post-marketing studies to verify clinical benefit. Failure to conduct required post-approval studies, or confirm a clinical benefit, will allow the FDA to withdraw the drug from the market on an expedited basis. We plan to seek FDA marketing approval of zandelisib via the accelerated approval pathway, based on the results of our ongoing phase 2 clinical trial. The FDA, however, may not agree that the accelerated approval pathway is appropriate, may disagree with our chosen surrogate endpoints, or may find that the accelerated approval criteria are not met. Should the FDA disagree with our approach, we would be required to conduct additional clinical studies prior to submitting an NDA and prior to the FDA granting marketing approval. Should we receive accelerated approval for zandelisib, the FDA-approved label will indicate that the clinical benefit of the product has not been established and that continued approval is contingent upon verification of a clinical benefit in confirmatory trials.</w:t>
      </w:r>
    </w:p>
    <w:p>
      <w:pPr>
        <w:spacing w:after="0" w:line="189"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Our business and reputation may be harmed by any failure or significant delay in receiving regulatory approval for the sale of any drugs resulting from our drug candidates. As a result, we cannot predict when or whether regulatory approval will be obtained for any drug we develop. Additionally, other factors may serve to delay, limit or prevent the final approval by regulatory authorities of our drug candidates for commercial use, including, but not limited to:</w:t>
      </w:r>
    </w:p>
    <w:p>
      <w:pPr>
        <w:spacing w:after="0" w:line="77" w:lineRule="exact"/>
        <w:rPr>
          <w:sz w:val="20"/>
          <w:szCs w:val="20"/>
          <w:color w:val="auto"/>
        </w:rPr>
      </w:pPr>
    </w:p>
    <w:p>
      <w:pPr>
        <w:ind w:left="960" w:right="60"/>
        <w:spacing w:after="0" w:line="266" w:lineRule="auto"/>
        <w:rPr>
          <w:sz w:val="20"/>
          <w:szCs w:val="20"/>
          <w:color w:val="auto"/>
        </w:rPr>
      </w:pPr>
      <w:r>
        <w:rPr>
          <w:rFonts w:ascii="Arial" w:cs="Arial" w:eastAsia="Arial" w:hAnsi="Arial"/>
          <w:sz w:val="18"/>
          <w:szCs w:val="18"/>
          <w:color w:val="auto"/>
        </w:rPr>
        <w:t>Zandelisib, voruciclib, ME-344, and pracinostat are in various stages of development, and we or our licensees will need to conduct significant clinical testing and development work to demonstrate the quality, safety, and efficacy of these drug candidates before applications for marketing can be filed with the FDA, or with the regulatory authorities of other countries;</w:t>
      </w:r>
    </w:p>
    <w:p>
      <w:pPr>
        <w:spacing w:after="0" w:line="1" w:lineRule="exact"/>
        <w:rPr>
          <w:sz w:val="20"/>
          <w:szCs w:val="20"/>
          <w:color w:val="auto"/>
        </w:rPr>
      </w:pPr>
    </w:p>
    <w:p>
      <w:pPr>
        <w:ind w:left="960" w:right="340"/>
        <w:spacing w:after="0" w:line="266" w:lineRule="auto"/>
        <w:rPr>
          <w:sz w:val="20"/>
          <w:szCs w:val="20"/>
          <w:color w:val="auto"/>
        </w:rPr>
      </w:pPr>
      <w:r>
        <w:rPr>
          <w:rFonts w:ascii="Arial" w:cs="Arial" w:eastAsia="Arial" w:hAnsi="Arial"/>
          <w:sz w:val="18"/>
          <w:szCs w:val="18"/>
          <w:color w:val="auto"/>
        </w:rPr>
        <w:t>development and testing of product formulation, including identification of suitable excipients, or chemical additives intended to facilitate delivery of our drug candidates;</w:t>
      </w:r>
    </w:p>
    <w:p>
      <w:pPr>
        <w:ind w:left="960"/>
        <w:spacing w:after="0"/>
        <w:rPr>
          <w:sz w:val="20"/>
          <w:szCs w:val="20"/>
          <w:color w:val="auto"/>
        </w:rPr>
      </w:pPr>
      <w:r>
        <w:rPr>
          <w:rFonts w:ascii="Arial" w:cs="Arial" w:eastAsia="Arial" w:hAnsi="Arial"/>
          <w:sz w:val="18"/>
          <w:szCs w:val="18"/>
          <w:color w:val="auto"/>
        </w:rPr>
        <w:t>it may take us many years to complete the testing of our drug candidates, and failure can occur at any stage of this process; and</w:t>
      </w:r>
    </w:p>
    <w:p>
      <w:pPr>
        <w:spacing w:after="0" w:line="23" w:lineRule="exact"/>
        <w:rPr>
          <w:sz w:val="20"/>
          <w:szCs w:val="20"/>
          <w:color w:val="auto"/>
        </w:rPr>
      </w:pPr>
    </w:p>
    <w:p>
      <w:pPr>
        <w:ind w:left="960" w:right="140"/>
        <w:spacing w:after="0" w:line="292" w:lineRule="auto"/>
        <w:rPr>
          <w:sz w:val="20"/>
          <w:szCs w:val="20"/>
          <w:color w:val="auto"/>
        </w:rPr>
      </w:pPr>
      <w:r>
        <w:rPr>
          <w:rFonts w:ascii="Arial" w:cs="Arial" w:eastAsia="Arial" w:hAnsi="Arial"/>
          <w:sz w:val="18"/>
          <w:szCs w:val="18"/>
          <w:color w:val="auto"/>
        </w:rPr>
        <w:t>negative or inconclusive results, statistically or clinically insignificant results, or adverse medical events during a clinical trial could cause us to delay or terminate our development efforts.</w:t>
      </w:r>
    </w:p>
    <w:p>
      <w:pPr>
        <w:spacing w:after="0" w:line="170" w:lineRule="exact"/>
        <w:rPr>
          <w:sz w:val="20"/>
          <w:szCs w:val="20"/>
          <w:color w:val="auto"/>
        </w:rPr>
      </w:pPr>
    </w:p>
    <w:p>
      <w:pPr>
        <w:ind w:right="240" w:firstLine="509"/>
        <w:spacing w:after="0" w:line="296" w:lineRule="auto"/>
        <w:rPr>
          <w:sz w:val="20"/>
          <w:szCs w:val="20"/>
          <w:color w:val="auto"/>
        </w:rPr>
      </w:pPr>
      <w:r>
        <w:rPr>
          <w:rFonts w:ascii="Arial" w:cs="Arial" w:eastAsia="Arial" w:hAnsi="Arial"/>
          <w:sz w:val="17"/>
          <w:szCs w:val="17"/>
          <w:color w:val="auto"/>
        </w:rPr>
        <w:t>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If we experience delays in obtaining approval, if we fail to obtain approval of a product candidate or if the label for a</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Accordingly, the successful development of any of our drug candidates is uncertain and, accordingly, we may never commercialize any of these drug candidates or generate significant revenue.</w:t>
      </w:r>
    </w:p>
    <w:p>
      <w:pPr>
        <w:spacing w:after="0" w:line="293" w:lineRule="exact"/>
        <w:rPr>
          <w:sz w:val="20"/>
          <w:szCs w:val="20"/>
          <w:color w:val="auto"/>
        </w:rPr>
      </w:pPr>
    </w:p>
    <w:p>
      <w:pPr>
        <w:ind w:right="1200"/>
        <w:spacing w:after="0" w:line="293" w:lineRule="auto"/>
        <w:rPr>
          <w:sz w:val="20"/>
          <w:szCs w:val="20"/>
          <w:color w:val="auto"/>
        </w:rPr>
      </w:pPr>
      <w:r>
        <w:rPr>
          <w:rFonts w:ascii="Arial" w:cs="Arial" w:eastAsia="Arial" w:hAnsi="Arial"/>
          <w:sz w:val="18"/>
          <w:szCs w:val="18"/>
          <w:b w:val="1"/>
          <w:bCs w:val="1"/>
          <w:i w:val="1"/>
          <w:iCs w:val="1"/>
          <w:color w:val="auto"/>
        </w:rPr>
        <w:t>The FDA may determine that our drug candidates have undesirable side effects that could delay or prevent their regulatory approval or commercialization.</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Undesirable side effects caused by our drug candidates could cause us, IRBs, and other reviewing entities or regulatory authorities to interrupt, delay, or halt clinical trials and could result in a more restrictive label or the delay or denial of regulatory approval by the FDA or other comparable foreign authorities. Undesirable side effects may also result in requirements for costly post-marketing testing and surveillance, or other requirements, including REMS, to monitor the safety or efficacy of the products. These could prevent us from commercializing and generating revenues from the sale of our drug candidates.</w:t>
      </w:r>
    </w:p>
    <w:p>
      <w:pPr>
        <w:spacing w:after="0" w:line="19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drug candidates could cause unexpected side effects or adverse events. If any of our drug candidates is associated with serious adverse events or undesirable side effects or have properties that are unexpected, we may need to abandon development or limit development of that drug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90"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we experience delays or difficulties in the enrolment of patients in clinical trials, our completion of clinical trials and receipt of necessary regulatory approvals could be delayed or prevented.</w:t>
      </w:r>
    </w:p>
    <w:p>
      <w:pPr>
        <w:spacing w:after="0" w:line="62"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We may not be able to initiate or continue conducting clinical trials for our drug candidates if we are unable to locate and enroll a sufficient number of eligible patients to participate in these trials as required by the FDA or similar regulatory authorities outside the United States. Competitors may also have ongoing clinical trials for drug candidates that are intended to treat the same indications as our drug candidates, and patients who would otherwise be eligible for our clinical trials may instead enroll in clinical trials of our competitors’ drug candidates. Patient enrollment is affected by other factors including:</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size and nature of the patient population;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severity of the disease under investigation;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existence of current treatments for the indications for which we are conducting clinical trials;</w:t>
      </w:r>
    </w:p>
    <w:p>
      <w:pPr>
        <w:spacing w:after="0" w:line="23" w:lineRule="exact"/>
        <w:rPr>
          <w:sz w:val="20"/>
          <w:szCs w:val="20"/>
          <w:color w:val="auto"/>
        </w:rPr>
      </w:pPr>
    </w:p>
    <w:p>
      <w:pPr>
        <w:ind w:left="960" w:right="60"/>
        <w:spacing w:after="0" w:line="266" w:lineRule="auto"/>
        <w:rPr>
          <w:sz w:val="20"/>
          <w:szCs w:val="20"/>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ind w:left="960" w:right="40"/>
        <w:spacing w:after="0" w:line="266" w:lineRule="auto"/>
        <w:rPr>
          <w:sz w:val="20"/>
          <w:szCs w:val="20"/>
          <w:color w:val="auto"/>
        </w:rPr>
      </w:pPr>
      <w:r>
        <w:rPr>
          <w:rFonts w:ascii="Arial" w:cs="Arial" w:eastAsia="Arial" w:hAnsi="Arial"/>
          <w:sz w:val="18"/>
          <w:szCs w:val="18"/>
          <w:color w:val="auto"/>
        </w:rPr>
        <w:t>the perceived risks and benefits of the drug candidate, including the potential advantages or disadvantages of the drug candidate being studied in relation to other available therapies;</w:t>
      </w:r>
    </w:p>
    <w:p>
      <w:pPr>
        <w:ind w:left="960"/>
        <w:spacing w:after="0"/>
        <w:rPr>
          <w:sz w:val="20"/>
          <w:szCs w:val="20"/>
          <w:color w:val="auto"/>
        </w:rPr>
      </w:pPr>
      <w:r>
        <w:rPr>
          <w:rFonts w:ascii="Arial" w:cs="Arial" w:eastAsia="Arial" w:hAnsi="Arial"/>
          <w:sz w:val="18"/>
          <w:szCs w:val="18"/>
          <w:color w:val="auto"/>
        </w:rPr>
        <w:t>competition in recruiting and enrolling patients in clinical trials;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efforts to facilitate timely enrolment in clinical trials;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patient referral practices of physicians;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effectiveness of publicity created by clinical trial sites regarding the trial;</w:t>
      </w:r>
    </w:p>
    <w:p>
      <w:pPr>
        <w:spacing w:after="0" w:line="23" w:lineRule="exact"/>
        <w:rPr>
          <w:sz w:val="20"/>
          <w:szCs w:val="20"/>
          <w:color w:val="auto"/>
        </w:rPr>
      </w:pPr>
    </w:p>
    <w:p>
      <w:pPr>
        <w:ind w:left="960" w:right="360"/>
        <w:spacing w:after="0" w:line="266" w:lineRule="auto"/>
        <w:rPr>
          <w:sz w:val="20"/>
          <w:szCs w:val="20"/>
          <w:color w:val="auto"/>
        </w:rPr>
      </w:pPr>
      <w:r>
        <w:rPr>
          <w:rFonts w:ascii="Arial" w:cs="Arial" w:eastAsia="Arial" w:hAnsi="Arial"/>
          <w:sz w:val="18"/>
          <w:szCs w:val="18"/>
          <w:color w:val="auto"/>
        </w:rPr>
        <w:t>patients’ ability to comply with the specific instructions related to the trial protocol, proper documentation, and use of the drug candidate; an inability to obtain or maintain patient informed consents;</w:t>
      </w:r>
    </w:p>
    <w:p>
      <w:pPr>
        <w:ind w:left="960" w:right="2760"/>
        <w:spacing w:after="0" w:line="266" w:lineRule="auto"/>
        <w:rPr>
          <w:sz w:val="20"/>
          <w:szCs w:val="20"/>
          <w:color w:val="auto"/>
        </w:rPr>
      </w:pPr>
      <w:r>
        <w:rPr>
          <w:rFonts w:ascii="Arial" w:cs="Arial" w:eastAsia="Arial" w:hAnsi="Arial"/>
          <w:sz w:val="18"/>
          <w:szCs w:val="18"/>
          <w:color w:val="auto"/>
        </w:rPr>
        <w:t>the risk that enrolled patients will drop out before completion or not return for post-treatment follow-up; the ability to monitor patients adequately during and after treatment; the ability to compensate patients for their time and effort; and</w:t>
      </w:r>
    </w:p>
    <w:p>
      <w:pPr>
        <w:ind w:left="96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23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may be at risk for dropping out of our studies if they are not experiencing relief of their disease. A significant number of withdrawn patients would compromise the quality of our data.</w:t>
      </w:r>
    </w:p>
    <w:p>
      <w:pPr>
        <w:sectPr>
          <w:pgSz w:w="11900" w:h="16838" w:orient="portrait"/>
          <w:cols w:equalWidth="0" w:num="1">
            <w:col w:w="11220"/>
          </w:cols>
          <w:pgMar w:left="320" w:top="418" w:right="359" w:bottom="1440" w:gutter="0" w:footer="0" w:header="0"/>
        </w:sectPr>
      </w:pP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Enrollment delays in our clinical trials may result in increased development costs for our drug candidates, or the inability to complete development of our drug candidates, which would cause the value of our company to decline, limit our ability to obtain additional financing, and materially impair our ability to generate revenues.</w:t>
      </w:r>
    </w:p>
    <w:p>
      <w:pPr>
        <w:spacing w:after="0" w:line="29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62"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submission, applications, and the payment of user fees, and statutory, regulatory, and policy changes. In addition, government funding of other government agencies that fund research and development activities is subject to the political process, which is inherently fluid and unpredictable.</w:t>
      </w:r>
    </w:p>
    <w:p>
      <w:pPr>
        <w:spacing w:after="0" w:line="185"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Disruptions at the FDA and other agencies, including as a result of the COVID-19 pandemic,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had to furlough critical FDA employees and stop critical activities. If a prolonged government shutdown occurs or if agency operations are otherwise impacted, it could significantly affect the ability of the FDA to timely review and process our regulatory submissions, which could have a material adverse effect on our business or prospects.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us from marketing our products internationally.</w:t>
      </w:r>
    </w:p>
    <w:p>
      <w:pPr>
        <w:spacing w:after="0" w:line="131" w:lineRule="exact"/>
        <w:rPr>
          <w:sz w:val="20"/>
          <w:szCs w:val="20"/>
          <w:color w:val="auto"/>
        </w:rPr>
      </w:pPr>
    </w:p>
    <w:p>
      <w:pPr>
        <w:jc w:val="both"/>
        <w:ind w:right="20" w:firstLine="509"/>
        <w:spacing w:after="0" w:line="303" w:lineRule="auto"/>
        <w:rPr>
          <w:sz w:val="20"/>
          <w:szCs w:val="20"/>
          <w:color w:val="auto"/>
        </w:rPr>
      </w:pPr>
      <w:r>
        <w:rPr>
          <w:rFonts w:ascii="Arial" w:cs="Arial" w:eastAsia="Arial" w:hAnsi="Arial"/>
          <w:sz w:val="17"/>
          <w:szCs w:val="17"/>
          <w:color w:val="auto"/>
        </w:rPr>
        <w:t>We intend to have our drug candidates marketed outside the United States. In order to market our products in many non-U.S. jurisdictions, we must obtain separate regulatory approvals and comply with numerous and varying regulatory requirements. To date, we have not filed for marketing approval for any of our drug candidates and may not receive the approvals necessary to commercialize our drug candidates in any market.</w:t>
      </w:r>
    </w:p>
    <w:p>
      <w:pPr>
        <w:spacing w:after="0" w:line="164"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approval procedure varies among countries and may include all of the risks associated with obtaining FDA approval. Further, the time required to obtain foreign regulatory approval may differ from that required to obtain FDA approval, and additional pre-clinical studies, clinical trials, other testing and data review may be required. We may not obtain foreign regulatory approvals on a timely basis, if at all. Additionally, approval by the FDA does not ensure approval by regulatory agencies in other countries, and approval by one foreign regulatory authority does not ensure approval by regulatory agencies in other foreign countries or by the FDA. However, a failure or delay in obtaining regulatory approval in one jurisdiction may have a negative effect on the regulatory approval process in other jurisdictions, including approval by the FDA. The failure to obtain regulatory approval in foreign jurisdictions could limit commercialization of our products, reduce our ability to generate profits and harm our business.</w:t>
      </w:r>
    </w:p>
    <w:p>
      <w:pPr>
        <w:spacing w:after="0" w:line="289"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b w:val="1"/>
          <w:bCs w:val="1"/>
          <w:i w:val="1"/>
          <w:iCs w:val="1"/>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75"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currently hold an FDA Fast Track Designation for zandelisib for the treatment of adult patients with relapsed or refractory follicular lymphoma who have received at least two prior systemic therapies. Previously, in August 2016, the FDA granted Breakthrough Therapy Designation to pracinostat for the treatment of AML. However, in July 2020, we announced the discontinuation of the Phase 3 clinical trial of pracinostat, conducted by Helsinn, for the treatment of AML. The FDA also withdrew the pracinostat breakthrough designation. As described in the Government Regulation section of this Annual Report, there are a number of FDA programs that are intended to speed the development of drugs that are intended to treat serious diseases and conditions when there is an unmet need, including Fast Track and Break Through Therapy Designation. Receipt of such designations is within the discretion of the FDA. Accordingly, even if we believe one of our drug candidates meets the criteria for a designation, the FDA may disagree. If we receive any designation, the potential reduced timelines associated with designation may introduce significant chemistry, manufacturing and controls challenges for product development as manufacturing development may need to take place at a faster pace than would otherwise be required because the FDA will expect that properly qualified and manufactured product be available at the time of product approval. In any event, the receipt of a designation for a product candidate may not result in a faster development process, review or approval compared to drugs considered for approval under conventional FDA procedures and does not assure ultimate approval by the FDA. In addition, even after granting a designation, the FDA may later decide that such product candidates no longer meet the conditions for qualification and rescind such designations.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orphan drug designations we receive may not confer marketing exclusivity or other benefits.</w:t>
      </w:r>
    </w:p>
    <w:p>
      <w:pPr>
        <w:spacing w:after="0" w:line="131" w:lineRule="exact"/>
        <w:rPr>
          <w:sz w:val="20"/>
          <w:szCs w:val="20"/>
          <w:color w:val="auto"/>
        </w:rPr>
      </w:pPr>
    </w:p>
    <w:p>
      <w:pPr>
        <w:jc w:val="both"/>
        <w:ind w:right="420" w:firstLine="509"/>
        <w:spacing w:after="0" w:line="303" w:lineRule="auto"/>
        <w:rPr>
          <w:sz w:val="20"/>
          <w:szCs w:val="20"/>
          <w:color w:val="auto"/>
        </w:rPr>
      </w:pPr>
      <w:r>
        <w:rPr>
          <w:rFonts w:ascii="Arial" w:cs="Arial" w:eastAsia="Arial" w:hAnsi="Arial"/>
          <w:sz w:val="17"/>
          <w:szCs w:val="17"/>
          <w:color w:val="auto"/>
        </w:rPr>
        <w:t>In the United States, under the Orphan Drug Act, the FDA may grant orphan designation to a drug or biological product intended to treat a rare disease or condition. Such diseases and conditions are those that affect fewer than 200,000 individuals in the United States, or if they affect more than 200,000 individuals in the United States, there is no reasonable expectation that the cost of developing and making a drug</w:t>
      </w:r>
    </w:p>
    <w:p>
      <w:pPr>
        <w:sectPr>
          <w:pgSz w:w="11900" w:h="16838" w:orient="portrait"/>
          <w:cols w:equalWidth="0" w:num="1">
            <w:col w:w="11240"/>
          </w:cols>
          <w:pgMar w:left="320" w:top="418"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available in the United States for these types of diseases or conditions will be recovered from sales of the drug. Orphan drug designation must be requested before submitting an NDA. If the FDA grants orphan drug designation, the identity of the therapeutic agent and its potential orphan use are disclosed publicly by that agency. Orphan drug designation does not convey any advantage in or shorten the duration of the regulatory review and approval process, but it can lead to financial incentives, such as opportunities for grant funding toward clinical trial costs, tax advantages and user-fee waivers. The EMA and the UK also have programs for orphan drugs.</w:t>
      </w:r>
    </w:p>
    <w:p>
      <w:pPr>
        <w:spacing w:after="0" w:line="191"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There is no guarantee that a drug candidate will receive orphan drug designation. There is also no guarantee that we would be able to maintain any designations that we receive. For instance, orphan drug designation in the U.S., EU or UK may be revoked for a number of reasons. If a drug that has orphan designation subsequently receives the first FDA approval for the disease or condition for which it has such designation, the drug is entitled to orphan drug marketing exclusivity for a period of seven years. Orphan drug marketing exclusivity generally prevents the FDA from approving another application, including a full NDA, to market the same drug or biological product for the same indication for seven years, except in limited circumstances, including if the FDA concludes that the later drug is safer, more effective or makes a major contribution to patient care. For purposes of small molecule drugs, the FDA defines “same drug” as a drug that contains the same active moiety and is intended for the same use as the drug in question. We may not be able to obtain future orphan drug designations that we may apply for or maintain any orphan drug designations that we may receive. A designated orphan drug also may not receive orphan drug marketing exclusivity if it is approved for a use that is broader than the indication for which it received orphan designation or if it is deemed to be the same drug as a previously approved drug and cannot demonstrate clinical superiority. Similarly, in the EMA (and the MHRA), orphan drugs can receive an exclusivity period of ten years, but can be reduced to six years if the drug no longer meets the criteria for orphan drug designation or if the drug is sufficiently profitable so that market exclusivity is no longer justified. Orphan designation does not convey any advantage in, or shorten the duration of, the regulatory review and approval process. By example, we received FDA and EMA orphan drug designation for pracinostat for the treatment of AML. However, in July 2020, we announced the discontinuation of the Phase 3 clinical trial of pracinostat, conducted by Helsinn, for the treatment of AML.</w:t>
      </w:r>
    </w:p>
    <w:p>
      <w:pPr>
        <w:spacing w:after="0" w:line="189"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Orphan drug exclusivity may be lost if the FDA, EMA or MHRA determines that the request for designation was materially defective or if the manufacturer is unable to assure sufficient quantity of the drug to meet the needs of patients with the rare disease or condition. Orphan drug exclusivity also may not protect a product from competition. For instance, the FDA may approve a drug that is the same drug with orphan exclusivity for a different indication or a different drug for the same indication as the orphan product. Even after an orphan product is approved, the FDA can also subsequently approve a product containing the same principal molecular features for the same condition if the FDA concludes that the latter product is clinically superior. The FDA may further grant orphan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w:t>
      </w:r>
    </w:p>
    <w:p>
      <w:pPr>
        <w:spacing w:after="0" w:line="351"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6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Even if our drug candidates obtain regulatory approval, resulting products may not gain market acceptance among physicians, patients, healthcare payers or the medical community. We believe that the degree of market acceptance and our ability to generate revenues from such products will depend on a number of factors, including, but not limited to, the following: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timing of market introduction of our drugs and competitive drugs;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and perceived efficacy and safety of our drug candidates;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prevalence and severity of any side effects;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or perceived advantages or disadvantages over alternative treatments;</w:t>
      </w:r>
    </w:p>
    <w:p>
      <w:pPr>
        <w:spacing w:after="0" w:line="23" w:lineRule="exact"/>
        <w:rPr>
          <w:sz w:val="20"/>
          <w:szCs w:val="20"/>
          <w:color w:val="auto"/>
        </w:rPr>
      </w:pPr>
    </w:p>
    <w:p>
      <w:pPr>
        <w:ind w:left="960" w:right="3120"/>
        <w:spacing w:after="0" w:line="266" w:lineRule="auto"/>
        <w:rPr>
          <w:sz w:val="20"/>
          <w:szCs w:val="20"/>
          <w:color w:val="auto"/>
        </w:rPr>
      </w:pPr>
      <w:r>
        <w:rPr>
          <w:rFonts w:ascii="Arial" w:cs="Arial" w:eastAsia="Arial" w:hAnsi="Arial"/>
          <w:sz w:val="18"/>
          <w:szCs w:val="18"/>
          <w:color w:val="auto"/>
        </w:rPr>
        <w:t>potential post-marketing commitments imposed by regulatory authorities, such as patient registries; strength of sales, marketing and distribution support;</w:t>
      </w:r>
    </w:p>
    <w:p>
      <w:pPr>
        <w:ind w:left="960"/>
        <w:spacing w:after="0"/>
        <w:rPr>
          <w:sz w:val="20"/>
          <w:szCs w:val="20"/>
          <w:color w:val="auto"/>
        </w:rPr>
      </w:pPr>
      <w:r>
        <w:rPr>
          <w:rFonts w:ascii="Arial" w:cs="Arial" w:eastAsia="Arial" w:hAnsi="Arial"/>
          <w:sz w:val="18"/>
          <w:szCs w:val="18"/>
          <w:color w:val="auto"/>
        </w:rPr>
        <w:t>price of our future products, both in absolute terms and relative to alternative treatments;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 of current and future healthcare laws on our drug candidates; and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availability of coverage and reimbursement from government and other third-party payers.</w:t>
      </w:r>
    </w:p>
    <w:p>
      <w:pPr>
        <w:spacing w:after="0" w:line="238"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If any of our drugs are approved and fail to achieve market acceptance, we may not be able to generate significant revenue to achieve or sustain profitability.</w:t>
      </w:r>
    </w:p>
    <w:p>
      <w:pPr>
        <w:spacing w:after="0" w:line="278"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any products we develop become subject to unfavorable pricing regulations, third-party reimbursement practices or healthcare reform initiatives, our ability to successfully commercialize our products will be impaired.</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future revenues, profitability and access to capital will be affected by the continuing efforts of governmental and private third-party payers to manage, contain or reduce the costs of health care through various means, such as capping prices, limiting price increases, reducing reimbursement, and requiring rebates. We are also unsure of the impact of any future health care reform legislation or other changes in healthcare policy may have on our business or what actions federal, state, foreign and private payers may take or reforms that may be implemented in the future. Therefore, it is difficult to predict the effect of any potential reform on our business. Our ability to commercialize our drug candidates successfully will depend, in part, on the extent to which reimbursement for the cost of such drug candidates and related treatments will be available from government health administration authorities, such as Medicare and Medicaid in the United States, private health insurers and other organizations. Significant uncertainty exists as to the reimbursement status of newly approved health care products, particularly for indications for which there is no current effective treatment or for which medical care typically is not sought. Adequate third-party coverage may not be available to enable us to maintain price levels sufficient to realize an appropriate return on our investment in research and development. If adequate coverage and reimbursement levels are not provided by government and third-party payers for use of our products, our products may fail to achieve market acceptance without a substantial reduction in price or at all and our results of operations will be harmed. In addition, government regulation may restrict our business and financial relationships with health care providers and managed care intermediaries in ways that could impact our ability successfully to market our products.</w:t>
      </w:r>
    </w:p>
    <w:p>
      <w:pPr>
        <w:spacing w:after="0" w:line="170"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have resulted in several recent Congressional inquiries and proposed and enacted bills by Congress and the states designed to, among other things, bring more transparency to product pricing, review the relationship between pricing and manufacturer patient programs, and reform government program reimbursement methodologies for products. In addition, the United States government, state legislatures, and foreign governments have shown significant interest in implementing cost containment programs, including price-controls, restrictions on reimbursement, requirements for substitution of generic products for branded prescription drugs, and permitting importation of drugs from outside the United States to limit the growth of government paid health care costs. For example, the United States government has passed legislation requiring pharmaceutical manufacturers that participate in federal healthcare programs to provide rebates and discounts to certain entities and governmental payors. Further, Congress and the current administration have each indicated that it will continue to seek new legislative and/or administrative measures to control drug costs. Individual states in the United States have also been increasingly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ongoing government regulation both before and after regulatory approval.</w:t>
      </w:r>
    </w:p>
    <w:p>
      <w:pPr>
        <w:spacing w:after="0" w:line="131"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Both before and after regulatory approval, our drug candidates are subject to strict and ongoing regulation. Compliance with such regulations may consume substantial financial and management resources and expose us and our collaborators to the potential for other adverse circumstances. For example, a regulatory authority can place restrictions on the sale or marketing of a drug in order to manage the risks identified during initial clinical trials or after the drug is on the market. A regulatory authority can condition the approval for a drug on costly post-marketing follow-up studies. Based on these studies, if a regulatory authority does not believe that the drug demonstrates a clinical benefit to patients or an acceptable safety profile, it could limit the indications for which a drug may be sold or revoke the drug’s marketing approval. In addition, identification of certain side effects either during clinical trials or after a drug is on the market may result in reformulation of a drug, additional pre-clinical and clinical trials, labeling changes, termination of ongoing clinical trials or withdrawal of approval. Any of these events could delay or prevent us from generating revenue from the commercialization of these drugs and cause us to incur significant additional costs.</w:t>
      </w:r>
    </w:p>
    <w:p>
      <w:pPr>
        <w:spacing w:after="0" w:line="17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Compliance with the applicable regulatory requirements may result in significant expenses and we and our third-party contractors and collaborators may be subject to unannounced FDA and other regulatory authority inspections. Any failure to comply with the applicable regulatory requirements or problems with our drug candidates may result in regulatory enforcement or other actions, including: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manufacturing or distribution, or marketing of any approved products;</w:t>
      </w:r>
    </w:p>
    <w:p>
      <w:pPr>
        <w:spacing w:after="0" w:line="23" w:lineRule="exact"/>
        <w:rPr>
          <w:sz w:val="20"/>
          <w:szCs w:val="20"/>
          <w:color w:val="auto"/>
        </w:rPr>
      </w:pPr>
    </w:p>
    <w:p>
      <w:pPr>
        <w:ind w:left="960" w:right="60"/>
        <w:spacing w:after="0" w:line="266" w:lineRule="auto"/>
        <w:rPr>
          <w:sz w:val="20"/>
          <w:szCs w:val="20"/>
          <w:color w:val="auto"/>
        </w:rPr>
      </w:pPr>
      <w:r>
        <w:rPr>
          <w:rFonts w:ascii="Arial" w:cs="Arial" w:eastAsia="Arial" w:hAnsi="Arial"/>
          <w:sz w:val="18"/>
          <w:szCs w:val="18"/>
          <w:color w:val="auto"/>
        </w:rPr>
        <w:t>restrictions on the labeling, including restrictions on the indication or approved patient population, and required additional warnings, such as black box warnings, contraindications, and precautions;</w:t>
      </w:r>
    </w:p>
    <w:p>
      <w:pPr>
        <w:ind w:left="960"/>
        <w:spacing w:after="0"/>
        <w:rPr>
          <w:sz w:val="20"/>
          <w:szCs w:val="20"/>
          <w:color w:val="auto"/>
        </w:rPr>
      </w:pPr>
      <w:r>
        <w:rPr>
          <w:rFonts w:ascii="Arial" w:cs="Arial" w:eastAsia="Arial" w:hAnsi="Arial"/>
          <w:sz w:val="18"/>
          <w:szCs w:val="18"/>
          <w:color w:val="auto"/>
        </w:rPr>
        <w:t>modifications to promotional pieces or issuance of corrective information;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requirements to conduct post-marketing studies or other clinical trials;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clinical holds or termination of clinical trials;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requirements to establish or modify a REMS or a comparable foreign authority may require that we establish or modify a similar strategy;</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the way the product is administered;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liability for harm caused to patients or subjects;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reputational harm;</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product becoming less competitive;</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warning, untitled, or cyber letters;</w:t>
      </w:r>
    </w:p>
    <w:p>
      <w:pPr>
        <w:sectPr>
          <w:pgSz w:w="11900" w:h="16838" w:orient="portrait"/>
          <w:cols w:equalWidth="0" w:num="1">
            <w:col w:w="11140"/>
          </w:cols>
          <w:pgMar w:left="320" w:top="418" w:right="439" w:bottom="1440" w:gutter="0" w:footer="0" w:header="0"/>
        </w:sect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18"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of marketing or withdrawal of the products from the market;</w:t>
      </w:r>
    </w:p>
    <w:p>
      <w:pPr>
        <w:spacing w:after="0" w:line="23" w:lineRule="exact"/>
        <w:rPr>
          <w:sz w:val="20"/>
          <w:szCs w:val="20"/>
          <w:color w:val="auto"/>
        </w:rPr>
      </w:pPr>
    </w:p>
    <w:p>
      <w:pPr>
        <w:ind w:left="960"/>
        <w:spacing w:after="0" w:line="266" w:lineRule="auto"/>
        <w:rPr>
          <w:sz w:val="20"/>
          <w:szCs w:val="20"/>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ind w:left="960" w:right="3340"/>
        <w:spacing w:after="0" w:line="266" w:lineRule="auto"/>
        <w:rPr>
          <w:sz w:val="20"/>
          <w:szCs w:val="20"/>
          <w:color w:val="auto"/>
        </w:rPr>
      </w:pPr>
      <w:r>
        <w:rPr>
          <w:rFonts w:ascii="Arial" w:cs="Arial" w:eastAsia="Arial" w:hAnsi="Arial"/>
          <w:sz w:val="18"/>
          <w:szCs w:val="18"/>
          <w:color w:val="auto"/>
        </w:rPr>
        <w:t>refusal to approve pending applications or supplements to approved applications that we submit; recalls of products;</w:t>
      </w:r>
    </w:p>
    <w:p>
      <w:pPr>
        <w:ind w:left="960"/>
        <w:spacing w:after="0"/>
        <w:rPr>
          <w:sz w:val="20"/>
          <w:szCs w:val="20"/>
          <w:color w:val="auto"/>
        </w:rPr>
      </w:pPr>
      <w:r>
        <w:rPr>
          <w:rFonts w:ascii="Arial" w:cs="Arial" w:eastAsia="Arial" w:hAnsi="Arial"/>
          <w:sz w:val="18"/>
          <w:szCs w:val="18"/>
          <w:color w:val="auto"/>
        </w:rPr>
        <w:t>fines, restitution or disgorgement of profits or revenues;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withdrawal of marketing approvals;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refusal to permit the import or export of our products;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w:t>
      </w:r>
    </w:p>
    <w:p>
      <w:pPr>
        <w:spacing w:after="0" w:line="23" w:lineRule="exact"/>
        <w:rPr>
          <w:sz w:val="20"/>
          <w:szCs w:val="20"/>
          <w:color w:val="auto"/>
        </w:rPr>
      </w:pPr>
    </w:p>
    <w:p>
      <w:pPr>
        <w:ind w:left="960" w:right="120"/>
        <w:spacing w:after="0" w:line="279" w:lineRule="auto"/>
        <w:rPr>
          <w:sz w:val="20"/>
          <w:szCs w:val="20"/>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 injunctions or the imposition of civil or criminal penalties, including imprisonment.</w:t>
      </w:r>
    </w:p>
    <w:p>
      <w:pPr>
        <w:spacing w:after="0" w:line="182"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Non-compliance with any foreign jurisdictions’ requirements, including requirements regarding the protection of personal information, can also lead to significant penalties and sanctions.</w:t>
      </w:r>
    </w:p>
    <w:p>
      <w:pPr>
        <w:spacing w:after="0" w:line="170"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Any of these events could prevent us from achieving or maintaining regulatory product approval and market acceptance of the particular drug candidate, if approved, or could substantially increase the costs and expenses of developing and commercializing such product, which in turn could delay or prevent us from generating significant revenues from its sale.</w:t>
      </w:r>
    </w:p>
    <w:p>
      <w:pPr>
        <w:spacing w:after="0" w:line="183"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Other changes may also impact our ability to conduct studies and the approvability or marketability of our drug candidates, including changes in law, government regulation, or FDA policy, including review policies, which may be due to changes in the U.S. government and U.S. administration, or changes in medical practice or standard of care.</w:t>
      </w:r>
    </w:p>
    <w:p>
      <w:pPr>
        <w:spacing w:after="0" w:line="183" w:lineRule="exact"/>
        <w:rPr>
          <w:sz w:val="20"/>
          <w:szCs w:val="20"/>
          <w:color w:val="auto"/>
        </w:rPr>
      </w:pPr>
    </w:p>
    <w:p>
      <w:pPr>
        <w:ind w:right="40" w:firstLine="509"/>
        <w:spacing w:after="0" w:line="303" w:lineRule="auto"/>
        <w:rPr>
          <w:sz w:val="20"/>
          <w:szCs w:val="20"/>
          <w:color w:val="auto"/>
        </w:rPr>
      </w:pPr>
      <w:r>
        <w:rPr>
          <w:rFonts w:ascii="Arial" w:cs="Arial" w:eastAsia="Arial" w:hAnsi="Arial"/>
          <w:sz w:val="17"/>
          <w:szCs w:val="17"/>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 Should any of the above actions take place, they could adversely affect our ability to achieve or sustain profitability.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the contractual arrangements necessary to develop, market and distribute our drug candidates.</w:t>
      </w:r>
    </w:p>
    <w:p>
      <w:pPr>
        <w:spacing w:after="0" w:line="131"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A key part of our strategy is to establish contractual relationships with third parties to package, market and distribute our drug candidates. There is no assurance that we will be able to negotiate commercially acceptable licensing or other agreements for the future exploitation of our drug candidates, including continued clinical development, manufacture or marketing. If we are unable to successfully contract for these services, or if arrangements for these services are terminated, we may have to delay our commercialization program which will adversely affect our ability to generate operating revenues.</w:t>
      </w:r>
    </w:p>
    <w:p>
      <w:pPr>
        <w:spacing w:after="0" w:line="26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Our commercial opportunity will be reduced or eliminated if competitors develop and market products that are more effective, have fewer side effects or are less expensive than our drug candidates.</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The development of drug candidates is highly competitive. A number of other companies have products or drug candidates that have either been approved or are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effective drugs, our compounds may not compete successfully with products produced by our competitors.</w:t>
      </w:r>
    </w:p>
    <w:p>
      <w:pPr>
        <w:spacing w:after="0" w:line="19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and marketing than we do. These organizations also compete with us and our service providers, to recruit qualified personnel, and with us to attract partners for joint ventures and to license technologies that are competitive with us. As a result, our competitors may be able to more easily develop technologies and products that would render our technologies or our drug candidates obsolete or non-competitive.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31" w:lineRule="exact"/>
        <w:rPr>
          <w:sz w:val="20"/>
          <w:szCs w:val="20"/>
          <w:color w:val="auto"/>
        </w:rPr>
      </w:pPr>
    </w:p>
    <w:p>
      <w:pPr>
        <w:ind w:right="60" w:firstLine="509"/>
        <w:spacing w:after="0" w:line="324" w:lineRule="auto"/>
        <w:rPr>
          <w:sz w:val="20"/>
          <w:szCs w:val="20"/>
          <w:color w:val="auto"/>
        </w:rPr>
      </w:pPr>
      <w:r>
        <w:rPr>
          <w:rFonts w:ascii="Arial" w:cs="Arial" w:eastAsia="Arial" w:hAnsi="Arial"/>
          <w:sz w:val="17"/>
          <w:szCs w:val="17"/>
          <w:color w:val="auto"/>
        </w:rPr>
        <w:t>Our product candidates, if approved, may face competition from other products that are the same as or similar to our product candidates. If the FDA or comparable foreign regulatory authorities approve generic or similar versions of any of our product candidates that receive</w:t>
      </w:r>
    </w:p>
    <w:p>
      <w:pPr>
        <w:sectPr>
          <w:pgSz w:w="11900" w:h="16838" w:orient="portrait"/>
          <w:cols w:equalWidth="0" w:num="1">
            <w:col w:w="11240"/>
          </w:cols>
          <w:pgMar w:left="320" w:top="418"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marketing approval, or such authorities do not grant our products appropriate periods of regulatory exclusivity before approving generic or similar versions of our products, the sales of our products could be adversely affected.</w:t>
      </w:r>
    </w:p>
    <w:p>
      <w:pPr>
        <w:spacing w:after="0" w:line="62" w:lineRule="exact"/>
        <w:rPr>
          <w:sz w:val="20"/>
          <w:szCs w:val="20"/>
          <w:color w:val="auto"/>
        </w:rPr>
      </w:pPr>
    </w:p>
    <w:p>
      <w:pPr>
        <w:ind w:right="180" w:firstLine="509"/>
        <w:spacing w:after="0" w:line="306" w:lineRule="auto"/>
        <w:rPr>
          <w:sz w:val="20"/>
          <w:szCs w:val="20"/>
          <w:color w:val="auto"/>
        </w:rPr>
      </w:pPr>
      <w:r>
        <w:rPr>
          <w:rFonts w:ascii="Arial" w:cs="Arial" w:eastAsia="Arial" w:hAnsi="Arial"/>
          <w:sz w:val="16"/>
          <w:szCs w:val="16"/>
          <w:color w:val="auto"/>
        </w:rPr>
        <w:t>Once an NDA is approved, the product will become a “reference listed drug” in the FDA’s Orange Book. Other applicants may then seek approval of generic versions of our products through submission of Abbreviated New Drug Applications ("ANDA") in the United States. Generic products may be significantly less costly to bring to market than the reference listed drug and companies that produce generic products are generally able to offer them at lower prices, and are generally preferred by third party payors. As a result, the FDA, the administration and Congress have recently taken steps to encourage increased generic drug competition in the market in an effort to bring down drug costs. Following the introduction of a generic drug, a significant percentage of the sales of any branded product or reference listed drug is typically lost to the generic product. Moreover, in addition to generic competition, we could face competition from other companies seeking approval of drug products that are similar to ours using the 505(b)(2) regulatory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6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Any ANDA or 505(b)(2) applicants seeking to rely upon any of our product candidates, if such product candidates are approved, would need to submit patent certification statements with their applications for any of our patents that are listed in the FDA’s Orange Book. 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If one of our product candidates is approved and a patent covering that product candidate is not listed in the Orange Book, an ANDA or 505(b)(2) applicant would not have to submit a patent certification with regard to such patent to the FDA, in which case, we would not receive the protections provided by the Hatch Waxman Act.</w:t>
      </w:r>
    </w:p>
    <w:p>
      <w:pPr>
        <w:spacing w:after="0" w:line="5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Moreover, if an ANDA or 505(b)(2) applicant files a paragraph IV challenge to any patents that we may list in the FDA’s Orange Book and if we do not file a timely patent infringement lawsuit, the ANDA or 505(b)(2) applicant would not be subject to a 30-month stay. If we did file such an action, the litigation or other proceedings to enforce or defend our intellectual property rights would likely be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55"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We currently anticipate that we may be eligible for five years of non-patent marketing exclusivity in the United States. This exclusivity, however, would not prevent other companies from submitting full NDAs. To the extent we do not receive any anticipated periods of regulatory exclusivity or to the extent the FDA or foreign regulatory authorities approve any generic, similar, or other competing products, our business would be adversely impacted. Competition that our products may face from generic, similar, or other competing products could materially and adversely impact our future revenue, profitability, and cash flows and substantially limit our ability to obtain a return on the investments we have made in those product candidates.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351"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62"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In the course of our pre-clinical testing and clinical trials, we rely on third parties, including laboratories, investigators, clinical contract research organizations (“CROs”), manufacturers, and distributors to perform critical services for us. For example, we rely on third parties to conduct our clinical trials and many of our pre-clinical studies, which are required to be conducted consistent with regulations on GLPs and GCPs. CROs and study sites are responsible for many aspects of the trials, including finding and enrolling subjects for testing and administering the trials. Although we rely on these third parties to conduct our pre-clinical and clinical trials, we are responsible for ensuring that each of our trials is conducted in accordance with its investigational plan and protocol and that the integrity of the studies and resulting data is protected. While we have agreements governing the activities of such third parties, we have limited influence and control over their actual performance and activities. Moreover, the FDA and foreign regulatory authorities require us to comply with regulations and standards, commonly referred to as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third parties does not relieve us of these responsibilities and requirements. These third parties may not be available when we need them or, if they are available, may not devote sufficient time or resources to our studies, may not comply with all regulatory and contractual requirements, or may not otherwise perform their services in a timely or acceptable manner, and we may need to enter into new arrangements with alternative third parties and our clinical trials may be extended, delayed or terminated. These independent third parties may also have relationships with other commercial entities, some of which may compete with us. In addition, if such third parties fail to perform their obligations in compliance with our protocols or the applicable regulatory requirements, our trials may not meet regulatory requirements or may need to be repeated, we may not receive marketing approvals, or we or such third parties may face regulatory enforcement.</w:t>
      </w:r>
    </w:p>
    <w:p>
      <w:pPr>
        <w:sectPr>
          <w:pgSz w:w="11900" w:h="16838" w:orient="portrait"/>
          <w:cols w:equalWidth="0" w:num="1">
            <w:col w:w="11240"/>
          </w:cols>
          <w:pgMar w:left="320" w:top="41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181" w:lineRule="exact"/>
        <w:rPr>
          <w:sz w:val="20"/>
          <w:szCs w:val="20"/>
          <w:color w:val="auto"/>
        </w:rPr>
      </w:pPr>
    </w:p>
    <w:p>
      <w:pPr>
        <w:ind w:right="180" w:firstLine="509"/>
        <w:spacing w:after="0" w:line="359" w:lineRule="auto"/>
        <w:rPr>
          <w:sz w:val="20"/>
          <w:szCs w:val="20"/>
          <w:color w:val="auto"/>
        </w:rPr>
      </w:pPr>
      <w:r>
        <w:rPr>
          <w:rFonts w:ascii="Arial" w:cs="Arial" w:eastAsia="Arial" w:hAnsi="Arial"/>
          <w:sz w:val="16"/>
          <w:szCs w:val="16"/>
          <w:color w:val="auto"/>
        </w:rPr>
        <w:t>Accordingly, as a result of our dependence on third parties, we may face delays, failures or cost increases outside of our direct control. These risks also apply to the development activities of collaborators, and we do not control their research and development, clinical trial or regulatory activities.</w:t>
      </w:r>
    </w:p>
    <w:p>
      <w:pPr>
        <w:spacing w:after="0" w:line="125" w:lineRule="exact"/>
        <w:rPr>
          <w:sz w:val="20"/>
          <w:szCs w:val="20"/>
          <w:color w:val="auto"/>
        </w:rPr>
      </w:pPr>
    </w:p>
    <w:p>
      <w:pPr>
        <w:jc w:val="both"/>
        <w:ind w:right="380" w:firstLine="509"/>
        <w:spacing w:after="0" w:line="279"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83"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 xml:space="preserve">We also cannot assure you that upon inspection by a given regulatory authority, such regulatory authority will determine that any of our trials complies with the applicable regulatory requirements. In addition, our clinical trials must be conducted with drug candidates that were produced under cGMP conditions.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t>
      </w:r>
      <w:r>
        <w:rPr>
          <w:rFonts w:ascii="Arial" w:cs="Arial" w:eastAsia="Arial" w:hAnsi="Arial"/>
          <w:sz w:val="17"/>
          <w:szCs w:val="17"/>
          <w:u w:val="single" w:color="auto"/>
          <w:color w:val="auto"/>
        </w:rPr>
        <w:t>ClinicalTrials.gov</w:t>
      </w:r>
      <w:r>
        <w:rPr>
          <w:rFonts w:ascii="Arial" w:cs="Arial" w:eastAsia="Arial" w:hAnsi="Arial"/>
          <w:sz w:val="17"/>
          <w:szCs w:val="17"/>
          <w:color w:val="auto"/>
        </w:rPr>
        <w:t>, within specified timeframes. Failure to do so can result in enforcement actions and adverse publicity.</w:t>
      </w:r>
    </w:p>
    <w:p>
      <w:pPr>
        <w:spacing w:after="0" w:line="282"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spacing w:after="0" w:line="75"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We do not intend to manufacture our drug candidates ourselves, and we will rely on third parties for our drug supplies both for clinical trials and for commercial quantities in the future. We have taken the strategic decision not to manufacture active pharmaceutical ingredients (“API”), nor finished product, for our drug candidates, as these can be more economically supplied by third parties with particular expertise in this area. We have identified contract facilities that are registered with the FDA, have a track record of large- scale API and drug product manufacturing, and have already invested in capital and equipment. We have no direct control over the manufacturing of our drug candidates, or the cost thereof. If the contract manufacturers are unable to produce sufficient quantities of our drug candidates, as a result of a lack of available materials or otherwise, our ability to complete product candidate development and our future profitability would be adversely affected. If the cost of manufacturing increases, or if the cost of the materials used increases, these costs will be passed on to us, making the cost of conducting clinical trials more expensive. Increases in manufacturing costs could adversely affect our future profitability if we are unable to pass all of the increased costs along to our customers.</w:t>
      </w:r>
    </w:p>
    <w:p>
      <w:pPr>
        <w:spacing w:after="0" w:line="170"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drug candidates in accordance with regulatory requirements, if there are disagreements between us and such parties, or if such parties are unable to expand capacities to support commercialization of any of our drug candidates for which we obtain marketing approval, we may not be able to produce, or may be delayed in producing sufficient drug candidates to meet our supply requirements. Any delays in obtaining adequate supplies with respect to our drug candidates and components may delay the development or commercialization of our drug candidates.</w:t>
      </w:r>
    </w:p>
    <w:p>
      <w:pPr>
        <w:spacing w:after="0" w:line="174"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Further, we, along with our contract manufacturers, are required to comply with FDA requirements for cGMPs, related to product testing, quality assurance, manufacturing and documentation. Our contract manufacturers may not be able to comply with the applicable FDA regulatory requirements, which could result in delays to our product development programs, could result in adverse regulatory actions against them or us, and could prevent us from ultimately receiving product marketing approval. They also generally must pass an FDA preapproval inspection for conformity with cGMPs before we can obtain approval to manufacture our drug candidates and will be subject to ongoing, periodic, unannounced inspection by the FDA and corresponding state agencies to ensure strict compliance with cGMP, and other applicable government regulations and corresponding foreign standards. If we and our contract manufacturers fail to achieve and maintain high manufacturing standards in compliance with cGMP, we may experience manufacturing errors resulting in defective products that could be harmful to patients, product recalls or withdrawals, delays or interruptions of production or failures in product testing or delivery, clinical trial or other development program delays, delay or prevention of filing or approval of marketing applications for our products, cost overruns or other problems that could seriously harm our business. Not complying with FDA requirements could result in a product recall, costly and time-consuming corrective or preventative actions, or prevent commercialization of our drug candidates and delay our business development activities. In addition, such failure could be the basis for the FDA to issue a warning or untitled letter or take other regulatory or legal</w:t>
      </w:r>
    </w:p>
    <w:p>
      <w:pPr>
        <w:sectPr>
          <w:pgSz w:w="11900" w:h="16838" w:orient="portrait"/>
          <w:cols w:equalWidth="0" w:num="1">
            <w:col w:w="11220"/>
          </w:cols>
          <w:pgMar w:left="320" w:top="418" w:right="359" w:bottom="1440"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enforcement action, including recall or seizure, total or partial suspension of production, suspension of ongoing clinical trials, refusal to approve pending applications or supplemental applications, and potentially civil and/or criminal penalties depending on the matter.</w:t>
      </w:r>
    </w:p>
    <w:p>
      <w:pPr>
        <w:spacing w:after="0" w:line="170"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If we need to replace any of our manufacturers or establish additional manufacturing arrangements, we may not succeed in our efforts. Our drug candidates may compete with other products and drug candidates for access to manufacturing facilities. There are a limited number of manufacturers that operate under cGMP regulations and that are both capable of manufacturing for us and willing to do so. 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drug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The addition of a new or alternative manufacturer may also require FDA approvals and may have a material adverse effect on our business.</w:t>
      </w:r>
    </w:p>
    <w:p>
      <w:pPr>
        <w:spacing w:after="0" w:line="182" w:lineRule="exact"/>
        <w:rPr>
          <w:sz w:val="20"/>
          <w:szCs w:val="20"/>
          <w:color w:val="auto"/>
        </w:rPr>
      </w:pPr>
    </w:p>
    <w:p>
      <w:pPr>
        <w:ind w:right="80" w:firstLine="509"/>
        <w:spacing w:after="0" w:line="309" w:lineRule="auto"/>
        <w:rPr>
          <w:sz w:val="20"/>
          <w:szCs w:val="20"/>
          <w:color w:val="auto"/>
        </w:rPr>
      </w:pPr>
      <w:r>
        <w:rPr>
          <w:rFonts w:ascii="Arial" w:cs="Arial" w:eastAsia="Arial" w:hAnsi="Arial"/>
          <w:sz w:val="16"/>
          <w:szCs w:val="16"/>
          <w:color w:val="auto"/>
        </w:rPr>
        <w:t>We or our third-party manufacturers may also encounter shortages in the raw materials, therapeutic substances, or active pharmaceutical ingredients necessary to produce our drug candidates in the quantities needed for our clinical trials or, if our drug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Our or our third-party manufacturers’ failure to obtain the raw materials, therapeutic substances, or active pharmaceutical ingredients necessary to manufacture sufficient quantities of our drug candidates may have a material adverse effect on our business. If for any reason we are unable to obtain adequate supplies of our drug candidates or the components used to manufacture them, it will be more difficult for us to develop our drug candidates and compete effectively.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acquisitions or licenses from third parties to expand our pipeline of drug candidates.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are not presently engaged in drug discovery activities. In order to expand our pipeline of drug candidates for future development, we may need to purchase or in-license any such drug candidates. The success of this strategy depends in large part on the combination of our regulatory and development capabilities and expertise and our ability to identify, select and acquire or in-license clinically-enabled product candidates on terms that are acceptable to us. Identifying, selecting and acquiring or in-licensing promising product candidates requires substantial technical expertise, and we have limited experience in identifying and integrating any acquired product candidates into our current infrastructure. Efforts to do so may not result in the actual acquisition or in-license of a particular drug candidate, potentially resulting in a diversion of our management’s time and the expenditure of our resources with no resulting benefit. If we are unable to identify, select and acquire or license suitable product candidates from third parties on terms acceptable to us, our business and prospects may be limited.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51" w:lineRule="exact"/>
        <w:rPr>
          <w:sz w:val="20"/>
          <w:szCs w:val="20"/>
          <w:color w:val="auto"/>
        </w:rPr>
      </w:pPr>
    </w:p>
    <w:p>
      <w:pPr>
        <w:ind w:right="820"/>
        <w:spacing w:after="0" w:line="293" w:lineRule="auto"/>
        <w:rPr>
          <w:sz w:val="20"/>
          <w:szCs w:val="20"/>
          <w:color w:val="auto"/>
        </w:rPr>
      </w:pPr>
      <w:r>
        <w:rPr>
          <w:rFonts w:ascii="Arial" w:cs="Arial" w:eastAsia="Arial" w:hAnsi="Arial"/>
          <w:sz w:val="18"/>
          <w:szCs w:val="18"/>
          <w:b w:val="1"/>
          <w:bCs w:val="1"/>
          <w:i w:val="1"/>
          <w:iCs w:val="1"/>
          <w:color w:val="auto"/>
        </w:rPr>
        <w:t>Our commercial success is dependent, in part, on obtaining and maintaining patent protection and preserving trade secrets, which cannot be guaranteed.</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Patent protection and trade secret protection are important to our business and our future will depend, in part on our ability to maintain trade secret protection, obtain patents and operate without infringing the proprietary rights of others both in the United States and abroad. Litigation or other legal proceedings may be necessary to defend against claims of infringement, to enforce our patents or to protect our trade secrets. Such litigation could result in substantial costs and diversion of our management’s attention.</w:t>
      </w:r>
    </w:p>
    <w:p>
      <w:pPr>
        <w:spacing w:after="0" w:line="77"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In September 2013, we acquired patents and patent applications related to zandelisib from Pathway Therapeutics, Inc. In September 2017, we acquired patents and patent applications related to voruciclib from Presage. In 2011, we acquired both issued patents and pending patent applications related to ME-344 from Novogen in relation to our Isoflavone-based compounds, which we previously licensed from Novogen. Additionally, Novogen had previously applied for patents in a number of countries with respect to the use of their isoflavone compounds, including ME-344. The patent applications may not proceed to grant or may be amended to reduce the scope of protection of any patent granted. The applications and patents may also be opposed or challenged by third parties. Our commercial success will depend, in part, on our ability to obtain and maintain effective patent protection for our compounds and their use in treating, preventing, or curing cancer, and to successfully defend patent rights in those technologies against third-party challenges. As patent applications in the United States are maintained in secrecy until published or issued and as publication of discoveries in the scientific or patent literature often lag behind the actual discoveries, we cannot be certain that we or Presage were the first to make the inventions covered by the pending patent applications or issued patents referred to above or that we or they were the first to file patent applications for such inventions. Additionally, the breadth of claims allowed in biotechnology and pharmaceutical patents or their enforceability cannot be predicted. We cannot be sure that, should any patents issue, we will be provided with adequate protection against potentially competitive products. Furthermore, we cannot be sure that should</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20"/>
        <w:spacing w:after="0" w:line="293" w:lineRule="auto"/>
        <w:rPr>
          <w:sz w:val="20"/>
          <w:szCs w:val="20"/>
          <w:color w:val="auto"/>
        </w:rPr>
      </w:pPr>
      <w:r>
        <w:rPr>
          <w:rFonts w:ascii="Arial" w:cs="Arial" w:eastAsia="Arial" w:hAnsi="Arial"/>
          <w:sz w:val="18"/>
          <w:szCs w:val="18"/>
          <w:color w:val="auto"/>
        </w:rPr>
        <w:t>patents issue, they will be of commercial value to us, or that private parties, including competitors, will not successfully challenge our patents or circumvent our patent position in the United States or abroad.</w:t>
      </w:r>
    </w:p>
    <w:p>
      <w:pPr>
        <w:spacing w:after="0" w:line="278" w:lineRule="exact"/>
        <w:rPr>
          <w:sz w:val="20"/>
          <w:szCs w:val="20"/>
          <w:color w:val="auto"/>
        </w:rPr>
      </w:pPr>
    </w:p>
    <w:p>
      <w:pPr>
        <w:ind w:right="900"/>
        <w:spacing w:after="0" w:line="293" w:lineRule="auto"/>
        <w:rPr>
          <w:sz w:val="20"/>
          <w:szCs w:val="20"/>
          <w:color w:val="auto"/>
        </w:rPr>
      </w:pPr>
      <w:r>
        <w:rPr>
          <w:rFonts w:ascii="Arial" w:cs="Arial" w:eastAsia="Arial" w:hAnsi="Arial"/>
          <w:sz w:val="18"/>
          <w:szCs w:val="18"/>
          <w:b w:val="1"/>
          <w:bCs w:val="1"/>
          <w:i w:val="1"/>
          <w:iCs w:val="1"/>
          <w:color w:val="auto"/>
        </w:rPr>
        <w:t>Claims by other companies that we infringe on their proprietary technology may result in liability for damages or stop our development and commercialization efforts.</w:t>
      </w:r>
    </w:p>
    <w:p>
      <w:pPr>
        <w:spacing w:after="0" w:line="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pharmaceutical industry is highly competitive, and patents have been applied for by, and issued to, other parties relating to products competitive with the compounds that we have acquired. Therefore, zandelisib, voruciclib, ME-344 and pracinostat, and any other drug candidates, may give rise to claims that they infringe the patents or proprietary rights of other parties existing now and in the future.</w:t>
      </w:r>
    </w:p>
    <w:p>
      <w:pPr>
        <w:spacing w:after="0" w:line="7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Furthermore, to the extent that we or our consultants or research collaborators use intellectual property owned by others in work performed for us, disputes may also arise as to the rights in such intellectual property or in resulting know-how and inventions. An adverse claim could subject us to significant liabilities to such other parties and/or require disputed rights to be licensed from such other parties.</w:t>
      </w:r>
    </w:p>
    <w:p>
      <w:pPr>
        <w:spacing w:after="0" w:line="7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have contracted formulation development and manufacturing process development work for our product candidates. This process has identified a number of excipients, or additives to improve drug delivery, which may be used in the formulations. Excipients, among other things, perform the function of a carrier of the active drug ingredient. Some of these identified excipients or carriers may be included in third party patents in some countries. We intend to seek a license if we decide to use a patented excipient in the marketed product or we may choose one of those excipients that does not have a license requirement.</w:t>
      </w:r>
    </w:p>
    <w:p>
      <w:pPr>
        <w:spacing w:after="0" w:line="83"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29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jc w:val="both"/>
        <w:ind w:right="60" w:firstLine="509"/>
        <w:spacing w:after="0" w:line="299" w:lineRule="auto"/>
        <w:rPr>
          <w:sz w:val="20"/>
          <w:szCs w:val="20"/>
          <w:color w:val="auto"/>
        </w:rPr>
      </w:pPr>
      <w:r>
        <w:rPr>
          <w:rFonts w:ascii="Arial" w:cs="Arial" w:eastAsia="Arial" w:hAnsi="Arial"/>
          <w:sz w:val="16"/>
          <w:szCs w:val="16"/>
          <w:color w:val="auto"/>
        </w:rPr>
        <w:t>Many of our employees and the employees of KKC and third parties upon which we rely to conduct our clinical trials were previously employed at universities or at other biotechnology or pharmaceutical companies, some of which may be competitors or potential competitors. Some of these employees executed proprietary rights, non-disclosure and non-competition agreements, or similar agreements, in connection with such previous employment.</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84"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addition, while we typically require our employees, consultants, advisors and collaborators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substantial costs stemming from our defense against third-party intellectual property infringement claims.</w:t>
      </w:r>
    </w:p>
    <w:p>
      <w:pPr>
        <w:spacing w:after="0" w:line="131"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Third parties may assert that we are using their proprietary information without authorization. Third parties may also have or obtain patents and may claim that technologies licensed to or used by us infringe their patents. If we are required to defend patent infringement actions brought by third parties, or if we sue to protect our own patent rights, we may be required to pay substantial litigation costs and managerial attention may be diverted from business operations even if the outcome is not adverse to us. In addition, any legal action that seeks damages or an injunction to stop us from carrying on our commercial activities relating to the affected technologies could subject us to monetary liability and require us or any third party licensors to obtain a license to continue to use the affected technologies. We cannot predict whether we would prevail in any of these types of actions or that any required license would be made available on commercially acceptable terms or at 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Risks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of product liability claims and claims may exceed our insurance limits.</w:t>
      </w:r>
    </w:p>
    <w:p>
      <w:pPr>
        <w:sectPr>
          <w:pgSz w:w="11900" w:h="16838" w:orient="portrait"/>
          <w:cols w:equalWidth="0" w:num="1">
            <w:col w:w="11220"/>
          </w:cols>
          <w:pgMar w:left="320" w:top="418" w:right="359" w:bottom="1440" w:gutter="0" w:footer="0" w:header="0"/>
        </w:sect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Our business exposes us to the risk of product liability claims. This risk is inherent in the manufacturing, testing and marketing of human therapeutic products. Moreover, regardless of merit or eventual outcome, liability claims can have other adverse consequences, including:</w:t>
      </w:r>
    </w:p>
    <w:p>
      <w:pPr>
        <w:spacing w:after="0" w:line="39" w:lineRule="exact"/>
        <w:rPr>
          <w:sz w:val="20"/>
          <w:szCs w:val="20"/>
          <w:color w:val="auto"/>
        </w:rPr>
      </w:pPr>
    </w:p>
    <w:p>
      <w:pPr>
        <w:ind w:left="960" w:right="4500"/>
        <w:spacing w:after="0" w:line="266" w:lineRule="auto"/>
        <w:rPr>
          <w:sz w:val="20"/>
          <w:szCs w:val="20"/>
          <w:color w:val="auto"/>
        </w:rPr>
      </w:pPr>
      <w:r>
        <w:rPr>
          <w:rFonts w:ascii="Arial" w:cs="Arial" w:eastAsia="Arial" w:hAnsi="Arial"/>
          <w:sz w:val="18"/>
          <w:szCs w:val="18"/>
          <w:color w:val="auto"/>
        </w:rPr>
        <w:t>loss of revenue from decreased demand for our products and/or drug candidates; impairment of our business reputation or financial stability; costs of related litigation;</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substantial monetary awards to patients or other claimants;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diversion of management attention;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withdrawal of clinical trial participants and potential termination of clinical trial sites or entire clinical programs;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inability to commercialize our drug candidates;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significant negative media attention;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decrease in our stock price; or</w:t>
      </w:r>
    </w:p>
    <w:p>
      <w:pPr>
        <w:spacing w:after="0" w:line="23" w:lineRule="exact"/>
        <w:rPr>
          <w:sz w:val="20"/>
          <w:szCs w:val="20"/>
          <w:color w:val="auto"/>
        </w:rPr>
      </w:pPr>
    </w:p>
    <w:p>
      <w:pPr>
        <w:ind w:left="960" w:right="420"/>
        <w:spacing w:after="0" w:line="292" w:lineRule="auto"/>
        <w:rPr>
          <w:sz w:val="20"/>
          <w:szCs w:val="20"/>
          <w:color w:val="auto"/>
        </w:rPr>
      </w:pPr>
      <w:r>
        <w:rPr>
          <w:rFonts w:ascii="Arial" w:cs="Arial" w:eastAsia="Arial" w:hAnsi="Arial"/>
          <w:sz w:val="18"/>
          <w:szCs w:val="18"/>
          <w:color w:val="auto"/>
        </w:rPr>
        <w:t>initiation of investigations, and enforcement actions by regulators; and product recalls, withdrawals, revocation of approvals, or labeling, marketing or promotional restrictions.</w:t>
      </w:r>
    </w:p>
    <w:p>
      <w:pPr>
        <w:spacing w:after="0" w:line="170"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Our product liability insurance coverage is subject to deductibles and coverage limitations. We may not be able to obtain or maintain adequate protection against potential liabilities, or claims may exceed our insurance limits. If we cannot or do not sufficiently insure against potential product liability claims, we may be exposed to significant liabilities, which may materially and adversely affect our business development and commercialization efforts.</w:t>
      </w:r>
    </w:p>
    <w:p>
      <w:pPr>
        <w:spacing w:after="0" w:line="293" w:lineRule="exact"/>
        <w:rPr>
          <w:sz w:val="20"/>
          <w:szCs w:val="20"/>
          <w:color w:val="auto"/>
        </w:rPr>
      </w:pPr>
    </w:p>
    <w:p>
      <w:pPr>
        <w:ind w:right="80"/>
        <w:spacing w:after="0" w:line="394"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(“FCA”), case against us even if the government considers the claim unmeritorious and declines to intervene, which could require us to incur costs defending against such a claim. Further, due to the risk that a judgment in an FCA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3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candidate development and, if such drug candidates are approved commercialization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regulatory enforcement actions, and the further development of any of our drug candidates could be delayed.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will be seriously jeopardized if we are unable to retain and attract key employees.</w:t>
      </w:r>
    </w:p>
    <w:p>
      <w:pPr>
        <w:spacing w:after="0" w:line="131"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Our success depends on the continued contributions of our principal management, development and scientific personnel. We face competition for such personnel, and we believe that risks and uncertainties related to our business, including the timing and risk associated with research and development, our available and anticipated cash resources, and the volatility of our stock price, may impact our ability to hire and retain key and other personnel. The loss of services of our Chief Executive Officer or other key employees could adversely impact our operations and ability to generate or raise additional capital.</w:t>
      </w:r>
    </w:p>
    <w:p>
      <w:pPr>
        <w:sectPr>
          <w:pgSz w:w="11900" w:h="16838" w:orient="portrait"/>
          <w:cols w:equalWidth="0" w:num="1">
            <w:col w:w="11240"/>
          </w:cols>
          <w:pgMar w:left="320" w:top="418"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Negative U.S. and global economic conditions may pose challenges to our business strategy, which relies on funding from the financial markets or collaborators.</w:t>
      </w:r>
    </w:p>
    <w:p>
      <w:pPr>
        <w:spacing w:after="0" w:line="62" w:lineRule="exact"/>
        <w:rPr>
          <w:sz w:val="20"/>
          <w:szCs w:val="20"/>
          <w:color w:val="auto"/>
        </w:rPr>
      </w:pPr>
    </w:p>
    <w:p>
      <w:pPr>
        <w:ind w:right="220" w:firstLine="509"/>
        <w:spacing w:after="0" w:line="319" w:lineRule="auto"/>
        <w:rPr>
          <w:sz w:val="20"/>
          <w:szCs w:val="20"/>
          <w:color w:val="auto"/>
        </w:rPr>
      </w:pPr>
      <w:r>
        <w:rPr>
          <w:rFonts w:ascii="Arial" w:cs="Arial" w:eastAsia="Arial" w:hAnsi="Arial"/>
          <w:sz w:val="16"/>
          <w:szCs w:val="16"/>
          <w:color w:val="auto"/>
        </w:rPr>
        <w:t>Negative conditions in the U.S. or global economy, including financial markets, may adversely affect our business and the business of current and prospective vendors, licensees and collaborators, and others with whom we do or may conduct business. The duration and severity of these conditions is uncertain. If negative economic conditions occur, we may be unable to secure funding on terms satisfactory to us to sustain our operations or to find suitable collaborators to advance our internal programs, even if we achieve positive results from our drug development programs.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 rules and regulations relating to public companies may be costly and impact our ability to attract and retain directors and executive officers.</w:t>
      </w:r>
    </w:p>
    <w:p>
      <w:pPr>
        <w:spacing w:after="0" w:line="154"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Laws and regulations affecting public companies, including rules adopted by the Securities and Exchange Commission (“SEC”) and by the National Association of Securities Dealers Automated Quotations (“NASDAQ”), may result in increased costs to us. These laws, rules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on our board committees or as executive officers. We cannot estimate accurately the amount or timing of additional costs we may incur to respond to these laws, rules and regulations.</w:t>
      </w:r>
    </w:p>
    <w:p>
      <w:pPr>
        <w:spacing w:after="0" w:line="271"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controls, our ability to produce accurate financial statements on a timely basis could be impaired, which would adversely affect our operating results, our ability to operate our business, and our stock price, and could result in litigation or similar actions.</w:t>
      </w:r>
    </w:p>
    <w:p>
      <w:pPr>
        <w:spacing w:after="0" w:line="75" w:lineRule="exact"/>
        <w:rPr>
          <w:sz w:val="20"/>
          <w:szCs w:val="20"/>
          <w:color w:val="auto"/>
        </w:rPr>
      </w:pPr>
    </w:p>
    <w:p>
      <w:pPr>
        <w:ind w:right="280" w:firstLine="509"/>
        <w:spacing w:after="0" w:line="306" w:lineRule="auto"/>
        <w:rPr>
          <w:sz w:val="20"/>
          <w:szCs w:val="20"/>
          <w:color w:val="auto"/>
        </w:rPr>
      </w:pPr>
      <w:r>
        <w:rPr>
          <w:rFonts w:ascii="Arial" w:cs="Arial" w:eastAsia="Arial" w:hAnsi="Arial"/>
          <w:sz w:val="16"/>
          <w:szCs w:val="16"/>
          <w:color w:val="auto"/>
        </w:rPr>
        <w:t>Ensuring that we have adequate internal financial and accounting controls and procedures in place to produce accurate financial statements on a timely basis is a costly and time-consuming effort that needs to be re-evaluated frequently. Failure on our part to have effective internal financial and accounting controls would cause our financial reporting to be unreliable, could have a material adverse effect on our business, operating results, and financial condition, and could cause the trading price of our common stock to fall dramatically.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(“U.S. GAAP”).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70"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We cannot be certain that the actions we have taken to ensure we have adequate internal controls over financial reporting will be sufficient. In future periods, if the process required by Section 404 of the Sarbanes-Oxley Act reveals any material weaknesses or significant deficiencies, the correction of any such material weaknesses or significant deficiencies could require remedial measures which could be costly and time-consuming. In addition, in such a case, we may be unable to produce accurate financial statements on a timely basis. Any associated accounting restatement could create a significant strain on our internal resources and cause delays in our release of quarterly or annual financial results and the filing of related reports, increase our costs and cause management distraction. Any of the foregoing could cause investors to lose confidence in the reliability of our financial statements, which could cause the market price of our common stock to decline and make it more difficult for us to finance our operations and growth.</w:t>
      </w:r>
    </w:p>
    <w:p>
      <w:pPr>
        <w:spacing w:after="0" w:line="272"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third-party providers possess certain of our sensitive protected health data. The secure maintenance of this information is critical to our operations and business strategy. Despite our security measures, our information technology and infrastructure may be vulnerable to attacks by hackers or breached due to employee error, malfeasance or other disruptions. Attacks of this nature are increasing in their frequency, levels of persistence, sophistication and intensity, and are being conducted by sophisticated and organized groups and individuals with a wide range of motives and expertise.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and such systems, controls and processes may not be successful in preventing a breach. Any such breach could compromise our networks and the information stored there could be accessed, publicly disclosed, lost or stolen. We could be required to expend significant amounts of money</w:t>
      </w:r>
    </w:p>
    <w:p>
      <w:pPr>
        <w:sectPr>
          <w:pgSz w:w="11900" w:h="16838" w:orient="portrait"/>
          <w:cols w:equalWidth="0" w:num="1">
            <w:col w:w="11240"/>
          </w:cols>
          <w:pgMar w:left="320" w:top="418"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and other resources to repair or replace information systems or networks. In addition, our liability insurance may not be sufficient in type or amount to cover us against claims related to security breaches, cyberattacks and other related breaches.</w:t>
      </w:r>
    </w:p>
    <w:p>
      <w:pPr>
        <w:spacing w:after="0" w:line="170"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The legislative and regulatory landscape for privacy and data protection continues to evolve, and there has been an increasing amount of focus on privacy and data protection issues with the potential to affect our business, including compliance with the Health Insurance Portability and Accountability Act of 1996 and state laws requiring security breach notification. The collection and use of personal health data of individuals in the European Union is also governed by strict data protection laws. In addition to existing laws, since May 25, 2018, the General Data Protection Regulation (“GDPR”) has imposed obligations with respect to European Union data and substantial fines for breaches of the data protection rules. It will increase our responsibility and potential liability in relation to personal data that we process, and we will be required to put in place additional mechanisms ensuring compliance with the new European Union data protection rules. There is significant uncertainty related to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may be onerous and adversely affect our business, operating results, prospects and financial condition.</w:t>
      </w:r>
    </w:p>
    <w:p>
      <w:pPr>
        <w:spacing w:after="0" w:line="165"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We are in the process of assessing the “Schrems II” decision issued by the Court of Justice of the European Union on July 16, 2020, and its impact on our data transfer mechanisms. The Court invalidated the EU-U.S. Privacy Shield Framework as a legal basis for the transfer of personal data from the European Economic Area (“EEA”) member states or the U.K. to the U.S. The Court also expressed uncertainty under which conditions data importers and exporters could use the EC’s Standard Contractual Clauses option under the GDPR as a method for transferring personal data outside of the EEA. On June 4, 2021 the European Commission issued new standard contractual clauses for data transfers out of the EU to the third countries with “inadequate data protection” such as the United States. However, there is an implementation period of 18 months for these new standard contractual clauses. It remains uncertain, how these standard contractual clauses will be implemented by the data exporters and data importers. MEI observes the developments and will agree to the appropriate data transfer mechanism. In particular, we may rely on individual contents of the patients where appropriate and necessary to safeguard the data flow from the EU to the United States. Present solutions to legitimize transfers of personal data from the EEA may be challenged or deemed insufficient. We may, in addition to other impacts, experience additional costs associated with increased compliance burdens, and we and our customers face the potential for regulators in the EEA or U.K. to apply different standards to the transfer of personal data from the EEA/ U.K. to the U.S., and to block, or require ad hoc verification of measures taken with respect to, certain data flows from the EEA or U.K. to the U.S. We also may be required to engage in new contract negotiations with third parties that aid in processing data on our behalf. We may experience reluctance or refusal by current or prospective European clinical trial sites and CROs to use our products, and we may find it necessary or desirable to make further changes to our processing of personal data of EEA or U.K. data subjects.</w:t>
      </w:r>
    </w:p>
    <w:p>
      <w:pPr>
        <w:spacing w:after="0" w:line="189"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Additionally, California has enacted legislation that has been dubbed the first “GDPR-like” law in the United States. Known as the California Consumer Privacy Act (“CCPA”), it creates new individual privacy rights for consumers (as that word is broadly defined in the law) and places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 for a new cause of action for data breaches. The CCPA may significantly impact our business activities and require substantial compliance costs that adversely affect business, operating results, prospects and financial condition. Amendments to the CCPA mandated by the California Privacy Rights Act (“CPRA”) will impose additional privacy requirements, effective on January 1, 2023. Similarly comprehensive state consumer privacy laws in Virginia and Colorado will also become effective in 2023. These new state privacy measures may reflect the start of a movement in other state legislatures to enact more comprehensive, “GDPR-like” privacy laws, which would create a more complex privacy regulatory landscape for our business in the United States.</w:t>
      </w:r>
    </w:p>
    <w:p>
      <w:pPr>
        <w:spacing w:after="0" w:line="170"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Thus, any access, disclosure or other loss of information, including our data being breached at our partners or third-party providers, could result in legal claims or proceedings and liability under laws that protect the privacy of personal information, disrupt our operations and damage our reputation, which could adversely affect our business.</w:t>
      </w:r>
    </w:p>
    <w:p>
      <w:pPr>
        <w:spacing w:after="0" w:line="29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Even if we contract with third parties for the disposal of these materials and waste,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ectPr>
          <w:pgSz w:w="11900" w:h="16838" w:orient="portrait"/>
          <w:cols w:equalWidth="0" w:num="1">
            <w:col w:w="11220"/>
          </w:cols>
          <w:pgMar w:left="320" w:top="418" w:right="359"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83"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1"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Events outside of our control, including natural disasters and public health emergencies, could severely disrupt our operations and have a material adverse effect on our business, operating results, prospects or financial condition. If a natural disaster, or public health emergency such as COVID-19, power outage or other event occurred that prevented us from conducting our clinical trials, including by damaging our critical infrastructure, such as third-party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operating results, prospects or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deductibility of net operating losses could adversely affect our business and financial condition.</w:t>
      </w:r>
    </w:p>
    <w:p>
      <w:pPr>
        <w:spacing w:after="0" w:line="131"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We have a history of net operating losses. In December 2017, the U.S government enacted comprehensive tax legislation commonly referred to as the Tax Cuts and Jobs Act (the “Tax Act”). The Tax Act limits the deduction of net operating losses to 80% of current year taxable income, however, as a result of the CARES Act, the 80% limitation was temporarily repealed until our fiscal year ending June 30, 2021. The limitations on the net operating loss deduction, as well other changes in tax policy, may subject us to additional taxation, adversely affecting our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351"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may continue to be highly volatile and could decline in value and we may incur significant costs from class action litigation.</w:t>
      </w:r>
    </w:p>
    <w:p>
      <w:pPr>
        <w:spacing w:after="0" w:line="62"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trading price of our common stock could be highly volatile in response to various factors, many of which are beyond our control, including, but not limited to, the following: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to successfully develop our drug candidates;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design, results and timing of clinical trials and pre-clinical studies;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announcements of technological innovations by us or our competitors;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new products introduced or announced by us or our competitors;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financial estimates by securities analysts;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anticipated variations in operating results;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expiration or termination of licenses, research contracts or other collaboration agreements;</w:t>
      </w:r>
    </w:p>
    <w:p>
      <w:pPr>
        <w:spacing w:after="0" w:line="23" w:lineRule="exact"/>
        <w:rPr>
          <w:sz w:val="20"/>
          <w:szCs w:val="20"/>
          <w:color w:val="auto"/>
        </w:rPr>
      </w:pPr>
    </w:p>
    <w:p>
      <w:pPr>
        <w:ind w:left="960" w:right="2380"/>
        <w:spacing w:after="0" w:line="266" w:lineRule="auto"/>
        <w:rPr>
          <w:sz w:val="20"/>
          <w:szCs w:val="20"/>
          <w:color w:val="auto"/>
        </w:rPr>
      </w:pPr>
      <w:r>
        <w:rPr>
          <w:rFonts w:ascii="Arial" w:cs="Arial" w:eastAsia="Arial" w:hAnsi="Arial"/>
          <w:sz w:val="18"/>
          <w:szCs w:val="18"/>
          <w:color w:val="auto"/>
        </w:rPr>
        <w:t>conditions or trends in the regulatory climate and the biotechnology, pharmaceutical and genomics industries; instability in the stock market as a result of current or future domestic and global events; changes in the market valuations of similar companies;</w:t>
      </w:r>
    </w:p>
    <w:p>
      <w:pPr>
        <w:ind w:left="960"/>
        <w:spacing w:after="0"/>
        <w:rPr>
          <w:sz w:val="20"/>
          <w:szCs w:val="20"/>
          <w:color w:val="auto"/>
        </w:rPr>
      </w:pPr>
      <w:r>
        <w:rPr>
          <w:rFonts w:ascii="Arial" w:cs="Arial" w:eastAsia="Arial" w:hAnsi="Arial"/>
          <w:sz w:val="18"/>
          <w:szCs w:val="18"/>
          <w:color w:val="auto"/>
        </w:rPr>
        <w:t>the liquidity of any market for our securities; and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threatened or actual delisting of our common stock from a national stock exchange.</w:t>
      </w:r>
    </w:p>
    <w:p>
      <w:pPr>
        <w:spacing w:after="0" w:line="238"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Equity markets in general, and the market for biotechnology and life sciences companies in particular, have experienced substantial price and volume fluctuations that have often been unrelated or disproportionate to the operating performance of companies traded in those markets. In addition, changes in economic conditions in the U.S., the Europe or globally, particularly in the context of current global events, could impact upon our ability to grow profitably. Adverse economic changes are outside our control and may result in material adverse impacts on our business or our results of operations. These broad market and industry factors may materially affect the market price of shares of our common stock, regardless of our development and operating performance. In the past, following periods of volatility in the market price of a company’s securities, securities class-action litigation has often been instituted against that company. Such litigation, if instituted against us, could cause us to incur substantial costs and divert management’s attention and resources.</w:t>
      </w:r>
    </w:p>
    <w:p>
      <w:pPr>
        <w:sectPr>
          <w:pgSz w:w="11900" w:h="16838" w:orient="portrait"/>
          <w:cols w:equalWidth="0" w:num="1">
            <w:col w:w="11240"/>
          </w:cols>
          <w:pgMar w:left="320" w:top="418" w:right="33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Future sales of our common stock, including common stock issued upon exercise of outstanding warrants or options, may depress the market price of our common stock and cause stockholders to experience dilution.</w:t>
      </w:r>
    </w:p>
    <w:p>
      <w:pPr>
        <w:spacing w:after="0" w:line="6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market price of our common stock could decline as a result of sales of substantial amounts of our common stock in the public market, including upon exercise of outstanding warrants or stock options, and any subsequent sales of such shares. As of June 30, 2021, we had outstanding warrants exercisable to purchase 16,058,985 shares of common stock at an exercise price of $2.54 per share, which expire in May 2023. We also had outstanding options to purchase 16,668,542 shares of common stock and outstanding restricted stock units ("RSUs") representing the right to receive 400,650 shares of common stock. We may seek additional capital through one or more additional equity transactions in the future; however, such transactions will be subject to market conditions and there can be no assurance any such transactions will be completed. If we sell shares in the future, the prices at which we sell these future shares will vary, and these variations may be significant. Stockholders will experience significant dilution if we sell these future shares at prices significantly below the price at which such previous stockholders invested.</w:t>
      </w:r>
    </w:p>
    <w:p>
      <w:pPr>
        <w:spacing w:after="0" w:line="271"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spacing w:after="0" w:line="62" w:lineRule="exact"/>
        <w:rPr>
          <w:sz w:val="20"/>
          <w:szCs w:val="20"/>
          <w:color w:val="auto"/>
        </w:rPr>
      </w:pPr>
    </w:p>
    <w:p>
      <w:pPr>
        <w:ind w:right="20" w:firstLine="509"/>
        <w:spacing w:after="0" w:line="329" w:lineRule="auto"/>
        <w:rPr>
          <w:sz w:val="20"/>
          <w:szCs w:val="20"/>
          <w:color w:val="auto"/>
        </w:rPr>
      </w:pPr>
      <w:r>
        <w:rPr>
          <w:rFonts w:ascii="Arial" w:cs="Arial" w:eastAsia="Arial" w:hAnsi="Arial"/>
          <w:sz w:val="16"/>
          <w:szCs w:val="16"/>
          <w:color w:val="auto"/>
        </w:rPr>
        <w:t>We have never paid or declared any cash dividends on our common stock, and we intend to retain any future earnings to finance the development and expansion of our business. We do not anticipate paying any cash dividends on our common stock in the foreseeable future. Therefore, our stockholders will not be able to receive a return on their investment unless the value of our common stock appreciates and they sell their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over the use of the net proceeds from any exercise of outstanding warrants and options.</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We will have broad discretion to use the net proceeds to us upon any exercise of outstanding warrants and options, and investors in our stock will be relying on the judgment of our board of directors and management regarding the application of these proceeds. Although we expect to use a substantial portion of the net proceeds from any exercise of the warrants and options for general corporate purposes and progression of our clinical trial programs, we have not allocated these net proceeds for specific purposes.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authorized to issue blank check preferred stock, which could adversely affect the holders of our common stock.</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Our amended and restated certificate of incorporation allows us to issue blank check preferred stock with rights potentially senior to those of our common stock without any further vote or action by the holders of our common stock. The issuance of a class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shares, or making a change in control of the Company more difficult.</w:t>
      </w:r>
    </w:p>
    <w:p>
      <w:pPr>
        <w:spacing w:after="0" w:line="299"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third amended and restated bylaws, as well as provisions of Delaware law, could impair a takeover attempt.</w:t>
      </w:r>
    </w:p>
    <w:p>
      <w:pPr>
        <w:spacing w:after="0" w:line="62" w:lineRule="exact"/>
        <w:rPr>
          <w:sz w:val="20"/>
          <w:szCs w:val="20"/>
          <w:color w:val="auto"/>
        </w:rPr>
      </w:pPr>
    </w:p>
    <w:p>
      <w:pPr>
        <w:ind w:right="160" w:firstLine="509"/>
        <w:spacing w:after="0" w:line="319" w:lineRule="auto"/>
        <w:rPr>
          <w:sz w:val="20"/>
          <w:szCs w:val="20"/>
          <w:color w:val="auto"/>
        </w:rPr>
      </w:pPr>
      <w:r>
        <w:rPr>
          <w:rFonts w:ascii="Arial" w:cs="Arial" w:eastAsia="Arial" w:hAnsi="Arial"/>
          <w:sz w:val="16"/>
          <w:szCs w:val="16"/>
          <w:color w:val="auto"/>
        </w:rPr>
        <w:t>Our amended and restated certificate of incorporation and third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48" w:lineRule="exact"/>
        <w:rPr>
          <w:sz w:val="20"/>
          <w:szCs w:val="20"/>
          <w:color w:val="auto"/>
        </w:rPr>
      </w:pPr>
    </w:p>
    <w:p>
      <w:pPr>
        <w:ind w:left="960" w:right="460"/>
        <w:spacing w:after="0" w:line="282" w:lineRule="auto"/>
        <w:rPr>
          <w:sz w:val="20"/>
          <w:szCs w:val="20"/>
          <w:color w:val="auto"/>
        </w:rPr>
      </w:pPr>
      <w:r>
        <w:rPr>
          <w:rFonts w:ascii="Arial" w:cs="Arial" w:eastAsia="Arial" w:hAnsi="Arial"/>
          <w:sz w:val="17"/>
          <w:szCs w:val="17"/>
          <w:color w:val="auto"/>
        </w:rPr>
        <w:t>a staggered board providing for three classes of directors, which limits the ability of a stockholder or group to gain control of our board; no cumulative voting in the election of directors, which limits the ability of minority stockholders to elect director candidates;</w:t>
      </w:r>
    </w:p>
    <w:p>
      <w:pPr>
        <w:ind w:left="960" w:right="500"/>
        <w:spacing w:after="0" w:line="281" w:lineRule="auto"/>
        <w:rPr>
          <w:sz w:val="20"/>
          <w:szCs w:val="20"/>
          <w:color w:val="auto"/>
        </w:rPr>
      </w:pPr>
      <w:r>
        <w:rPr>
          <w:rFonts w:ascii="Arial" w:cs="Arial" w:eastAsia="Arial" w:hAnsi="Arial"/>
          <w:sz w:val="17"/>
          <w:szCs w:val="17"/>
          <w:color w:val="auto"/>
        </w:rPr>
        <w:t>the right of our board to elect a director to fill a vacancy created by the expansion of our board or the resignation, death or removal of a director in certain circumstances, which prevents stockholders from being able to fill vacancies on our board; and</w:t>
      </w:r>
    </w:p>
    <w:p>
      <w:pPr>
        <w:spacing w:after="0" w:line="1" w:lineRule="exact"/>
        <w:rPr>
          <w:sz w:val="20"/>
          <w:szCs w:val="20"/>
          <w:color w:val="auto"/>
        </w:rPr>
      </w:pPr>
    </w:p>
    <w:p>
      <w:pPr>
        <w:ind w:left="960" w:right="80"/>
        <w:spacing w:after="0" w:line="279" w:lineRule="auto"/>
        <w:rPr>
          <w:sz w:val="20"/>
          <w:szCs w:val="20"/>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46" w:lineRule="auto"/>
        <w:rPr>
          <w:sz w:val="20"/>
          <w:szCs w:val="20"/>
          <w:color w:val="auto"/>
        </w:rPr>
      </w:pPr>
      <w:r>
        <w:rPr>
          <w:rFonts w:ascii="Arial" w:cs="Arial" w:eastAsia="Arial" w:hAnsi="Arial"/>
          <w:sz w:val="15"/>
          <w:szCs w:val="15"/>
          <w:b w:val="1"/>
          <w:bCs w:val="1"/>
          <w:i w:val="1"/>
          <w:iCs w:val="1"/>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31"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Our third amended and restated bylaws provide that, unless the Company consents in writing to the selection of an alternative forum, the Court of Chancery of the State of Delaware will, to the fullest extent permitted by law, be the sole and exclusive forum for any stockholder to bring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its directors, officers or employees arising pursuant to any provision of the Delaware General Corporation Law, or (iv) any action asserting a claim against the Company, its directors, officers or employees governed by the internal affairs doctrine, and, if brought outside of Delaware, the stockholder bringing the suit will be deemed to have consented to service of process on such stockholder’s counsel, provided, however, that, in each case, if the Court of Chancery does not have jurisdiction, the forum for such action shall be another state court located within the State of Delaware or, if no state court located within the State of Delaware has jurisdiction, the federal district court for the District of Delaware, in all cases subject to the court having personal jurisdiction over the indispensable parties named as defendants therein.</w:t>
      </w:r>
    </w:p>
    <w:p>
      <w:pPr>
        <w:spacing w:after="0" w:line="182"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Company shall be deemed to have notice of and consented to such provisions.</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Notwithstanding the foregoing, the forum selection provision of our third amended and restated bylaws will not apply to suits brought to enforce any liability or duty created by the federal securities laws or any other claim for which the federal district courts of the United States of America shall be the sole and exclusive forum.</w:t>
      </w:r>
    </w:p>
    <w:p>
      <w:pPr>
        <w:spacing w:after="0" w:line="183" w:lineRule="exact"/>
        <w:rPr>
          <w:sz w:val="20"/>
          <w:szCs w:val="20"/>
          <w:color w:val="auto"/>
        </w:rPr>
      </w:pPr>
    </w:p>
    <w:p>
      <w:pPr>
        <w:ind w:right="80" w:firstLine="509"/>
        <w:spacing w:after="0" w:line="319"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third amended and restated bylaws to be inapplicable or unenforceable in an action, we may incur additional costs associated with resolving such action in other jurisdictions, which could harm our business, operating results and financial condition.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and directors may sell shares of their stock, and these sales could adversely affect our stock price.</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Sales of our stock by our executive officers and directors, or the perception that such sales may occur, could cause the market price of our common stock to decline or could make it more difficult for us to raise funds through the sale of equity in the future, either as part, or outside, of trading plans under Rule 10b5-1 under the Securities Exchange Act of 1934, as amended (the “Exchange Act”).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began in July 2020 and will expire in March 2028. The average annual lease payments over the term of the lease will approximate $1.6 million, plus a pro rata share of certain building expenses. Our total contractual obligation over the term of the lease is approximately $10.7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On August 10, 2020, Guy Bahat, an individual who allegedly purchased 50 shares of our common stock filed a putative securities class action lawsuit (the “Securities Class Action”) in the United States District Court for the Southern District of California against the Company, Dr. Daniel P. Gold, and Mr. Brian G. Drazba, asserting claims under Sections 10(b) and 20(a) of the Securities Exchange Act of 1934 (the “Exchange Act”) and Rule 10b-5 thereunder. Mr. Bahat did not seek appointment as lead plaintiff, and the court appointed another individual, Ramesh Mahalingham, as lead plaintiff. The plaintiff seeks to sue on behalf of all purchasers of our securities from August 2, 2017 through July 1, 2020 and alleges, among other things, that we made false and misleading statements relating to pracinostat during the proposed class period. On February 16, 2021, the lead plaintiff filed a notice of voluntary dismissal without prejudice, thereby concluding the class action litigation.</w:t>
      </w:r>
    </w:p>
    <w:p>
      <w:pPr>
        <w:spacing w:after="0" w:line="73" w:lineRule="exact"/>
        <w:rPr>
          <w:sz w:val="20"/>
          <w:szCs w:val="20"/>
          <w:color w:val="auto"/>
        </w:rPr>
      </w:pPr>
    </w:p>
    <w:p>
      <w:pPr>
        <w:ind w:right="480" w:firstLine="509"/>
        <w:spacing w:after="0" w:line="324" w:lineRule="auto"/>
        <w:rPr>
          <w:sz w:val="20"/>
          <w:szCs w:val="20"/>
          <w:color w:val="auto"/>
        </w:rPr>
      </w:pPr>
      <w:r>
        <w:rPr>
          <w:rFonts w:ascii="Arial" w:cs="Arial" w:eastAsia="Arial" w:hAnsi="Arial"/>
          <w:sz w:val="17"/>
          <w:szCs w:val="17"/>
          <w:color w:val="auto"/>
        </w:rPr>
        <w:t>On October 21, 2020, Peter D’Arcy, an individual who alleges that he is a Company stockholder, filed a putative stockholder derivative action nominally on behalf of the Company in the United States District Court for the District of Delaware (the “Derivative Action”) against</w:t>
      </w:r>
    </w:p>
    <w:p>
      <w:pPr>
        <w:sectPr>
          <w:pgSz w:w="11900" w:h="16838" w:orient="portrait"/>
          <w:cols w:equalWidth="0" w:num="1">
            <w:col w:w="11240"/>
          </w:cols>
          <w:pgMar w:left="320" w:top="418"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Dr. Gold, Mr. Drazba, Mr. Charles V. Baltic, III, Dr. Kevan E. Clemens, Mr. Frederick W. Driscoll, Dr. Nicholas R. Glover, Ms. Tamar D. Howson, Dr. Thomas C. Reynolds, Mr. William D. Rueckert, and Dr. Christine A. White, and naming the Company as a nominal defendant. Additional putative stockholder derivative suits were filed in the same court naming the same defendants plus Dr. Robert D. Mass on December 2, 2020 and December 15, 2020 by Gerald Wright and William Trablicy, respectively, who also allege that they are Company stockholders, and these additional suits were consolidated into the Derivative Action by court order. The Derivative Action is based upon the pracinostat-related allegations in the Securities Class Action described above, and alleges claims under Section 14(a) of the Exchange Act and claims for breach of fiduciary duty, unjust enrichment, corporate waste, and contribution. On February 24, 2021, following the resolution of the class action litigation, the parties stipulated request for voluntary dismissal without prejudice, which the court granted on February 25,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Capital Market under the symbol “MEIP”.</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5"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8"/>
          <w:szCs w:val="18"/>
          <w:color w:val="auto"/>
        </w:rPr>
        <w:t>As of August 31, 2021, there were 112,678,498 shares of our common stock outstanding and 568 holders of record of our common stock. This number was derived from our stockholder records and does not include beneficial owners of our common stock whose shares are held in the name of various dealers, clearing agencies, banks, brokers and other fiduciaries.</w:t>
      </w:r>
    </w:p>
    <w:p>
      <w:pPr>
        <w:spacing w:after="0" w:line="183" w:lineRule="exact"/>
        <w:rPr>
          <w:sz w:val="20"/>
          <w:szCs w:val="20"/>
          <w:color w:val="auto"/>
        </w:rPr>
      </w:pPr>
    </w:p>
    <w:p>
      <w:pPr>
        <w:jc w:val="both"/>
        <w:ind w:right="440" w:firstLine="509"/>
        <w:spacing w:after="0" w:line="293" w:lineRule="auto"/>
        <w:rPr>
          <w:sz w:val="20"/>
          <w:szCs w:val="20"/>
          <w:color w:val="auto"/>
        </w:rPr>
      </w:pPr>
      <w:r>
        <w:rPr>
          <w:rFonts w:ascii="Arial" w:cs="Arial" w:eastAsia="Arial" w:hAnsi="Arial"/>
          <w:sz w:val="18"/>
          <w:szCs w:val="18"/>
          <w:color w:val="auto"/>
        </w:rPr>
        <w:t>For a discussion of outstanding warrants and other securities exercisable for or convertible into shares of our common stock, see Notes 8 and 9 under Item 8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all available funds and future earnings, if any, to support operations and finance the growth and development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related to our dividend policy will be made at the discretion of our board of directors.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The table below shows, as of June 30, 2021, information for equity compensation plans previously approved by stockholders and for compensation plans not previously approved by stockholders.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 future</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to be issued upon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issuance under equity</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exercise price of</w:t>
            </w:r>
          </w:p>
        </w:tc>
        <w:tc>
          <w:tcPr>
            <w:tcW w:w="2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outstanding options,</w:t>
            </w:r>
          </w:p>
        </w:tc>
        <w:tc>
          <w:tcPr>
            <w:tcW w:w="2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9"/>
              </w:rPr>
              <w:t>(excluding securities</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warrants and rights</w:t>
            </w:r>
          </w:p>
        </w:tc>
        <w:tc>
          <w:tcPr>
            <w:tcW w:w="2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100" w:type="dxa"/>
            <w:vAlign w:val="bottom"/>
          </w:tcPr>
          <w:p>
            <w:pPr>
              <w:spacing w:after="0"/>
              <w:rPr>
                <w:sz w:val="15"/>
                <w:szCs w:val="15"/>
                <w:color w:val="auto"/>
              </w:rPr>
            </w:pPr>
          </w:p>
        </w:tc>
      </w:tr>
      <w:tr>
        <w:trPr>
          <w:trHeight w:val="171"/>
        </w:trPr>
        <w:tc>
          <w:tcPr>
            <w:tcW w:w="4960" w:type="dxa"/>
            <w:vAlign w:val="bottom"/>
            <w:gridSpan w:val="3"/>
          </w:tcPr>
          <w:p>
            <w:pPr>
              <w:ind w:left="20"/>
              <w:spacing w:after="0"/>
              <w:rPr>
                <w:sz w:val="20"/>
                <w:szCs w:val="20"/>
                <w:color w:val="auto"/>
              </w:rPr>
            </w:pPr>
            <w:r>
              <w:rPr>
                <w:rFonts w:ascii="Arial" w:cs="Arial" w:eastAsia="Arial" w:hAnsi="Arial"/>
                <w:sz w:val="14"/>
                <w:szCs w:val="14"/>
                <w:b w:val="1"/>
                <w:bCs w:val="1"/>
                <w:color w:val="auto"/>
              </w:rPr>
              <w:t>Plan Category</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1"/>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Equity compensation plans approved by security holders (1)</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16,900,192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10,472,864</w:t>
            </w:r>
          </w:p>
        </w:tc>
        <w:tc>
          <w:tcPr>
            <w:tcW w:w="100" w:type="dxa"/>
            <w:vAlign w:val="bottom"/>
            <w:shd w:val="clear" w:color="auto" w:fill="CFF0FC"/>
          </w:tcPr>
          <w:p>
            <w:pPr>
              <w:spacing w:after="0"/>
              <w:rPr>
                <w:sz w:val="20"/>
                <w:szCs w:val="20"/>
                <w:color w:val="auto"/>
              </w:rPr>
            </w:pPr>
          </w:p>
        </w:tc>
      </w:tr>
      <w:tr>
        <w:trPr>
          <w:trHeight w:val="250"/>
        </w:trPr>
        <w:tc>
          <w:tcPr>
            <w:tcW w:w="4960" w:type="dxa"/>
            <w:vAlign w:val="bottom"/>
            <w:gridSpan w:val="3"/>
          </w:tcPr>
          <w:p>
            <w:pPr>
              <w:ind w:left="20"/>
              <w:spacing w:after="0"/>
              <w:rPr>
                <w:sz w:val="20"/>
                <w:szCs w:val="20"/>
                <w:color w:val="auto"/>
              </w:rPr>
            </w:pPr>
            <w:r>
              <w:rPr>
                <w:rFonts w:ascii="Arial" w:cs="Arial" w:eastAsia="Arial" w:hAnsi="Arial"/>
                <w:sz w:val="18"/>
                <w:szCs w:val="18"/>
                <w:color w:val="auto"/>
                <w:w w:val="96"/>
              </w:rPr>
              <w:t>Equity compensation plans not approved by security holders (2)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169,000</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1"/>
                <w:szCs w:val="21"/>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2,331,000</w:t>
            </w:r>
          </w:p>
        </w:tc>
        <w:tc>
          <w:tcPr>
            <w:tcW w:w="100" w:type="dxa"/>
            <w:vAlign w:val="bottom"/>
          </w:tcPr>
          <w:p>
            <w:pPr>
              <w:spacing w:after="0"/>
              <w:rPr>
                <w:sz w:val="21"/>
                <w:szCs w:val="21"/>
                <w:color w:val="auto"/>
              </w:rPr>
            </w:pP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4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17,069,192</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Borders>
              <w:bottom w:val="single" w:sz="8" w:color="CFF0FC"/>
            </w:tcBorders>
            <w:shd w:val="clear" w:color="auto" w:fill="CFF0FC"/>
          </w:tcPr>
          <w:p>
            <w:pPr>
              <w:spacing w:after="0"/>
              <w:rPr>
                <w:sz w:val="24"/>
                <w:szCs w:val="24"/>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12,803,864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188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88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71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714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ind w:left="960" w:hanging="443"/>
        <w:spacing w:after="0" w:line="290"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16,499,542 shares of common stock issuable upon exercise of options and 400,650 shares of common stock upon vesting of RSUs, in each case, granted under the MEI Pharma, Inc. Amended and Restated 2008 Stock Omnibus Equity Compensation Plan (“Omnibus Plan”), under which 29,014,794 shares of common stock are authorized for issuance. The Omnibus Plan provides for the grant of options and/or other stock-based or stock-denominated awards to our non-employee directors, officers, employees and advisors. The weighted-average exercise price presented is the weighted-average exercise price of vested and unvested options. The RSUs have no exercise price. For purposes of determining the number of shares available for future</w:t>
      </w:r>
    </w:p>
    <w:p>
      <w:pPr>
        <w:sectPr>
          <w:pgSz w:w="11900" w:h="16838" w:orient="portrait"/>
          <w:cols w:equalWidth="0" w:num="1">
            <w:col w:w="11240"/>
          </w:cols>
          <w:pgMar w:left="320" w:top="418"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grant, each outstanding RSU as of June 30, 2021 is calculated as 1.25 shares of common stock under the terms of the Omnibus Plan.</w:t>
      </w:r>
    </w:p>
    <w:p>
      <w:pPr>
        <w:spacing w:after="0" w:line="142" w:lineRule="exact"/>
        <w:rPr>
          <w:sz w:val="20"/>
          <w:szCs w:val="20"/>
          <w:color w:val="auto"/>
        </w:rPr>
      </w:pPr>
    </w:p>
    <w:p>
      <w:pPr>
        <w:ind w:left="960" w:right="40" w:hanging="443"/>
        <w:spacing w:after="0" w:line="296"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169,000 shares of common stock issuable upon exercise of options granted under the MEI Pharma, Inc. 2021 Inducement Plan (“Inducement Plan”), under which 2,500,000 shares of common stock are authorized for issuance. The Inducement Plan provides for the grant of options and/or other stock-based or stock-denominated awards to attract and retain selected individuals to serve as employees. The weighted-average exercise price presented is the weighted-average exercise price of vested and unvested options.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 included below in this Annual Report. Operating results are not necessarily indicative of results that may occur in future periods.</w:t>
      </w:r>
    </w:p>
    <w:p>
      <w:pPr>
        <w:spacing w:after="0" w:line="170"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This discussion and analysis contains forward-looking statements that involve a number of risks, uncertainties and assumptions. Actual results may differ materially from those anticipated in the forward-looking statements as a result of many factors including, but not limited to, those set forth under “Cautionary Statement About Forward-Looking Statements” and “Risk Factors” in Item 1A. included above in this Annual Report. All forward-looking statements included in this Annual Report are based on the information available to us as of the time we file this Annual Report, and except as required by law, we undertake no obligation to update publicly or revise any forward-looking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240" w:firstLine="509"/>
        <w:spacing w:after="0" w:line="296" w:lineRule="auto"/>
        <w:rPr>
          <w:sz w:val="20"/>
          <w:szCs w:val="20"/>
          <w:color w:val="auto"/>
        </w:rPr>
      </w:pPr>
      <w:r>
        <w:rPr>
          <w:rFonts w:ascii="Arial" w:cs="Arial" w:eastAsia="Arial" w:hAnsi="Arial"/>
          <w:sz w:val="17"/>
          <w:szCs w:val="17"/>
          <w:color w:val="auto"/>
        </w:rPr>
        <w:t>We are a late-stage pharmaceutical company committed to the development and commercialization of novel cancer therapies intended to improve outcomes for patients. MEI Pharma's portfolio of drug candidates includes four clinical-stage assets, including zandelisib (f/k/a ME-401), currently in multiple ongoing clinical studies intended to support marketing applications with the U.S. Food and Drug Administration (“FDA”) and other regulatory authorities globally. Our common stock is listed on the NASDAQ Capital Market under the symbol “MEIP.”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43"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8"/>
          <w:szCs w:val="18"/>
          <w:color w:val="auto"/>
        </w:rPr>
        <w:t>We build our pipeline by licensing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75" w:lineRule="exact"/>
        <w:rPr>
          <w:sz w:val="20"/>
          <w:szCs w:val="20"/>
          <w:color w:val="auto"/>
        </w:rPr>
      </w:pPr>
    </w:p>
    <w:p>
      <w:pPr>
        <w:ind w:left="960" w:right="2860"/>
        <w:spacing w:after="0" w:line="275" w:lineRule="auto"/>
        <w:rPr>
          <w:sz w:val="20"/>
          <w:szCs w:val="20"/>
          <w:color w:val="auto"/>
        </w:rPr>
      </w:pPr>
      <w:r>
        <w:rPr>
          <w:rFonts w:ascii="Arial" w:cs="Arial" w:eastAsia="Arial" w:hAnsi="Arial"/>
          <w:sz w:val="18"/>
          <w:szCs w:val="18"/>
          <w:color w:val="auto"/>
        </w:rPr>
        <w:t>Zandelisib (f/k/a ME-401), an oral phosphatidylinositol 3-kinase (“PI3K”) delta inhibitor; Voruciclib, an oral cyclin-dependent kinase 9 (“CDK9”) inhibitor; ME-344, a mitochondrial inhibitor targeting the oxidative phosphorylation (“OXPHOS”) complex; and Pracinostat, an oral histone deacetylase (“HDAC”) inhibitor.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more complete discussion of our business, see the section of this Annual Report “Item 1- Business” above.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June 30, 2021, there is $175.7 million aggregate value of securities available under the shelf registration statement, including up to $60.0 million remaining available under the 2020 ATM Sales Agreement described below.</w:t>
      </w:r>
    </w:p>
    <w:p>
      <w:pPr>
        <w:sectPr>
          <w:pgSz w:w="11900" w:h="16838" w:orient="portrait"/>
          <w:cols w:equalWidth="0" w:num="1">
            <w:col w:w="11240"/>
          </w:cols>
          <w:pgMar w:left="320" w:top="418"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31" w:lineRule="exact"/>
        <w:rPr>
          <w:sz w:val="20"/>
          <w:szCs w:val="20"/>
          <w:color w:val="auto"/>
        </w:rPr>
      </w:pPr>
    </w:p>
    <w:p>
      <w:pPr>
        <w:ind w:right="80" w:firstLine="509"/>
        <w:spacing w:after="0" w:line="309" w:lineRule="auto"/>
        <w:rPr>
          <w:sz w:val="20"/>
          <w:szCs w:val="20"/>
          <w:color w:val="auto"/>
        </w:rPr>
      </w:pPr>
      <w:r>
        <w:rPr>
          <w:rFonts w:ascii="Arial" w:cs="Arial" w:eastAsia="Arial" w:hAnsi="Arial"/>
          <w:sz w:val="16"/>
          <w:szCs w:val="16"/>
          <w:color w:val="auto"/>
        </w:rPr>
        <w:t>On November 10, 2020, we entered into an At-The-Market Equity Offering Sales Agreement (the “2020 ATM Sales Agreement”), pursuant to which we may sell an aggregate of up to $60.0 million of our common stock pursuant to the shelf registration statement. We had previously entered into an At-The-Market Equity Offering Sales Agreement in November 2017 (the “2017 ATM Sales Agreement”), pursuant to which we could sell an aggregate of up to $30.0 million of our common stock pursuant to the shelf registration statement. The 2017 ATM Sales Agreement expired on November 8, 2020. During the year ended June 30, 2021, we sold 958,083 shares under the 2017 ATM Sales Agreement for net proceeds of $3.1 million, after costs of $0.1 million. During the year ended June 30, 2020, we also sold 5,471,684 shares under the 2017 ATM Sales Agreement for net proceeds of $20.7 million, after costs of $0.4 million. As of June 30, 2021, there is $60.0 million remaining available under the 2020 ATM Sales Agreement.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Registered Offering</w:t>
      </w:r>
    </w:p>
    <w:p>
      <w:pPr>
        <w:spacing w:after="0" w:line="131"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In December 2019, we completed an underwritten registered offering of 32,343,750 shares of common stock at a price per share of $1.60. We received net cash proceeds of $48.5 million associated with the offering, after costs of $3.3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31" w:lineRule="exact"/>
        <w:rPr>
          <w:sz w:val="20"/>
          <w:szCs w:val="20"/>
          <w:color w:val="auto"/>
        </w:rPr>
      </w:pPr>
    </w:p>
    <w:p>
      <w:pPr>
        <w:jc w:val="both"/>
        <w:ind w:right="140" w:firstLine="509"/>
        <w:spacing w:after="0" w:line="299" w:lineRule="auto"/>
        <w:rPr>
          <w:sz w:val="20"/>
          <w:szCs w:val="20"/>
          <w:color w:val="auto"/>
        </w:rPr>
      </w:pPr>
      <w:r>
        <w:rPr>
          <w:rFonts w:ascii="Arial" w:cs="Arial" w:eastAsia="Arial" w:hAnsi="Arial"/>
          <w:sz w:val="16"/>
          <w:szCs w:val="16"/>
          <w:color w:val="auto"/>
        </w:rPr>
        <w:t>As of June 30, 2021,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Balance Sheet.</w:t>
      </w:r>
    </w:p>
    <w:p>
      <w:pPr>
        <w:spacing w:after="0" w:line="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Therefore, we are required to account for the warrants as liabilities and record them at fair value. The warrants were revalued as of June 30, 2021 at $22.4 million and as of June 30, 2020 at $40.5 million; the changes in fair value were recorded in our Statement of Operations. During the year ended June 30, 2021, a warrant holder completed a cashless exercise of 2,617 warrants for 964 shares of common stock. No warrants were exercised during the year ended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35" w:lineRule="exact"/>
        <w:rPr>
          <w:sz w:val="20"/>
          <w:szCs w:val="20"/>
          <w:color w:val="auto"/>
        </w:rPr>
      </w:pPr>
    </w:p>
    <w:p>
      <w:pPr>
        <w:ind w:right="340" w:firstLine="509"/>
        <w:spacing w:after="0" w:line="319"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liabilities, expenses and related disclosures. Actual results could differ from those estimates. We believe the following accounting policies to be critical to the judgments and estimates used in the preparation of our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Accounting Standards Codification ("ASC") Topic 606, Revenue from Contracts with Customers (“Topic 606” or the “new revenue standard”)</w:t>
      </w:r>
    </w:p>
    <w:p>
      <w:pPr>
        <w:spacing w:after="0" w:line="14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18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Payments received under commercial arrangements, such as licensing technology rights, may include non-refundable fees at the inception of the arrangements, cost reimbursements, milestone payments for specific achievements designated in the agreements, and royalties on the sale of products. At the inception of arrangements that include variable consideration, we use judgment to estimate the amount of variable consideration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estimated variable consideration included in the transaction price and any related constraint and, as necessary, we adjust our estimate of the overall transaction price. Any adjustments are recorded on a cumulative catch-up basis, which would affect revenues and earnings in the period of adjustment.</w:t>
      </w:r>
    </w:p>
    <w:p>
      <w:pPr>
        <w:spacing w:after="0" w:line="182"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ectPr>
          <w:pgSz w:w="11900" w:h="16838" w:orient="portrait"/>
          <w:cols w:equalWidth="0" w:num="1">
            <w:col w:w="11240"/>
          </w:cols>
          <w:pgMar w:left="320" w:top="418"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191"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8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98"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25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Agreement:</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KKC Agreements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25,095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27,543</w:t>
            </w:r>
          </w:p>
        </w:tc>
        <w:tc>
          <w:tcPr>
            <w:tcW w:w="1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r>
      <w:tr>
        <w:trPr>
          <w:trHeight w:val="257"/>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Helsinn License Agreement</w:t>
            </w:r>
          </w:p>
        </w:tc>
        <w:tc>
          <w:tcPr>
            <w:tcW w:w="3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25,535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28,913</w:t>
            </w:r>
          </w:p>
        </w:tc>
        <w:tc>
          <w:tcPr>
            <w:tcW w:w="1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Timing of Revenue Recognition:</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Services performed over time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25,535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4,860</w:t>
            </w:r>
          </w:p>
        </w:tc>
        <w:tc>
          <w:tcPr>
            <w:tcW w:w="1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License transferred at a point in time</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20,988</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Cumulative catch-up adjustment</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58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28,913</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-1042035</wp:posOffset>
            </wp:positionV>
            <wp:extent cx="1200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-1042035</wp:posOffset>
            </wp:positionV>
            <wp:extent cx="1200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-1042035</wp:posOffset>
            </wp:positionV>
            <wp:extent cx="603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KKC Commercialization Agreement and KKC Japan License Agreement (Note 2) included other distinct performance obligations satisfied over time, and accordingly we recognized $25.1 million, $27.5 million (inclusive of cumulative catch-up amounts), and $2.6 million related to our progress toward satisfying those obligations during the years ended June 30, 2021, 2020 and 2019, respectively.</w:t>
      </w:r>
    </w:p>
    <w:p>
      <w:pPr>
        <w:spacing w:after="0" w:line="183" w:lineRule="exact"/>
        <w:rPr>
          <w:sz w:val="20"/>
          <w:szCs w:val="20"/>
          <w:color w:val="auto"/>
        </w:rPr>
      </w:pPr>
    </w:p>
    <w:p>
      <w:pPr>
        <w:ind w:right="160" w:firstLine="509"/>
        <w:spacing w:after="0" w:line="319" w:lineRule="auto"/>
        <w:rPr>
          <w:sz w:val="20"/>
          <w:szCs w:val="20"/>
          <w:color w:val="auto"/>
        </w:rPr>
      </w:pPr>
      <w:r>
        <w:rPr>
          <w:rFonts w:ascii="Arial" w:cs="Arial" w:eastAsia="Arial" w:hAnsi="Arial"/>
          <w:sz w:val="16"/>
          <w:szCs w:val="16"/>
          <w:color w:val="auto"/>
        </w:rPr>
        <w:t>Based on the characteristics of the Helsinn License Agreement (Note 4), control of the remaining deliverables occurs and therefore we recognized revenue based on the extent of progress towards completion of the performance obligations. Accordingly, we recognized $0.4 million, $1.4 million and $2.3 million related to our progress toward satisfying those obligations during the years ended June 30, 2021, 2020 and 2019, respectively. As of June 30, 2021, our performance obligations related to the Helsinn License Agreement have been met and no future revenue or cost of revenue will be recognized.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Receivables are included in our balance sheet in “Prepaid expenses and other current assets”, and contract liabilities are included in “Deferred revenue” and “Deferred revenue, long-term”. The following table presents changes in contract assets and contract liabilities accounted for under Topic 606 during the years ended June 30, 2021 and June 30, 2020 (in thousands).:</w:t>
      </w:r>
    </w:p>
    <w:p>
      <w:pPr>
        <w:spacing w:after="0" w:line="242"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 June 30,</w:t>
            </w:r>
          </w:p>
        </w:tc>
      </w:tr>
      <w:tr>
        <w:trPr>
          <w:trHeight w:val="196"/>
        </w:trPr>
        <w:tc>
          <w:tcPr>
            <w:tcW w:w="6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100" w:type="dxa"/>
            <w:vAlign w:val="bottom"/>
          </w:tcPr>
          <w:p>
            <w:pPr>
              <w:ind w:left="260"/>
              <w:spacing w:after="0"/>
              <w:rPr>
                <w:sz w:val="20"/>
                <w:szCs w:val="20"/>
                <w:color w:val="auto"/>
              </w:rPr>
            </w:pPr>
            <w:r>
              <w:rPr>
                <w:rFonts w:ascii="Arial" w:cs="Arial" w:eastAsia="Arial" w:hAnsi="Arial"/>
                <w:sz w:val="18"/>
                <w:szCs w:val="18"/>
                <w:color w:val="auto"/>
              </w:rPr>
              <w:t>Receivables,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billed</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25,682</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FF0FC"/>
          </w:tcPr>
          <w:p>
            <w:pPr>
              <w:spacing w:after="0"/>
              <w:rPr>
                <w:sz w:val="22"/>
                <w:szCs w:val="22"/>
                <w:color w:val="auto"/>
              </w:rPr>
            </w:pPr>
          </w:p>
        </w:tc>
      </w:tr>
      <w:tr>
        <w:trPr>
          <w:trHeight w:val="250"/>
        </w:trPr>
        <w:tc>
          <w:tcPr>
            <w:tcW w:w="6100" w:type="dxa"/>
            <w:vAlign w:val="bottom"/>
          </w:tcPr>
          <w:p>
            <w:pPr>
              <w:ind w:left="260"/>
              <w:spacing w:after="0"/>
              <w:rPr>
                <w:sz w:val="20"/>
                <w:szCs w:val="20"/>
                <w:color w:val="auto"/>
              </w:rPr>
            </w:pPr>
            <w:r>
              <w:rPr>
                <w:rFonts w:ascii="Arial" w:cs="Arial" w:eastAsia="Arial" w:hAnsi="Arial"/>
                <w:sz w:val="18"/>
                <w:szCs w:val="18"/>
                <w:color w:val="auto"/>
              </w:rPr>
              <w:t>Payments received</w:t>
            </w:r>
          </w:p>
        </w:tc>
        <w:tc>
          <w:tcPr>
            <w:tcW w:w="3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(25,765 )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(1,209 )</w:t>
            </w:r>
          </w:p>
        </w:tc>
      </w:tr>
      <w:tr>
        <w:trPr>
          <w:trHeight w:val="290"/>
        </w:trPr>
        <w:tc>
          <w:tcPr>
            <w:tcW w:w="6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Receivables, end of year</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assets, beginning of year</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22"/>
                <w:szCs w:val="22"/>
                <w:color w:val="auto"/>
              </w:rPr>
            </w:pPr>
          </w:p>
        </w:tc>
      </w:tr>
      <w:tr>
        <w:trPr>
          <w:trHeight w:val="250"/>
        </w:trPr>
        <w:tc>
          <w:tcPr>
            <w:tcW w:w="6100" w:type="dxa"/>
            <w:vAlign w:val="bottom"/>
          </w:tcPr>
          <w:p>
            <w:pPr>
              <w:ind w:left="260"/>
              <w:spacing w:after="0"/>
              <w:rPr>
                <w:sz w:val="20"/>
                <w:szCs w:val="20"/>
                <w:color w:val="auto"/>
              </w:rPr>
            </w:pPr>
            <w:r>
              <w:rPr>
                <w:rFonts w:ascii="Arial" w:cs="Arial" w:eastAsia="Arial" w:hAnsi="Arial"/>
                <w:sz w:val="18"/>
                <w:szCs w:val="18"/>
                <w:color w:val="auto"/>
              </w:rPr>
              <w:t>Billable amounts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21"/>
                <w:szCs w:val="21"/>
                <w:color w:val="auto"/>
              </w:rPr>
            </w:pPr>
          </w:p>
        </w:tc>
      </w:tr>
      <w:tr>
        <w:trPr>
          <w:trHeight w:val="257"/>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billed</w:t>
            </w: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(25,682 )</w:t>
            </w: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(1,292 )</w:t>
            </w:r>
          </w:p>
        </w:tc>
      </w:tr>
      <w:tr>
        <w:trPr>
          <w:trHeight w:val="250"/>
        </w:trPr>
        <w:tc>
          <w:tcPr>
            <w:tcW w:w="610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Contract assets,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20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top w:val="single" w:sz="8" w:color="CFF0FC"/>
            </w:tcBorders>
          </w:tcPr>
          <w:p>
            <w:pPr>
              <w:spacing w:after="0"/>
              <w:rPr>
                <w:sz w:val="21"/>
                <w:szCs w:val="2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100" w:type="dxa"/>
            <w:vAlign w:val="bottom"/>
          </w:tcPr>
          <w:p>
            <w:pPr>
              <w:ind w:left="260"/>
              <w:spacing w:after="0"/>
              <w:rPr>
                <w:sz w:val="20"/>
                <w:szCs w:val="20"/>
                <w:color w:val="auto"/>
              </w:rPr>
            </w:pPr>
            <w:r>
              <w:rPr>
                <w:rFonts w:ascii="Arial" w:cs="Arial" w:eastAsia="Arial" w:hAnsi="Arial"/>
                <w:sz w:val="18"/>
                <w:szCs w:val="18"/>
                <w:color w:val="auto"/>
              </w:rPr>
              <w:t>Contract liabilities,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17,955</w:t>
            </w:r>
          </w:p>
        </w:tc>
        <w:tc>
          <w:tcPr>
            <w:tcW w:w="2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Pr>
          <w:p>
            <w:pPr>
              <w:spacing w:after="0"/>
              <w:rPr>
                <w:sz w:val="21"/>
                <w:szCs w:val="21"/>
                <w:color w:val="auto"/>
              </w:rPr>
            </w:pPr>
          </w:p>
        </w:tc>
      </w:tr>
      <w:tr>
        <w:trPr>
          <w:trHeight w:val="257"/>
        </w:trPr>
        <w:tc>
          <w:tcPr>
            <w:tcW w:w="6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100" w:type="dxa"/>
            <w:vAlign w:val="bottom"/>
          </w:tcPr>
          <w:p>
            <w:pPr>
              <w:ind w:left="260"/>
              <w:spacing w:after="0"/>
              <w:rPr>
                <w:sz w:val="20"/>
                <w:szCs w:val="20"/>
                <w:color w:val="auto"/>
              </w:rPr>
            </w:pPr>
            <w:r>
              <w:rPr>
                <w:rFonts w:ascii="Arial" w:cs="Arial" w:eastAsia="Arial" w:hAnsi="Arial"/>
                <w:sz w:val="18"/>
                <w:szCs w:val="18"/>
                <w:color w:val="auto"/>
              </w:rPr>
              <w:t>Contract liabilities,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22,781</w:t>
            </w: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1"/>
                <w:szCs w:val="2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-1559560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-1542415</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-1559560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-1542415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-879475</wp:posOffset>
            </wp:positionV>
            <wp:extent cx="13716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-879475</wp:posOffset>
            </wp:positionV>
            <wp:extent cx="596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-193675</wp:posOffset>
            </wp:positionV>
            <wp:extent cx="1371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-193675</wp:posOffset>
            </wp:positionV>
            <wp:extent cx="5969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87"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Balance Sheet relate to the KKC Commercialization Agreement, the KKC Japan License Agreement and Helsinn License Agreement.</w:t>
      </w:r>
    </w:p>
    <w:p>
      <w:pPr>
        <w:spacing w:after="0" w:line="52" w:lineRule="exact"/>
        <w:rPr>
          <w:sz w:val="20"/>
          <w:szCs w:val="20"/>
          <w:color w:val="auto"/>
        </w:rPr>
      </w:pPr>
    </w:p>
    <w:p>
      <w:pPr>
        <w:ind w:right="120" w:firstLine="509"/>
        <w:spacing w:after="0" w:line="329" w:lineRule="auto"/>
        <w:rPr>
          <w:sz w:val="20"/>
          <w:szCs w:val="20"/>
          <w:color w:val="auto"/>
        </w:rPr>
      </w:pPr>
      <w:r>
        <w:rPr>
          <w:rFonts w:ascii="Arial" w:cs="Arial" w:eastAsia="Arial" w:hAnsi="Arial"/>
          <w:sz w:val="16"/>
          <w:szCs w:val="16"/>
          <w:color w:val="auto"/>
        </w:rPr>
        <w:t>As of June 30, 2021, we had $7.6 million of contract assets related to our remaining performance obligations under the KKC Commercialization Agreement and no contract assets related to the Helsinn License Agreement, as the remaining performance obligations have been completed. Our contract assets are comprised of amounts that are billable based on the contractual provisions of the license agreement but not yet billed.</w:t>
      </w:r>
    </w:p>
    <w:p>
      <w:pPr>
        <w:spacing w:after="0" w:line="40"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As of June 30, 2021, we had $87.3 million of deferred revenue associated with the KKC Commercialization Agreement, of which $64.5 million relates to the U.S. license which is a unit of account under the scope of Topic 808 and is not a deliverable under Topic 606, and $22.8 million relates to the Ex-U.S. License and development services performance obligations which are under the scope of Topic 606.</w:t>
      </w:r>
    </w:p>
    <w:p>
      <w:pPr>
        <w:spacing w:after="0" w:line="5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research and development performance obligations as well as additional cost reimbursements in excess of revenue recognized. Contract liabilities are expected to be recognized over the duration of the performance obligations based on the costs incurred relative to total expected costs. Our contract liabilities may fluctuate due to changes in the total estimated cost of the performance obligations and our expected reimbursement of those costs. For the year ended June 30, 2021, we recognized revenue of $13.2 million that was included in the contract liabilities balance at June 30, 2020 related to performance obligations under ASC 606.</w:t>
      </w:r>
    </w:p>
    <w:p>
      <w:pPr>
        <w:spacing w:after="0" w:line="83"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For the year ended June 30, 2020, we recognized revenue of $7.5 million and $0.3 million, respectively, that was included in the contract liabilities balance at June 30, 2019 related to performance obligations under ASC 606. To date we have not recognized any amounts related to units of account under Topic 808.</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earn revenue in connection with collaboration agreements, which are described in Note 2, KKC Agreements.</w:t>
      </w:r>
    </w:p>
    <w:p>
      <w:pPr>
        <w:spacing w:after="0" w:line="131"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 xml:space="preserve">At contract inception, we assess whether the collaboration arrangements are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units of account within collaboration arrangements that are accounted for pursuant to Topic 606, we recognize revenue as</w:t>
      </w:r>
    </w:p>
    <w:p>
      <w:pPr>
        <w:sectPr>
          <w:pgSz w:w="11900" w:h="16838" w:orient="portrait"/>
          <w:cols w:equalWidth="0" w:num="1">
            <w:col w:w="11220"/>
          </w:cols>
          <w:pgMar w:left="320" w:top="418" w:right="359" w:bottom="1141"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141"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discussed above. Consideration received that does not meet the requirements to satisfy Topic 606 revenue recognition criteria is recorded as deferred revenue in the accompanying balance sheets, classified as either short-term or long-term deferred revenue based on our best estimate of when such amounts will be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43"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Share-based compensation expense for employees and directors is recognized in the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13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balance sheet. We recorded the fair value of the warrants upon issuance using the Black-Scholes valuation model, and are required to revalue the warrants at each reporting date with any changes in fair value recorded on our statement of operations.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 xml:space="preserve">Effective July 1, 2019, we adopted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using a modified retrospective basis method under which prior comparative periods are not restated. This standard requires lessees to recognize in the statement of financial position a liability to make lease payments and a right-of-use (“ROU”) asset representing our right to use the underlying asset for the lease term. At the inception of an arrangement, we determine whether the arrangement is or contains a lease based on the unique facts and circumstances within the arrangement. A lease is identified where an arrangement conveys the right to control the use of identified property, plant, and equipment for a period of time in exchange for consideration. Leases which are identified within the scope of ASC 842 and which have a term greater than one year are recognized on our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62" w:lineRule="exact"/>
        <w:rPr>
          <w:sz w:val="20"/>
          <w:szCs w:val="20"/>
          <w:color w:val="auto"/>
        </w:rPr>
      </w:pPr>
    </w:p>
    <w:p>
      <w:pPr>
        <w:jc w:val="both"/>
        <w:ind w:right="260" w:firstLine="509"/>
        <w:spacing w:after="0" w:line="303"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420" w:firstLine="509"/>
        <w:spacing w:after="0" w:line="324" w:lineRule="auto"/>
        <w:rPr>
          <w:sz w:val="20"/>
          <w:szCs w:val="20"/>
          <w:color w:val="auto"/>
        </w:rPr>
      </w:pPr>
      <w:r>
        <w:rPr>
          <w:rFonts w:ascii="Arial" w:cs="Arial" w:eastAsia="Arial" w:hAnsi="Arial"/>
          <w:sz w:val="17"/>
          <w:szCs w:val="17"/>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w:t>
      </w:r>
    </w:p>
    <w:p>
      <w:pPr>
        <w:sectPr>
          <w:pgSz w:w="11900" w:h="16838" w:orient="portrait"/>
          <w:cols w:equalWidth="0" w:num="1">
            <w:col w:w="11240"/>
          </w:cols>
          <w:pgMar w:left="320" w:top="418"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2021 and 2020, we have established a valuation allowance to fully reserve our net deferred tax assets. Changes in our ownership may limit the amount of net operating loss carryforwards that can be utilized in the future to offset taxable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June 30, 2021 and 2020</w:t>
      </w:r>
    </w:p>
    <w:p>
      <w:pPr>
        <w:spacing w:after="0" w:line="135"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We had a loss from operations of $69.7 million for the year ended June 30, 2021 compared to a loss from operations of $24.5 million for the year ended June 30, 2020.</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We recognized revenue of $25.5 million for the year ended June 30, 2021 compared to $28.9 million for the year ended June 30, 2020.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primarily due to our license agreement with KKC, which during the year ended June 30, 2020 included the transfer of the Ex-U.S. License. Revenue related to the license agreement with KKC was $25.1 million for the year ended June 30, 2021 compared to $27.5 million for the year ended June 30, 2020. Revenue also includes recognition of fees allocated to performance obligations in accordance with the Helsinn License Agreement. Revenue related the Helsinn License Agreement was $0.4 million for the year ended June 30, 2021 compared to $1.4 million for the year ended June 30, 2020 due to decreased costs related to the POC study. As of June 30, 2021, our performance obligations related to the Helsinn License Agreement have been met and no future revenue or cost of revenue will be recognized.</w:t>
      </w:r>
    </w:p>
    <w:p>
      <w:pPr>
        <w:spacing w:after="0" w:line="181"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We recognized cost of revenue of $1.4 million for the year ended June 30, 2021 compared to $2.7 million for the year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The cost of revenue includes external costs paid to third-party contractors to perform research, conduct clinical trials and develop and manufacture drug materials, and internal compensation and related personnel expenses associated with pracinostat. Costs of revenue relate to expenses for pracinostat incurred in connection with our development activities in accordance with the Helsinn License Agreement, including both Helsinn’s share and our share of costs related to the POC study, which we are responsible for conducting. Cost of revenue decreased due to decreased costs related to the POC study.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97"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Years Ended June 30,</w:t>
            </w:r>
          </w:p>
        </w:tc>
        <w:tc>
          <w:tcPr>
            <w:tcW w:w="80" w:type="dxa"/>
            <w:vAlign w:val="bottom"/>
          </w:tcPr>
          <w:p>
            <w:pPr>
              <w:spacing w:after="0"/>
              <w:rPr>
                <w:sz w:val="16"/>
                <w:szCs w:val="16"/>
                <w:color w:val="auto"/>
              </w:rPr>
            </w:pPr>
          </w:p>
        </w:tc>
      </w:tr>
      <w:tr>
        <w:trPr>
          <w:trHeight w:val="202"/>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Research and development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Zandelisib</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46,052</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80" w:type="dxa"/>
            <w:vAlign w:val="bottom"/>
            <w:shd w:val="clear" w:color="auto" w:fill="CFF0FC"/>
          </w:tcPr>
          <w:p>
            <w:pPr>
              <w:spacing w:after="0"/>
              <w:rPr>
                <w:sz w:val="21"/>
                <w:szCs w:val="21"/>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Voruciclib</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ME-344</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14,701</w:t>
            </w:r>
          </w:p>
        </w:tc>
        <w:tc>
          <w:tcPr>
            <w:tcW w:w="80" w:type="dxa"/>
            <w:vAlign w:val="bottom"/>
          </w:tcPr>
          <w:p>
            <w:pPr>
              <w:spacing w:after="0"/>
              <w:rPr>
                <w:sz w:val="21"/>
                <w:szCs w:val="21"/>
                <w:color w:val="auto"/>
              </w:rPr>
            </w:pPr>
          </w:p>
        </w:tc>
      </w:tr>
      <w:tr>
        <w:trPr>
          <w:trHeight w:val="290"/>
        </w:trPr>
        <w:tc>
          <w:tcPr>
            <w:tcW w:w="6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69,398</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$69.4 million for the year ended June 30, 2021 compared to $34.1 million for the year ended June 30, 2020. Costs related to zandelisib for the year ended June 30, 2021 reflected an increase in clinical trial costs ($22.1 million) primarily as a result of start-up costs related to the Phase 3 study, an increase in drug manufacturing costs ($4.3 million), and increased consulting fees ($1.8 million). Costs related to voruciclib increased for the year ended June 30, 2021 compared with the year ended June 30, 2020, due to increased drug manufacturing costs. Cost related to ME-344 increased for the year ended June 30, 2021 compared with the year ended June 30, 2020 due to increased drug manufacturing costs. Other research and development costs increased for the year ended June 30, 2021 due to higher levels of personnel costs ($3.0 million) and share-based compensation ($1.4 million) associated with increased headcount to support our clinical activities.</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i w:val="1"/>
          <w:iCs w:val="1"/>
          <w:color w:val="auto"/>
        </w:rPr>
        <w:t>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and administrative expenses increased by $7.7 million to $24.4 million for the year ended June 30, 2021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$16.7 million for the year ended June 30, 2020. The increase is primarily due to increased external professional services and legal costs ($2.9 million), as well as share-based compensation ($2.1 million) and personnel costs ($1.4 million) associated with increased headcount to support our activities, including preparation for commercial launch of zandelisib, and corporate overhead costs ($1.3 million).</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 xml:space="preserve">Other income or expense: </w:t>
      </w:r>
      <w:r>
        <w:rPr>
          <w:rFonts w:ascii="Arial" w:cs="Arial" w:eastAsia="Arial" w:hAnsi="Arial"/>
          <w:sz w:val="17"/>
          <w:szCs w:val="17"/>
          <w:color w:val="auto"/>
        </w:rPr>
        <w:t>We recorded a non-cash gain of $18.1 million during the year ended June 30, 2021 and a non-cash expense of $22.9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June 30, 2020 due to a change in the fair value of our warrant liability for warrants issued in connection with our private placement of shares of common stock. The change in the warrant liability is primarily due to changes in our stock price. Additionally, we received interest and dividend income of $0.5 million for the year ended June 30, 2021 compared to $1.4 million for the year ended</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June 30, 2020. The decrease was due to lower yields on cash equivalents and short-term investments during the year ended June 30, 2021 compared to the year ended June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June 30, 2020 and 2019</w:t>
      </w:r>
    </w:p>
    <w:p>
      <w:pPr>
        <w:spacing w:after="0" w:line="135" w:lineRule="exact"/>
        <w:rPr>
          <w:sz w:val="20"/>
          <w:szCs w:val="20"/>
          <w:color w:val="auto"/>
        </w:rPr>
      </w:pPr>
    </w:p>
    <w:p>
      <w:pPr>
        <w:jc w:val="both"/>
        <w:ind w:right="400" w:firstLine="509"/>
        <w:spacing w:after="0" w:line="279" w:lineRule="auto"/>
        <w:rPr>
          <w:sz w:val="20"/>
          <w:szCs w:val="20"/>
          <w:color w:val="auto"/>
        </w:rPr>
      </w:pPr>
      <w:r>
        <w:rPr>
          <w:rFonts w:ascii="Arial" w:cs="Arial" w:eastAsia="Arial" w:hAnsi="Arial"/>
          <w:sz w:val="18"/>
          <w:szCs w:val="18"/>
          <w:color w:val="auto"/>
        </w:rPr>
        <w:t>We have omitted discussion of the results of operations for the fiscal year ended June 30, 2019 because it would be redundant to the discussion previously included in Part II, Item 7 of our Annual Report on Form 10-K for the fiscal year ended June 30, 2020, filed with the SEC on September 9,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 to the Financial Statements included in Item 8 of this Annual Report.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currently have any off-balance-sheet arrangements.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have accumulated losses of $327.8 million since inception and expect to incur operating losses and generate negative cash flows from operations for the foreseeable future. As of June 30, 2021, we had $153.4 million in cash and cash equivalents, and short-term investments. We believe that these resources will be sufficient to fund our operations for at least 12 months from the issuance of this Annual Report.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82"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31" w:lineRule="exact"/>
        <w:rPr>
          <w:sz w:val="20"/>
          <w:szCs w:val="20"/>
          <w:color w:val="auto"/>
        </w:rPr>
      </w:pPr>
    </w:p>
    <w:p>
      <w:pPr>
        <w:ind w:right="220" w:firstLine="509"/>
        <w:spacing w:after="0" w:line="292" w:lineRule="auto"/>
        <w:rPr>
          <w:sz w:val="20"/>
          <w:szCs w:val="20"/>
          <w:color w:val="auto"/>
        </w:rPr>
      </w:pPr>
      <w:r>
        <w:rPr>
          <w:rFonts w:ascii="Arial" w:cs="Arial" w:eastAsia="Arial" w:hAnsi="Arial"/>
          <w:sz w:val="17"/>
          <w:szCs w:val="17"/>
          <w:color w:val="auto"/>
        </w:rPr>
        <w:t>Net cash used in operations for the year ended June 30, 2021 was $32.0 million ($52.4 million, net of $20.4 million received from the Japanese government for tax withholdings). Net cash provided by operations for the year ended June 30, 2020 was $34.3 million (net cash used in operations was $45.3 million, net of a $79.6 million license fee received from KKC). Net cash used in operating activities for the year ended June 30, 2019 was $29.4 million ($39.4 million, net of a $10.0 million license fee received from KKC). The increase in cash used in operating activities year over year is due to increased research and development activities (as described above) as well as other changes in working capital.</w:t>
      </w:r>
    </w:p>
    <w:p>
      <w:pPr>
        <w:spacing w:after="0" w:line="174"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Net cash provided by investing activities for the year ended June 30, 2021 was $24.7 million compared to $106.3 million used in investing activities for the year ended June 30, 2020. The change was primarily due to higher maturities of short-term investments in 2021, net of purchases. Net cash used in investing activities for the year ended June 30, 2019 was $24.3 million.</w:t>
      </w:r>
    </w:p>
    <w:p>
      <w:pPr>
        <w:spacing w:after="0" w:line="183"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Net cash provided by financing activities during the year ended June 30, 2021 was $3.5 million compared with $74.8 million provided by financing activities during the year ended June 30, 2020. Cash raised during the year ended June 30, 2021 reflected the $3.1 million of net proceeds from the issuance of common stock. Cash raised during the year ended June 30, 2020 reflected $69.2 million of net proceeds from the issuance of common stock. Cash raised during the year ended June 30, 2019 reflected $1.1 million of proceeds from the exercise of warrants.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240" w:firstLine="509"/>
        <w:spacing w:after="0" w:line="296"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ectPr>
          <w:pgSz w:w="11900" w:h="16838" w:orient="portrait"/>
          <w:cols w:equalWidth="0" w:num="1">
            <w:col w:w="11220"/>
          </w:cols>
          <w:pgMar w:left="320" w:top="418"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payments over the term of the lease will approximate $1.6 million, plus a pro rata share of certain building expenses. Our total contractual obligation over the term of the lease is approximately $10.7 million.</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31"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June 30, 2021, we had not accrued any amounts for potential future payments.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S*Bio Purchase Agreement</w:t>
      </w:r>
    </w:p>
    <w:p>
      <w:pPr>
        <w:spacing w:after="0" w:line="131" w:lineRule="exact"/>
        <w:rPr>
          <w:sz w:val="20"/>
          <w:szCs w:val="20"/>
          <w:color w:val="auto"/>
        </w:rPr>
      </w:pPr>
    </w:p>
    <w:p>
      <w:pPr>
        <w:ind w:right="80" w:firstLine="509"/>
        <w:spacing w:after="0" w:line="309" w:lineRule="auto"/>
        <w:rPr>
          <w:sz w:val="20"/>
          <w:szCs w:val="20"/>
          <w:color w:val="auto"/>
        </w:rPr>
      </w:pPr>
      <w:r>
        <w:rPr>
          <w:rFonts w:ascii="Arial" w:cs="Arial" w:eastAsia="Arial" w:hAnsi="Arial"/>
          <w:sz w:val="16"/>
          <w:szCs w:val="16"/>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$75.2 million if certain U.S., E.U. and Japanese regulatory approvals are obtained and if certain net sales thresholds are met in North America, the E.U. and Japan. The first milestone payment of $200,000 plus 166,527 shares of our common stock having a value of $500,000 was paid in August 2017 upon the first dosing of a patient in a Phase 3 clinical trial. Subsequent milestone payments will be due upon certain regulatory approvals and sales-based events. As of June 30, 2021, we had not accrued any amounts for potential future payments.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31"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In addition, although the FDA authorized vaccines for the treatment of COVID-19, and although a significant portion of the U.S. population has been vaccinated, the vaccination rate of the population and the effectiveness of the vaccines, particularly with respect to the COVID-19 Delta variant, as well as other variants, continues to create uncertainty. Furthermore, the COVID-19 virus may continue to mutate into different strains, which could be more contagious or severe or for which current vaccines and treatments are not effective or available.</w:t>
      </w:r>
    </w:p>
    <w:p>
      <w:pPr>
        <w:spacing w:after="0" w:line="8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77" w:lineRule="exact"/>
        <w:rPr>
          <w:sz w:val="20"/>
          <w:szCs w:val="20"/>
          <w:color w:val="auto"/>
        </w:rPr>
      </w:pPr>
    </w:p>
    <w:p>
      <w:pPr>
        <w:ind w:right="100" w:firstLine="509"/>
        <w:spacing w:after="0" w:line="269"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The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5" w:lineRule="exact"/>
        <w:rPr>
          <w:sz w:val="20"/>
          <w:szCs w:val="20"/>
          <w:color w:val="auto"/>
        </w:rPr>
      </w:pPr>
    </w:p>
    <w:p>
      <w:pPr>
        <w:ind w:right="380" w:firstLine="509"/>
        <w:spacing w:after="0" w:line="272" w:lineRule="auto"/>
        <w:rPr>
          <w:sz w:val="20"/>
          <w:szCs w:val="20"/>
          <w:color w:val="auto"/>
        </w:rPr>
      </w:pPr>
      <w:r>
        <w:rPr>
          <w:rFonts w:ascii="Arial" w:cs="Arial" w:eastAsia="Arial" w:hAnsi="Arial"/>
          <w:sz w:val="18"/>
          <w:szCs w:val="18"/>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pandemic.</w:t>
      </w:r>
    </w:p>
    <w:p>
      <w:pPr>
        <w:sectPr>
          <w:pgSz w:w="11900" w:h="16838" w:orient="portrait"/>
          <w:cols w:equalWidth="0" w:num="1">
            <w:col w:w="11240"/>
          </w:cols>
          <w:pgMar w:left="320" w:top="418"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8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379" w:lineRule="exact"/>
        <w:rPr>
          <w:sz w:val="20"/>
          <w:szCs w:val="20"/>
          <w:color w:val="auto"/>
        </w:rPr>
      </w:pPr>
    </w:p>
    <w:tbl>
      <w:tblPr>
        <w:tblLayout w:type="fixed"/>
        <w:tblInd w:w="30" w:type="dxa"/>
        <w:tblCellMar>
          <w:top w:w="0" w:type="dxa"/>
          <w:left w:w="0" w:type="dxa"/>
          <w:bottom w:w="0" w:type="dxa"/>
          <w:right w:w="0" w:type="dxa"/>
        </w:tblCellMar>
      </w:tblPr>
      <w:tr>
        <w:trPr>
          <w:trHeight w:val="184"/>
        </w:trPr>
        <w:tc>
          <w:tcPr>
            <w:tcW w:w="7260" w:type="dxa"/>
            <w:vAlign w:val="bottom"/>
            <w:gridSpan w:val="7"/>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Report of Independent Registered Public Accounting Firm</w:t>
              </w:r>
            </w:hyperlink>
          </w:p>
        </w:tc>
        <w:tc>
          <w:tcPr>
            <w:tcW w:w="36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
        </w:trPr>
        <w:tc>
          <w:tcPr>
            <w:tcW w:w="10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9"/>
        </w:trPr>
        <w:tc>
          <w:tcPr>
            <w:tcW w:w="7260" w:type="dxa"/>
            <w:vAlign w:val="bottom"/>
            <w:gridSpan w:val="7"/>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Balance Sheets</w:t>
              </w:r>
            </w:hyperlink>
          </w:p>
        </w:tc>
        <w:tc>
          <w:tcPr>
            <w:tcW w:w="36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10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9"/>
        </w:trPr>
        <w:tc>
          <w:tcPr>
            <w:tcW w:w="7260" w:type="dxa"/>
            <w:vAlign w:val="bottom"/>
            <w:gridSpan w:val="7"/>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Statements of Operations</w:t>
              </w:r>
            </w:hyperlink>
          </w:p>
        </w:tc>
        <w:tc>
          <w:tcPr>
            <w:tcW w:w="36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16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9"/>
        </w:trPr>
        <w:tc>
          <w:tcPr>
            <w:tcW w:w="7260" w:type="dxa"/>
            <w:vAlign w:val="bottom"/>
            <w:gridSpan w:val="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Statements of Stockholders’ Equity</w:t>
              </w:r>
            </w:hyperlink>
          </w:p>
        </w:tc>
        <w:tc>
          <w:tcPr>
            <w:tcW w:w="36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17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9"/>
        </w:trPr>
        <w:tc>
          <w:tcPr>
            <w:tcW w:w="7260" w:type="dxa"/>
            <w:vAlign w:val="bottom"/>
            <w:gridSpan w:val="7"/>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Statements of Cash Flows</w:t>
              </w:r>
            </w:hyperlink>
          </w:p>
        </w:tc>
        <w:tc>
          <w:tcPr>
            <w:tcW w:w="3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17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9"/>
        </w:trPr>
        <w:tc>
          <w:tcPr>
            <w:tcW w:w="7260" w:type="dxa"/>
            <w:vAlign w:val="bottom"/>
            <w:gridSpan w:val="7"/>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Notes to Financial Statements</w:t>
              </w:r>
            </w:hyperlink>
          </w:p>
        </w:tc>
        <w:tc>
          <w:tcPr>
            <w:tcW w:w="3640" w:type="dxa"/>
            <w:vAlign w:val="bottom"/>
          </w:tcPr>
          <w:p>
            <w:pPr>
              <w:spacing w:after="0"/>
              <w:rPr>
                <w:sz w:val="24"/>
                <w:szCs w:val="24"/>
                <w:color w:val="auto"/>
              </w:rPr>
            </w:pPr>
          </w:p>
        </w:tc>
      </w:tr>
      <w:tr>
        <w:trPr>
          <w:trHeight w:val="244"/>
        </w:trPr>
        <w:tc>
          <w:tcPr>
            <w:tcW w:w="100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64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18" w:right="6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MEI Pharma,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We have audited the accompanying balance sheets of MEI Pharma, Inc. (the “Company”) as of June 30, 2021 and 2020, the related statements of operations, stockholders’ equity, and cash flows for each of the three years in the period ended June 30, 2021 and the related notes (collectively referred to as the “financial statements”). In our opinion, the financial statements present fairly, in all material respects, the financial position of the Company at June 30, 2021 and 2020, and the results of its operations and its cash flows for each of the three years in the period ended June 30, 2021, in conformity with accounting principles generally accepted in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 Related to Leases</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leases during the year ended June 30, 2020 due to the adoption of Accounting Standards Codification Topic 842: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3"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Assessment of accrued pre-clinical and clinical trial expenses</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As described in Note 7 of the financial statements as of June 30, 2021, the Company had accrued $4.0 million for pre-clinical and clinical trial expenses. As described in Note 1 of the financial statements, 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The Company expenses research and development costs based on work performed. In determining the amount of accrued pre-clinical and clinical trial expenses, management relies on estimates of total costs based on contract components completed, the enrollment of subjects, the completion of trials, and other events.</w:t>
      </w:r>
    </w:p>
    <w:p>
      <w:pPr>
        <w:spacing w:after="0" w:line="68"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We identified the estimation of accrued pre-clinical and clinical trial expenses as a critical audit matter. Evaluating the progress or stage of completion of the activities under the Company’s research and development agreements is dependent upon different points of data from third-party service providers and internal clinical personnel. Additionally, due to the duration of clinical-related development activities, the estimate of accrued pre-clinical and clinical trial expenses incurred requires judgment based on the nature and amounts of ongoing activities, the status</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of each activity, and the estimated progress for each key activity. Auditing these elements involved especially challenging and subjective auditor judgment due to the nature and extent of auditor effort required to address the matter.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31"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Assessing the nature and extent of progress of clinical trial activities based on inquiries of the Company’s research and development personnel and corroborated through review of meeting minutes maintained by the Company related to clinical trial and project status meetings with third parties.</w:t>
      </w:r>
    </w:p>
    <w:p>
      <w:pPr>
        <w:spacing w:after="0" w:line="1" w:lineRule="exact"/>
        <w:rPr>
          <w:sz w:val="20"/>
          <w:szCs w:val="20"/>
          <w:color w:val="auto"/>
        </w:rPr>
      </w:pPr>
    </w:p>
    <w:p>
      <w:pPr>
        <w:ind w:left="960" w:right="320"/>
        <w:spacing w:after="0" w:line="266" w:lineRule="auto"/>
        <w:rPr>
          <w:sz w:val="20"/>
          <w:szCs w:val="20"/>
          <w:color w:val="auto"/>
        </w:rPr>
      </w:pPr>
      <w:r>
        <w:rPr>
          <w:rFonts w:ascii="Arial" w:cs="Arial" w:eastAsia="Arial" w:hAnsi="Arial"/>
          <w:sz w:val="18"/>
          <w:szCs w:val="18"/>
          <w:color w:val="auto"/>
        </w:rPr>
        <w:t>Developing estimates of the costs incurred for certain activities performed by third parties utilizing information from internal and external sources and comparing expected amounts to the amounts accrued by the Company.</w:t>
      </w:r>
    </w:p>
    <w:p>
      <w:pPr>
        <w:ind w:left="960" w:right="280"/>
        <w:spacing w:after="0" w:line="292" w:lineRule="auto"/>
        <w:rPr>
          <w:sz w:val="20"/>
          <w:szCs w:val="20"/>
          <w:color w:val="auto"/>
        </w:rPr>
      </w:pPr>
      <w:r>
        <w:rPr>
          <w:rFonts w:ascii="Arial" w:cs="Arial" w:eastAsia="Arial" w:hAnsi="Arial"/>
          <w:sz w:val="18"/>
          <w:szCs w:val="18"/>
          <w:color w:val="auto"/>
        </w:rPr>
        <w:t>Evaluating the completeness of the accrued clinical trial expenses by comparing invoices received by the Company subsequent to June 30, 2021 to the amounts accrued by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estimates for KKC licensing agreement</w:t>
      </w:r>
    </w:p>
    <w:p>
      <w:pPr>
        <w:spacing w:after="0" w:line="13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described in Note 1 of the financial statements, the Company recognizes revenue when control of the promised goods or services is transferred to the Company’s customers, in an amount that reflects the consideration to which they expect to be entitled to in exchange for those goods or services. For performance obligations that are satisfied over time, including certain research and development activities, the Company evaluates the measure of progress each reporting period and, if necessary, adjusts the measure of performance and related revenue recognition. The Company uses the cost-to-cost measure of progress whereby progress is measured based on the ratio of costs incurred to date compared to the total estimated costs. The Company uses judgment to estimate the total cost expected to complete the research and development performance obligations.</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have identified management’s estimates of the measure of progress and total costs expected to complete the KKC license agreement as a critical audit matter. Evaluating the progress of the activities under the KKC license agreement is dependent upon different points of data from third-party service providers and internal clinical personnel. Additionally, due to the duration of the KKC license agreement, the estimate of accrued pre-clinical and clinical trial expenses incurred requires judgment based on the nature and amounts of ongoing activities, the status of each project, and the estimated progress for each key trial. Auditing these elements involved especially challenging and subjective auditor judgment due to the nature and extent of auditor effort required to address the matter.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31" w:lineRule="exact"/>
        <w:rPr>
          <w:sz w:val="20"/>
          <w:szCs w:val="20"/>
          <w:color w:val="auto"/>
        </w:rPr>
      </w:pPr>
    </w:p>
    <w:p>
      <w:pPr>
        <w:ind w:left="960" w:right="300"/>
        <w:spacing w:after="0" w:line="282" w:lineRule="auto"/>
        <w:rPr>
          <w:sz w:val="20"/>
          <w:szCs w:val="20"/>
          <w:color w:val="auto"/>
        </w:rPr>
      </w:pPr>
      <w:r>
        <w:rPr>
          <w:rFonts w:ascii="Arial" w:cs="Arial" w:eastAsia="Arial" w:hAnsi="Arial"/>
          <w:sz w:val="17"/>
          <w:szCs w:val="17"/>
          <w:color w:val="auto"/>
        </w:rPr>
        <w:t>Assessing the nature, extent of progress and estimated total cost of clinical trial activities related to the KKC license agreement based on inquiries with the Company’s research and development personnel and corroborated through review of meeting minutes maintained by the Company related to clinical trial and project status meetings with clinical research organizations.</w:t>
      </w:r>
    </w:p>
    <w:p>
      <w:pPr>
        <w:ind w:left="960" w:right="320"/>
        <w:spacing w:after="0" w:line="266" w:lineRule="auto"/>
        <w:rPr>
          <w:sz w:val="20"/>
          <w:szCs w:val="20"/>
          <w:color w:val="auto"/>
        </w:rPr>
      </w:pPr>
      <w:r>
        <w:rPr>
          <w:rFonts w:ascii="Arial" w:cs="Arial" w:eastAsia="Arial" w:hAnsi="Arial"/>
          <w:sz w:val="18"/>
          <w:szCs w:val="18"/>
          <w:color w:val="auto"/>
        </w:rPr>
        <w:t>Developing estimates of the costs incurred for certain activities performed by third parties utilizing information from internal and external sources and comparing expected amounts to the amounts accrued by the Company.</w:t>
      </w:r>
    </w:p>
    <w:p>
      <w:pPr>
        <w:ind w:left="960" w:right="140"/>
        <w:spacing w:after="0" w:line="292" w:lineRule="auto"/>
        <w:rPr>
          <w:sz w:val="20"/>
          <w:szCs w:val="20"/>
          <w:color w:val="auto"/>
        </w:rPr>
      </w:pPr>
      <w:r>
        <w:rPr>
          <w:rFonts w:ascii="Arial" w:cs="Arial" w:eastAsia="Arial" w:hAnsi="Arial"/>
          <w:sz w:val="18"/>
          <w:szCs w:val="18"/>
          <w:color w:val="auto"/>
        </w:rPr>
        <w:t>Evaluating the appropriateness of changes in estimated total costs based on review of information from various sources including changes in study protocols and work orders.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74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144,883</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170,299</w:t>
            </w:r>
          </w:p>
        </w:tc>
        <w:tc>
          <w:tcPr>
            <w:tcW w:w="100" w:type="dxa"/>
            <w:vAlign w:val="bottom"/>
          </w:tcPr>
          <w:p>
            <w:pPr>
              <w:spacing w:after="0"/>
              <w:rPr>
                <w:sz w:val="21"/>
                <w:szCs w:val="21"/>
                <w:color w:val="auto"/>
              </w:rPr>
            </w:pPr>
          </w:p>
        </w:tc>
      </w:tr>
      <w:tr>
        <w:trPr>
          <w:trHeight w:val="257"/>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cash, cash equivalents and short-term investments</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153,426</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182,630</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Receivable for foreign tax withholding</w:t>
            </w:r>
          </w:p>
        </w:tc>
        <w:tc>
          <w:tcPr>
            <w:tcW w:w="3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20,420</w:t>
            </w: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assets</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r>
      <w:tr>
        <w:trPr>
          <w:trHeight w:val="257"/>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164,817</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208,644</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174,098</w:t>
            </w:r>
          </w:p>
        </w:tc>
        <w:tc>
          <w:tcPr>
            <w:tcW w:w="24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209,728</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4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6,355</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14,777</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Operating lease liability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30,294</w:t>
            </w:r>
          </w:p>
        </w:tc>
        <w:tc>
          <w:tcPr>
            <w:tcW w:w="24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23,304</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Deferred revenue, long-term</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72,717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67,723</w:t>
            </w: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22,355</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40,483</w:t>
            </w:r>
          </w:p>
        </w:tc>
        <w:tc>
          <w:tcPr>
            <w:tcW w:w="100" w:type="dxa"/>
            <w:vAlign w:val="bottom"/>
          </w:tcPr>
          <w:p>
            <w:pPr>
              <w:spacing w:after="0"/>
              <w:rPr>
                <w:sz w:val="21"/>
                <w:szCs w:val="21"/>
                <w:color w:val="auto"/>
              </w:rPr>
            </w:pPr>
          </w:p>
        </w:tc>
      </w:tr>
      <w:tr>
        <w:trPr>
          <w:trHeight w:val="250"/>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132,736</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3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Common stock, $0.00000002 par value; 226,000 shares authorized; 112,615 and 111,514</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shares issued and outstanding at June 30, 2021 and 2020, respectively.</w:t>
            </w: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369,171</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355,452</w:t>
            </w:r>
          </w:p>
        </w:tc>
        <w:tc>
          <w:tcPr>
            <w:tcW w:w="100" w:type="dxa"/>
            <w:vAlign w:val="bottom"/>
          </w:tcPr>
          <w:p>
            <w:pPr>
              <w:spacing w:after="0"/>
              <w:rPr>
                <w:sz w:val="21"/>
                <w:szCs w:val="21"/>
                <w:color w:val="auto"/>
              </w:rPr>
            </w:pPr>
          </w:p>
        </w:tc>
      </w:tr>
      <w:tr>
        <w:trPr>
          <w:trHeight w:val="257"/>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(327,809 )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(277,234 )</w:t>
            </w:r>
          </w:p>
        </w:tc>
      </w:tr>
      <w:tr>
        <w:trPr>
          <w:trHeight w:val="250"/>
        </w:trPr>
        <w:tc>
          <w:tcPr>
            <w:tcW w:w="77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41,362</w:t>
            </w:r>
          </w:p>
        </w:tc>
        <w:tc>
          <w:tcPr>
            <w:tcW w:w="24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tcBorders>
              <w:top w:val="single" w:sz="8" w:color="CFF0FC"/>
            </w:tcBorders>
          </w:tcPr>
          <w:p>
            <w:pPr>
              <w:spacing w:after="0"/>
              <w:rPr>
                <w:sz w:val="21"/>
                <w:szCs w:val="21"/>
                <w:color w:val="auto"/>
              </w:rPr>
            </w:pPr>
          </w:p>
        </w:tc>
      </w:tr>
      <w:tr>
        <w:trPr>
          <w:trHeight w:val="290"/>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174,098</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-3502660</wp:posOffset>
            </wp:positionV>
            <wp:extent cx="15430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-3502660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-1496695</wp:posOffset>
            </wp:positionV>
            <wp:extent cx="15430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-1496695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-365125</wp:posOffset>
            </wp:positionV>
            <wp:extent cx="15430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54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543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OPERATIONS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Years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24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28,913</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FF0FC"/>
          </w:tcPr>
          <w:p>
            <w:pPr>
              <w:spacing w:after="0"/>
              <w:rPr>
                <w:sz w:val="21"/>
                <w:szCs w:val="21"/>
                <w:color w:val="auto"/>
              </w:rPr>
            </w:pPr>
          </w:p>
        </w:tc>
      </w:tr>
      <w:tr>
        <w:trPr>
          <w:trHeight w:val="250"/>
        </w:trPr>
        <w:tc>
          <w:tcPr>
            <w:tcW w:w="66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FF0FC"/>
          </w:tcPr>
          <w:p>
            <w:pPr>
              <w:spacing w:after="0"/>
              <w:rPr>
                <w:sz w:val="22"/>
                <w:szCs w:val="22"/>
                <w:color w:val="auto"/>
              </w:rPr>
            </w:pPr>
          </w:p>
        </w:tc>
      </w:tr>
      <w:tr>
        <w:trPr>
          <w:trHeight w:val="250"/>
        </w:trPr>
        <w:tc>
          <w:tcPr>
            <w:tcW w:w="6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34,065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32,300</w:t>
            </w:r>
          </w:p>
        </w:tc>
        <w:tc>
          <w:tcPr>
            <w:tcW w:w="100" w:type="dxa"/>
            <w:vAlign w:val="bottom"/>
          </w:tcPr>
          <w:p>
            <w:pPr>
              <w:spacing w:after="0"/>
              <w:rPr>
                <w:sz w:val="21"/>
                <w:szCs w:val="21"/>
                <w:color w:val="auto"/>
              </w:rPr>
            </w:pPr>
          </w:p>
        </w:tc>
      </w:tr>
      <w:tr>
        <w:trPr>
          <w:trHeight w:val="257"/>
        </w:trPr>
        <w:tc>
          <w:tcPr>
            <w:tcW w:w="6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24,414</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16,717</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6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53,453</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51,160</w:t>
            </w:r>
          </w:p>
        </w:tc>
        <w:tc>
          <w:tcPr>
            <w:tcW w:w="100" w:type="dxa"/>
            <w:vAlign w:val="bottom"/>
          </w:tcPr>
          <w:p>
            <w:pPr>
              <w:spacing w:after="0"/>
              <w:rPr>
                <w:sz w:val="21"/>
                <w:szCs w:val="21"/>
                <w:color w:val="auto"/>
              </w:rPr>
            </w:pPr>
          </w:p>
        </w:tc>
      </w:tr>
      <w:tr>
        <w:trPr>
          <w:trHeight w:val="257"/>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(69,685 )</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(24,540 )</w:t>
            </w: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(46,245 )</w:t>
            </w:r>
          </w:p>
        </w:tc>
      </w:tr>
      <w:tr>
        <w:trPr>
          <w:trHeight w:val="250"/>
        </w:trPr>
        <w:tc>
          <w:tcPr>
            <w:tcW w:w="660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18,122</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(22,870 )</w:t>
            </w: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27,632</w:t>
            </w:r>
          </w:p>
        </w:tc>
        <w:tc>
          <w:tcPr>
            <w:tcW w:w="100" w:type="dxa"/>
            <w:vAlign w:val="bottom"/>
            <w:shd w:val="clear" w:color="auto" w:fill="CFF0FC"/>
          </w:tcPr>
          <w:p>
            <w:pPr>
              <w:spacing w:after="0"/>
              <w:rPr>
                <w:sz w:val="22"/>
                <w:szCs w:val="22"/>
                <w:color w:val="auto"/>
              </w:rPr>
            </w:pPr>
          </w:p>
        </w:tc>
      </w:tr>
      <w:tr>
        <w:trPr>
          <w:trHeight w:val="250"/>
        </w:trPr>
        <w:tc>
          <w:tcPr>
            <w:tcW w:w="6600" w:type="dxa"/>
            <w:vAlign w:val="bottom"/>
          </w:tcPr>
          <w:p>
            <w:pPr>
              <w:ind w:left="26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r>
      <w:tr>
        <w:trPr>
          <w:trHeight w:val="26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(50,575 )</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(46,016 )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(16,819 )</w:t>
            </w:r>
          </w:p>
        </w:tc>
      </w:tr>
      <w:tr>
        <w:trPr>
          <w:trHeight w:val="237"/>
        </w:trPr>
        <w:tc>
          <w:tcPr>
            <w:tcW w:w="66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77"/>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(50,575 )</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(46,016 )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(16,819 )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6600" w:type="dxa"/>
            <w:vAlign w:val="bottom"/>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(77,969 )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(46,016 )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(54,613 )</w:t>
            </w: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600" w:type="dxa"/>
            <w:vAlign w:val="bottom"/>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(0.45 )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(0.24 )</w:t>
            </w: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(0.68 )</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(0.75 )</w:t>
            </w:r>
          </w:p>
        </w:tc>
      </w:tr>
      <w:tr>
        <w:trPr>
          <w:trHeight w:val="237"/>
        </w:trPr>
        <w:tc>
          <w:tcPr>
            <w:tcW w:w="66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Shares used in computing net loss per share: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97"/>
        </w:trPr>
        <w:tc>
          <w:tcPr>
            <w:tcW w:w="66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112,527</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91,080</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6600" w:type="dxa"/>
            <w:vAlign w:val="bottom"/>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91,080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72,385</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-3630930</wp:posOffset>
            </wp:positionV>
            <wp:extent cx="14605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-3630930</wp:posOffset>
            </wp:positionV>
            <wp:extent cx="1289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-3630930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-2971165</wp:posOffset>
            </wp:positionV>
            <wp:extent cx="14605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-2971165</wp:posOffset>
            </wp:positionV>
            <wp:extent cx="1289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-2971165</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-1645285</wp:posOffset>
            </wp:positionV>
            <wp:extent cx="146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-1628140</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-1645285</wp:posOffset>
            </wp:positionV>
            <wp:extent cx="128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-1628140</wp:posOffset>
            </wp:positionV>
            <wp:extent cx="1289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-1645285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-1628140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-1293495</wp:posOffset>
            </wp:positionV>
            <wp:extent cx="146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-1276985</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-1293495</wp:posOffset>
            </wp:positionV>
            <wp:extent cx="1289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-1276985</wp:posOffset>
            </wp:positionV>
            <wp:extent cx="1289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-1293495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-1276985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-565150</wp:posOffset>
            </wp:positionV>
            <wp:extent cx="1460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-548005</wp:posOffset>
            </wp:positionV>
            <wp:extent cx="146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-565150</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-548005</wp:posOffset>
            </wp:positionV>
            <wp:extent cx="128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-565150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-548005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-213995</wp:posOffset>
            </wp:positionV>
            <wp:extent cx="1460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-196850</wp:posOffset>
            </wp:positionV>
            <wp:extent cx="1460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-213995</wp:posOffset>
            </wp:positionV>
            <wp:extent cx="128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-196850</wp:posOffset>
            </wp:positionV>
            <wp:extent cx="1289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-213995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-196850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5860" w:type="dxa"/>
            <w:vAlign w:val="bottom"/>
          </w:tcPr>
          <w:p>
            <w:pPr>
              <w:spacing w:after="0"/>
              <w:rPr>
                <w:sz w:val="15"/>
                <w:szCs w:val="15"/>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r>
      <w:tr>
        <w:trPr>
          <w:trHeight w:val="192"/>
        </w:trPr>
        <w:tc>
          <w:tcPr>
            <w:tcW w:w="5860" w:type="dxa"/>
            <w:vAlign w:val="bottom"/>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r>
      <w:tr>
        <w:trPr>
          <w:trHeight w:val="25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2018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264,858</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(214,399 )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50,459</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(16,819 )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(16,819 )</w:t>
            </w: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net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Exercise of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for vested 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(324 )</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(324 )</w:t>
            </w: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r>
      <w:tr>
        <w:trPr>
          <w:trHeight w:val="257"/>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73,545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279,148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(231,218 )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47,930</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(46,016 )</w:t>
            </w:r>
          </w:p>
        </w:tc>
        <w:tc>
          <w:tcPr>
            <w:tcW w:w="1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(46,016 )</w:t>
            </w: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Issuance of common stock, net</w:t>
            </w:r>
          </w:p>
        </w:tc>
        <w:tc>
          <w:tcPr>
            <w:tcW w:w="1120" w:type="dxa"/>
            <w:vAlign w:val="bottom"/>
          </w:tcPr>
          <w:p>
            <w:pPr>
              <w:jc w:val="right"/>
              <w:spacing w:after="0"/>
              <w:rPr>
                <w:sz w:val="20"/>
                <w:szCs w:val="20"/>
                <w:color w:val="auto"/>
              </w:rPr>
            </w:pPr>
            <w:r>
              <w:rPr>
                <w:rFonts w:ascii="Arial" w:cs="Arial" w:eastAsia="Arial" w:hAnsi="Arial"/>
                <w:sz w:val="18"/>
                <w:szCs w:val="18"/>
                <w:color w:val="auto"/>
              </w:rPr>
              <w:t>37,815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1"/>
                <w:szCs w:val="21"/>
                <w:color w:val="auto"/>
              </w:rPr>
            </w:pPr>
          </w:p>
        </w:tc>
      </w:tr>
      <w:tr>
        <w:trPr>
          <w:trHeight w:val="25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111,514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355,452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(277,234 )</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(50,575 )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(50,575 )</w:t>
            </w: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net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Exercise of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tcPr>
          <w:p>
            <w:pPr>
              <w:spacing w:after="0"/>
              <w:rPr>
                <w:sz w:val="21"/>
                <w:szCs w:val="21"/>
                <w:color w:val="auto"/>
              </w:rPr>
            </w:pPr>
          </w:p>
        </w:tc>
      </w:tr>
      <w:tr>
        <w:trPr>
          <w:trHeight w:val="27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112,615</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369,171</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(327,809 )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41,362</w:t>
            </w:r>
          </w:p>
        </w:tc>
        <w:tc>
          <w:tcPr>
            <w:tcW w:w="100" w:type="dxa"/>
            <w:vAlign w:val="bottom"/>
            <w:shd w:val="clear" w:color="auto" w:fill="CFF0FC"/>
          </w:tcPr>
          <w:p>
            <w:pPr>
              <w:spacing w:after="0"/>
              <w:rPr>
                <w:sz w:val="23"/>
                <w:szCs w:val="23"/>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-2002155</wp:posOffset>
            </wp:positionV>
            <wp:extent cx="16319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-2002155</wp:posOffset>
            </wp:positionV>
            <wp:extent cx="1454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-2002155</wp:posOffset>
            </wp:positionV>
            <wp:extent cx="1454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-2002155</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163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63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454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45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454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(50,575 )</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(46,016 )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(16,819 )</w:t>
            </w:r>
          </w:p>
        </w:tc>
        <w:tc>
          <w:tcPr>
            <w:tcW w:w="0" w:type="dxa"/>
            <w:vAlign w:val="bottom"/>
          </w:tcPr>
          <w:p>
            <w:pPr>
              <w:spacing w:after="0"/>
              <w:rPr>
                <w:sz w:val="1"/>
                <w:szCs w:val="1"/>
                <w:color w:val="auto"/>
              </w:rPr>
            </w:pPr>
          </w:p>
        </w:tc>
      </w:tr>
      <w:tr>
        <w:trPr>
          <w:trHeight w:val="249"/>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loss to net cash (used in) provided by</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(18,122 )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22,870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(27,632 )</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6,801</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Receivable for foreign tax withholding</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20,420</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(20,420 )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6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(4,724 )</w:t>
            </w:r>
          </w:p>
        </w:tc>
        <w:tc>
          <w:tcPr>
            <w:tcW w:w="3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(2,347 )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(1,073 )</w:t>
            </w: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(812 )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50"/>
        </w:trPr>
        <w:tc>
          <w:tcPr>
            <w:tcW w:w="65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(2,350 )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74,726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(31,964 )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34,258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(29,423 )</w:t>
            </w:r>
          </w:p>
        </w:tc>
        <w:tc>
          <w:tcPr>
            <w:tcW w:w="0" w:type="dxa"/>
            <w:vAlign w:val="bottom"/>
          </w:tcPr>
          <w:p>
            <w:pPr>
              <w:spacing w:after="0"/>
              <w:rPr>
                <w:sz w:val="1"/>
                <w:szCs w:val="1"/>
                <w:color w:val="auto"/>
              </w:rPr>
            </w:pP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(708 )</w:t>
            </w:r>
          </w:p>
        </w:tc>
        <w:tc>
          <w:tcPr>
            <w:tcW w:w="3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(894 )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(420,153 )</w:t>
            </w: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(190,279 )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(64,655 )</w:t>
            </w: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Proceeds from maturity of short-term investments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445,569</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84,879</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(106,294 )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Issuance of common stock,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69,231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Collection of common stock proceeds receivable</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60" w:type="dxa"/>
            <w:vAlign w:val="bottom"/>
          </w:tcPr>
          <w:p>
            <w:pPr>
              <w:ind w:left="280"/>
              <w:spacing w:after="0"/>
              <w:rPr>
                <w:sz w:val="20"/>
                <w:szCs w:val="20"/>
                <w:color w:val="auto"/>
              </w:rPr>
            </w:pPr>
            <w:r>
              <w:rPr>
                <w:rFonts w:ascii="Arial" w:cs="Arial" w:eastAsia="Arial" w:hAnsi="Arial"/>
                <w:sz w:val="18"/>
                <w:szCs w:val="18"/>
                <w:color w:val="auto"/>
              </w:rPr>
              <w:t>Proceeds from exercise of warrants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 of RSU tax withholdings in exchange for common shares</w:t>
            </w:r>
          </w:p>
        </w:tc>
        <w:tc>
          <w:tcPr>
            <w:tcW w:w="320" w:type="dxa"/>
            <w:vAlign w:val="bottom"/>
            <w:shd w:val="clear" w:color="auto" w:fill="CFF0FC"/>
          </w:tcPr>
          <w:p>
            <w:pPr>
              <w:spacing w:after="0"/>
              <w:rPr>
                <w:sz w:val="21"/>
                <w:szCs w:val="21"/>
                <w:color w:val="auto"/>
              </w:rPr>
            </w:pPr>
          </w:p>
        </w:tc>
        <w:tc>
          <w:tcPr>
            <w:tcW w:w="13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surrendered by RSU holders</w:t>
            </w:r>
          </w:p>
        </w:tc>
        <w:tc>
          <w:tcPr>
            <w:tcW w:w="32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74,777</w:t>
            </w:r>
          </w:p>
        </w:tc>
        <w:tc>
          <w:tcPr>
            <w:tcW w:w="20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(3,788 )</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(3,719 )</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12,331</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(8 )</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w w:val="95"/>
              </w:rPr>
              <w:t>Operating lease right-of-use assets obtained in exchange for 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8,689</w:t>
            </w:r>
          </w:p>
        </w:tc>
        <w:tc>
          <w:tcPr>
            <w:tcW w:w="24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Warrants issued pursuant to cashless exercise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receivable - sale of common stock</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Proceeds receivable - stock option exercises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warrants exercised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-4128135</wp:posOffset>
            </wp:positionV>
            <wp:extent cx="15430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-4128135</wp:posOffset>
            </wp:positionV>
            <wp:extent cx="13716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-4128135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-3125470</wp:posOffset>
            </wp:positionV>
            <wp:extent cx="1543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-3125470</wp:posOffset>
            </wp:positionV>
            <wp:extent cx="1371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-3125470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-2002155</wp:posOffset>
            </wp:positionV>
            <wp:extent cx="1543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-2002155</wp:posOffset>
            </wp:positionV>
            <wp:extent cx="13716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-2002155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-1327785</wp:posOffset>
            </wp:positionV>
            <wp:extent cx="1543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-1311275</wp:posOffset>
            </wp:positionV>
            <wp:extent cx="1543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-1327785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-1311275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240"/>
          </w:cols>
          <w:pgMar w:left="320" w:top="418" w:right="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 xml:space="preserve">MEI Pharma, Inc. is a late-stage pharmaceutical company </w:t>
      </w:r>
      <w:r>
        <w:rPr>
          <w:rFonts w:ascii="Arial" w:cs="Arial" w:eastAsia="Arial" w:hAnsi="Arial"/>
          <w:sz w:val="17"/>
          <w:szCs w:val="17"/>
          <w:color w:val="333333"/>
        </w:rPr>
        <w:t>committed to the development and commercialization of novel cancer therapies intended</w:t>
      </w:r>
      <w:r>
        <w:rPr>
          <w:rFonts w:ascii="Arial" w:cs="Arial" w:eastAsia="Arial" w:hAnsi="Arial"/>
          <w:sz w:val="17"/>
          <w:szCs w:val="17"/>
          <w:color w:val="auto"/>
        </w:rPr>
        <w:t xml:space="preserve"> </w:t>
      </w:r>
      <w:r>
        <w:rPr>
          <w:rFonts w:ascii="Arial" w:cs="Arial" w:eastAsia="Arial" w:hAnsi="Arial"/>
          <w:sz w:val="17"/>
          <w:szCs w:val="17"/>
          <w:color w:val="333333"/>
        </w:rPr>
        <w:t xml:space="preserve">to improve outcomes for patients. Our portfolio of drug candidates includes four clinical-stage assets, including zandelisib (f/k/a ME-401), currently in multiple ongoing clinical studies intended to support marketing applications with the U.S. Food and Drug Administration (“FDA”) and other regulatory authorities globally. </w:t>
      </w:r>
      <w:r>
        <w:rPr>
          <w:rFonts w:ascii="Arial" w:cs="Arial" w:eastAsia="Arial" w:hAnsi="Arial"/>
          <w:sz w:val="17"/>
          <w:szCs w:val="17"/>
          <w:color w:val="000000"/>
        </w:rPr>
        <w:t>Our common stock is listed on the NASDAQ Capital Market under the symbol “MEIP.”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35" w:lineRule="exact"/>
        <w:rPr>
          <w:sz w:val="20"/>
          <w:szCs w:val="20"/>
          <w:color w:val="auto"/>
        </w:rPr>
      </w:pPr>
    </w:p>
    <w:p>
      <w:pPr>
        <w:ind w:right="220" w:firstLine="509"/>
        <w:spacing w:after="0" w:line="329" w:lineRule="auto"/>
        <w:rPr>
          <w:sz w:val="20"/>
          <w:szCs w:val="20"/>
          <w:color w:val="auto"/>
        </w:rPr>
      </w:pPr>
      <w:r>
        <w:rPr>
          <w:rFonts w:ascii="Arial" w:cs="Arial" w:eastAsia="Arial" w:hAnsi="Arial"/>
          <w:sz w:val="16"/>
          <w:szCs w:val="16"/>
          <w:color w:val="auto"/>
        </w:rPr>
        <w:t xml:space="preserve">We build our pipeline by licensing or acquiring promising cancer agents and creating value in programs through development, commercialization and strategic partnerships, as appropriate. </w:t>
      </w:r>
      <w:r>
        <w:rPr>
          <w:rFonts w:ascii="Arial" w:cs="Arial" w:eastAsia="Arial" w:hAnsi="Arial"/>
          <w:sz w:val="16"/>
          <w:szCs w:val="16"/>
          <w:color w:val="333333"/>
        </w:rPr>
        <w:t>Our objective is to leverage the mechanisms and properties of our pipeline drug candidates to optimize the</w:t>
      </w:r>
      <w:r>
        <w:rPr>
          <w:rFonts w:ascii="Arial" w:cs="Arial" w:eastAsia="Arial" w:hAnsi="Arial"/>
          <w:sz w:val="16"/>
          <w:szCs w:val="16"/>
          <w:color w:val="auto"/>
        </w:rPr>
        <w:t xml:space="preserve"> </w:t>
      </w:r>
      <w:r>
        <w:rPr>
          <w:rFonts w:ascii="Arial" w:cs="Arial" w:eastAsia="Arial" w:hAnsi="Arial"/>
          <w:sz w:val="16"/>
          <w:szCs w:val="16"/>
          <w:color w:val="333333"/>
        </w:rPr>
        <w:t xml:space="preserve">balance between efficacy and tolerability to meet the needs of patients with cancer. </w:t>
      </w:r>
      <w:r>
        <w:rPr>
          <w:rFonts w:ascii="Arial" w:cs="Arial" w:eastAsia="Arial" w:hAnsi="Arial"/>
          <w:sz w:val="16"/>
          <w:szCs w:val="16"/>
          <w:color w:val="000000"/>
        </w:rPr>
        <w:t>Our drug candidate pipeline includes:</w:t>
      </w:r>
    </w:p>
    <w:p>
      <w:pPr>
        <w:spacing w:after="0" w:line="40" w:lineRule="exact"/>
        <w:rPr>
          <w:sz w:val="20"/>
          <w:szCs w:val="20"/>
          <w:color w:val="auto"/>
        </w:rPr>
      </w:pPr>
    </w:p>
    <w:p>
      <w:pPr>
        <w:ind w:left="880" w:right="2900"/>
        <w:spacing w:after="0" w:line="275" w:lineRule="auto"/>
        <w:rPr>
          <w:sz w:val="20"/>
          <w:szCs w:val="20"/>
          <w:color w:val="auto"/>
        </w:rPr>
      </w:pPr>
      <w:r>
        <w:rPr>
          <w:rFonts w:ascii="Arial" w:cs="Arial" w:eastAsia="Arial" w:hAnsi="Arial"/>
          <w:sz w:val="18"/>
          <w:szCs w:val="18"/>
          <w:color w:val="auto"/>
        </w:rPr>
        <w:t>Zandelisib (f/k/a ME-401), an oral phosphatidylinositol 3-kinase (“PI3K”) delta inhibitor; Voruciclib, an oral cyclin-dependent kinase 9 (“CDK9”) inhibitor; ME-344, a mitochondrial inhibitor targeting the oxidative phosphorylation (“OXPHOS”) complex; and Pracinostat, an oral histone deacetylase (“HDAC”) inhibitor.</w:t>
      </w:r>
    </w:p>
    <w:p>
      <w:pPr>
        <w:spacing w:after="0" w:line="185"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have accumulated losses of $327.8 million since inception and expect to incur operating losses and generate negative cash flows from operations for the foreseeable future. As of June 30, 2021, we had $153.4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3"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ind w:right="380" w:firstLine="509"/>
        <w:spacing w:after="0" w:line="359" w:lineRule="auto"/>
        <w:rPr>
          <w:sz w:val="20"/>
          <w:szCs w:val="20"/>
          <w:color w:val="auto"/>
        </w:rPr>
      </w:pPr>
      <w:r>
        <w:rPr>
          <w:rFonts w:ascii="Arial" w:cs="Arial" w:eastAsia="Arial" w:hAnsi="Arial"/>
          <w:sz w:val="16"/>
          <w:szCs w:val="16"/>
          <w:color w:val="auto"/>
        </w:rPr>
        <w:t>Certain reclassifications have been made to the prior year financial statements to conform to the current year financial statement presentation of contract assets. These changes did not impact previously reported net loss, loss per share, stockholders’ equity, total assets or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5"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three months or less when purchased. Cash is maintained at financial institutions and, at times, balances may exceed federally insured limits. We have not experienced any losses related to these balances.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35"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Investments that have maturities of greater than three months but less than one year are classified as short-term investments. As of June 30, 2021 and 2020, our short-term investments consisted of $144.9 million and $170.3 million, respectively, in U.S. government securities. The short-term investments held as of June 30, 2021 and 2020 had maturity dates of less than one year, are considered to be “held to maturity” and are carried at amortized cost. As of June 30, 2021 and 2020, the gross holding gains and losses were immaterial.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31" w:lineRule="exact"/>
        <w:rPr>
          <w:sz w:val="20"/>
          <w:szCs w:val="20"/>
          <w:color w:val="auto"/>
        </w:rPr>
      </w:pPr>
    </w:p>
    <w:p>
      <w:pPr>
        <w:ind w:left="880" w:right="460"/>
        <w:spacing w:after="0" w:line="279"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sz w:val="20"/>
          <w:szCs w:val="20"/>
          <w:color w:val="auto"/>
        </w:rPr>
      </w:pPr>
    </w:p>
    <w:p>
      <w:pPr>
        <w:ind w:left="880" w:right="580"/>
        <w:spacing w:after="0" w:line="293"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June 30, 2021</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(22,355 )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(40,483 )</w:t>
            </w:r>
          </w:p>
        </w:tc>
      </w:tr>
      <w:tr>
        <w:trPr>
          <w:trHeight w:val="20"/>
        </w:trPr>
        <w:tc>
          <w:tcPr>
            <w:tcW w:w="4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740" w:type="dxa"/>
            <w:vAlign w:val="bottom"/>
          </w:tcPr>
          <w:p>
            <w:pPr>
              <w:ind w:left="28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(22,355 )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(40,483 )</w:t>
            </w:r>
          </w:p>
        </w:tc>
      </w:tr>
      <w:tr>
        <w:trPr>
          <w:trHeight w:val="20"/>
        </w:trPr>
        <w:tc>
          <w:tcPr>
            <w:tcW w:w="4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-193675</wp:posOffset>
            </wp:positionV>
            <wp:extent cx="1200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-193675</wp:posOffset>
            </wp:positionV>
            <wp:extent cx="1111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-193675</wp:posOffset>
            </wp:positionV>
            <wp:extent cx="13716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-193675</wp:posOffset>
            </wp:positionV>
            <wp:extent cx="1028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-193675</wp:posOffset>
            </wp:positionV>
            <wp:extent cx="10287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where applicable, and short-term investments are classified as Level 1 as defined by the fair value hierarchy.</w:t>
      </w:r>
    </w:p>
    <w:p>
      <w:pPr>
        <w:spacing w:after="0" w:line="18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Balance Sheet. We recorded the fair value of the warrants upon issuance using the Black-Scholes valuation model and are required to revalue the warrants at each reporting date with any changes in fair value recorded on our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for the years ended June 30, 2021 and 2020.</w:t>
      </w:r>
    </w:p>
    <w:p>
      <w:pPr>
        <w:sectPr>
          <w:pgSz w:w="11900" w:h="16838" w:orient="portrait"/>
          <w:cols w:equalWidth="0" w:num="1">
            <w:col w:w="11240"/>
          </w:cols>
          <w:pgMar w:left="320" w:top="418"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92"/>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r>
      <w:tr>
        <w:trPr>
          <w:trHeight w:val="25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0.2 %</w:t>
            </w: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0.2 %</w:t>
            </w:r>
          </w:p>
        </w:tc>
      </w:tr>
      <w:tr>
        <w:trPr>
          <w:trHeight w:val="250"/>
        </w:trPr>
        <w:tc>
          <w:tcPr>
            <w:tcW w:w="5080" w:type="dxa"/>
            <w:vAlign w:val="bottom"/>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1"/>
                <w:szCs w:val="21"/>
                <w:color w:val="auto"/>
              </w:rPr>
            </w:pPr>
          </w:p>
        </w:tc>
      </w:tr>
      <w:tr>
        <w:trPr>
          <w:trHeight w:val="26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88.5 %</w:t>
            </w: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77.4 %</w:t>
            </w:r>
          </w:p>
        </w:tc>
      </w:tr>
      <w:tr>
        <w:trPr>
          <w:trHeight w:val="250"/>
        </w:trPr>
        <w:tc>
          <w:tcPr>
            <w:tcW w:w="508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r>
        <w:trPr>
          <w:trHeight w:val="26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Black-Scholes Fair Value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FF0FC"/>
          </w:tcPr>
          <w:p>
            <w:pPr>
              <w:spacing w:after="0"/>
              <w:rPr>
                <w:sz w:val="22"/>
                <w:szCs w:val="22"/>
                <w:color w:val="auto"/>
              </w:rPr>
            </w:pPr>
          </w:p>
        </w:tc>
      </w:tr>
    </w:tbl>
    <w:p>
      <w:pPr>
        <w:spacing w:after="0" w:line="215"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following table sets forth a summary of changes in the estimated fair value of our Level 3 warrant liability for the years ended June 30, 2021 and 2020 (in thousands):</w:t>
      </w:r>
    </w:p>
    <w:p>
      <w:pPr>
        <w:spacing w:after="0" w:line="229"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5"/>
              </w:rPr>
              <w:t>Fair Value of Warrants Using</w:t>
            </w:r>
          </w:p>
        </w:tc>
        <w:tc>
          <w:tcPr>
            <w:tcW w:w="120" w:type="dxa"/>
            <w:vAlign w:val="bottom"/>
          </w:tcPr>
          <w:p>
            <w:pPr>
              <w:spacing w:after="0"/>
              <w:rPr>
                <w:sz w:val="15"/>
                <w:szCs w:val="15"/>
                <w:color w:val="auto"/>
              </w:rPr>
            </w:pPr>
          </w:p>
        </w:tc>
      </w:tr>
      <w:tr>
        <w:trPr>
          <w:trHeight w:val="175"/>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2"/>
              </w:rPr>
              <w:t>Significant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3"/>
              </w:rPr>
              <w:t>Unobservable Inputs (Level 3)</w:t>
            </w:r>
          </w:p>
        </w:tc>
        <w:tc>
          <w:tcPr>
            <w:tcW w:w="120" w:type="dxa"/>
            <w:vAlign w:val="bottom"/>
          </w:tcPr>
          <w:p>
            <w:pPr>
              <w:spacing w:after="0"/>
              <w:rPr>
                <w:sz w:val="16"/>
                <w:szCs w:val="16"/>
                <w:color w:val="auto"/>
              </w:rPr>
            </w:pPr>
          </w:p>
        </w:tc>
      </w:tr>
      <w:tr>
        <w:trPr>
          <w:trHeight w:val="196"/>
        </w:trPr>
        <w:tc>
          <w:tcPr>
            <w:tcW w:w="6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July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40,483</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17,613</w:t>
            </w:r>
          </w:p>
        </w:tc>
        <w:tc>
          <w:tcPr>
            <w:tcW w:w="120" w:type="dxa"/>
            <w:vAlign w:val="bottom"/>
            <w:shd w:val="clear" w:color="auto" w:fill="CFF0FC"/>
          </w:tcPr>
          <w:p>
            <w:pPr>
              <w:spacing w:after="0"/>
              <w:rPr>
                <w:sz w:val="22"/>
                <w:szCs w:val="22"/>
                <w:color w:val="auto"/>
              </w:rPr>
            </w:pPr>
          </w:p>
        </w:tc>
      </w:tr>
      <w:tr>
        <w:trPr>
          <w:trHeight w:val="250"/>
        </w:trPr>
        <w:tc>
          <w:tcPr>
            <w:tcW w:w="6400" w:type="dxa"/>
            <w:vAlign w:val="bottom"/>
          </w:tcPr>
          <w:p>
            <w:pPr>
              <w:ind w:left="280"/>
              <w:spacing w:after="0"/>
              <w:rPr>
                <w:sz w:val="20"/>
                <w:szCs w:val="20"/>
                <w:color w:val="auto"/>
              </w:rPr>
            </w:pPr>
            <w:r>
              <w:rPr>
                <w:rFonts w:ascii="Arial" w:cs="Arial" w:eastAsia="Arial" w:hAnsi="Arial"/>
                <w:sz w:val="18"/>
                <w:szCs w:val="18"/>
                <w:color w:val="auto"/>
              </w:rPr>
              <w:t>Reclassification of warrant liability to equity upon exercise of warrants</w:t>
            </w: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57"/>
        </w:trPr>
        <w:tc>
          <w:tcPr>
            <w:tcW w:w="6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estimated fair value of liability classified warrants</w:t>
            </w:r>
          </w:p>
        </w:tc>
        <w:tc>
          <w:tcPr>
            <w:tcW w:w="1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(18,122 )</w:t>
            </w:r>
          </w:p>
        </w:tc>
        <w:tc>
          <w:tcPr>
            <w:tcW w:w="3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22,870</w:t>
            </w:r>
          </w:p>
        </w:tc>
        <w:tc>
          <w:tcPr>
            <w:tcW w:w="120" w:type="dxa"/>
            <w:vAlign w:val="bottom"/>
            <w:shd w:val="clear" w:color="auto" w:fill="CFF0FC"/>
          </w:tcPr>
          <w:p>
            <w:pPr>
              <w:spacing w:after="0"/>
              <w:rPr>
                <w:sz w:val="22"/>
                <w:szCs w:val="22"/>
                <w:color w:val="auto"/>
              </w:rPr>
            </w:pPr>
          </w:p>
        </w:tc>
      </w:tr>
      <w:tr>
        <w:trPr>
          <w:trHeight w:val="250"/>
        </w:trPr>
        <w:tc>
          <w:tcPr>
            <w:tcW w:w="64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22,355</w:t>
            </w:r>
          </w:p>
        </w:tc>
        <w:tc>
          <w:tcPr>
            <w:tcW w:w="18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40,483</w:t>
            </w:r>
          </w:p>
        </w:tc>
        <w:tc>
          <w:tcPr>
            <w:tcW w:w="120" w:type="dxa"/>
            <w:vAlign w:val="bottom"/>
            <w:tcBorders>
              <w:top w:val="single" w:sz="8" w:color="CFF0FC"/>
            </w:tcBorders>
          </w:tcPr>
          <w:p>
            <w:pPr>
              <w:spacing w:after="0"/>
              <w:rPr>
                <w:sz w:val="21"/>
                <w:szCs w:val="2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-193675</wp:posOffset>
            </wp:positionV>
            <wp:extent cx="1200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-193675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right="280" w:firstLine="509"/>
        <w:spacing w:after="0" w:line="279" w:lineRule="auto"/>
        <w:rPr>
          <w:sz w:val="20"/>
          <w:szCs w:val="20"/>
          <w:color w:val="auto"/>
        </w:rPr>
      </w:pPr>
      <w:r>
        <w:rPr>
          <w:rFonts w:ascii="Arial" w:cs="Arial" w:eastAsia="Arial" w:hAnsi="Arial"/>
          <w:sz w:val="18"/>
          <w:szCs w:val="18"/>
          <w:color w:val="auto"/>
        </w:rPr>
        <w:t>Property and equipment are stated at cost and depreciated over the estimated useful lives of the assets (generally three to seven years) using the straight-line method. Leasehold improvements are stated at cost and are amortized over the shorter of the estimated useful lives of the assets or the lease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As of July 1, 2019, we adopted Topic 842, </w:t>
      </w:r>
      <w:r>
        <w:rPr>
          <w:rFonts w:ascii="Arial" w:cs="Arial" w:eastAsia="Arial" w:hAnsi="Arial"/>
          <w:sz w:val="18"/>
          <w:szCs w:val="18"/>
          <w:i w:val="1"/>
          <w:iCs w:val="1"/>
          <w:color w:val="auto"/>
        </w:rPr>
        <w:t>Leases</w:t>
      </w:r>
      <w:r>
        <w:rPr>
          <w:rFonts w:ascii="Arial" w:cs="Arial" w:eastAsia="Arial" w:hAnsi="Arial"/>
          <w:sz w:val="18"/>
          <w:szCs w:val="18"/>
          <w:color w:val="auto"/>
        </w:rPr>
        <w:t>, using a modified retrospective basis method under which prior comparative periods are not restated. The new standard establishes a ROU model that requires a lessee to record a ROU asset and a lease liability on the balance sheet for all leases with terms longer than 12 months. Leases are classified as either finance or operating, with classification affecting the pattern of expense recognition in the income statement. We elected the following as practical expedients: 1) an entity need not reassess whether any expired or existing contracts are or contain leases, 2) an entity need not reassess the lease classification for any expired or existing leases, and 3) an entity need not reassess initial direct costs for any existing leases.</w:t>
      </w:r>
    </w:p>
    <w:p>
      <w:pPr>
        <w:spacing w:after="0" w:line="83" w:lineRule="exact"/>
        <w:rPr>
          <w:sz w:val="20"/>
          <w:szCs w:val="20"/>
          <w:color w:val="auto"/>
        </w:rPr>
      </w:pPr>
    </w:p>
    <w:p>
      <w:pPr>
        <w:jc w:val="both"/>
        <w:ind w:right="200" w:firstLine="509"/>
        <w:spacing w:after="0" w:line="303"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Accounting Standards Codification ("ASC") Topic 606, Revenue from Contracts with Customers (“Topic 606” or the “new revenue standard”)</w:t>
      </w:r>
    </w:p>
    <w:p>
      <w:pPr>
        <w:spacing w:after="0" w:line="14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77"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 Any adjustments are recorded on a cumulative catch-up basis, which would affect revenues and earnings in the period of adjustment.</w:t>
      </w:r>
    </w:p>
    <w:p>
      <w:pPr>
        <w:sectPr>
          <w:pgSz w:w="11900" w:h="16838" w:orient="portrait"/>
          <w:cols w:equalWidth="0" w:num="1">
            <w:col w:w="11240"/>
          </w:cols>
          <w:pgMar w:left="320" w:top="3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9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191"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8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Years Ended June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25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License agreement:</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180" w:type="dxa"/>
            <w:vAlign w:val="bottom"/>
          </w:tcPr>
          <w:p>
            <w:pPr>
              <w:ind w:left="260"/>
              <w:spacing w:after="0"/>
              <w:rPr>
                <w:sz w:val="20"/>
                <w:szCs w:val="20"/>
                <w:color w:val="auto"/>
              </w:rPr>
            </w:pPr>
            <w:r>
              <w:rPr>
                <w:rFonts w:ascii="Arial" w:cs="Arial" w:eastAsia="Arial" w:hAnsi="Arial"/>
                <w:sz w:val="18"/>
                <w:szCs w:val="18"/>
                <w:color w:val="auto"/>
              </w:rPr>
              <w:t>KKC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25,095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27,543</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2,557</w:t>
            </w:r>
          </w:p>
        </w:tc>
        <w:tc>
          <w:tcPr>
            <w:tcW w:w="80" w:type="dxa"/>
            <w:vAlign w:val="bottom"/>
          </w:tcPr>
          <w:p>
            <w:pPr>
              <w:spacing w:after="0"/>
              <w:rPr>
                <w:sz w:val="21"/>
                <w:szCs w:val="21"/>
                <w:color w:val="auto"/>
              </w:rPr>
            </w:pPr>
          </w:p>
        </w:tc>
      </w:tr>
      <w:tr>
        <w:trPr>
          <w:trHeight w:val="257"/>
        </w:trPr>
        <w:tc>
          <w:tcPr>
            <w:tcW w:w="5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Helsinn License Agreement</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25,535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28,913</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Timing of Revenue Recognition:</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180" w:type="dxa"/>
            <w:vAlign w:val="bottom"/>
          </w:tcPr>
          <w:p>
            <w:pPr>
              <w:ind w:left="260"/>
              <w:spacing w:after="0"/>
              <w:rPr>
                <w:sz w:val="20"/>
                <w:szCs w:val="20"/>
                <w:color w:val="auto"/>
              </w:rPr>
            </w:pPr>
            <w:r>
              <w:rPr>
                <w:rFonts w:ascii="Arial" w:cs="Arial" w:eastAsia="Arial" w:hAnsi="Arial"/>
                <w:sz w:val="18"/>
                <w:szCs w:val="18"/>
                <w:color w:val="auto"/>
              </w:rPr>
              <w:t>Services performed over time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25,535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4,036</w:t>
            </w:r>
          </w:p>
        </w:tc>
        <w:tc>
          <w:tcPr>
            <w:tcW w:w="80" w:type="dxa"/>
            <w:vAlign w:val="bottom"/>
          </w:tcPr>
          <w:p>
            <w:pPr>
              <w:spacing w:after="0"/>
              <w:rPr>
                <w:sz w:val="21"/>
                <w:szCs w:val="21"/>
                <w:color w:val="auto"/>
              </w:rPr>
            </w:pPr>
          </w:p>
        </w:tc>
      </w:tr>
      <w:tr>
        <w:trPr>
          <w:trHeight w:val="263"/>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transferred at a point in time</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20,988</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FF0FC"/>
          </w:tcPr>
          <w:p>
            <w:pPr>
              <w:spacing w:after="0"/>
              <w:rPr>
                <w:sz w:val="22"/>
                <w:szCs w:val="22"/>
                <w:color w:val="auto"/>
              </w:rPr>
            </w:pPr>
          </w:p>
        </w:tc>
      </w:tr>
      <w:tr>
        <w:trPr>
          <w:trHeight w:val="250"/>
        </w:trPr>
        <w:tc>
          <w:tcPr>
            <w:tcW w:w="5180" w:type="dxa"/>
            <w:vAlign w:val="bottom"/>
          </w:tcPr>
          <w:p>
            <w:pPr>
              <w:ind w:left="260"/>
              <w:spacing w:after="0"/>
              <w:rPr>
                <w:sz w:val="20"/>
                <w:szCs w:val="20"/>
                <w:color w:val="auto"/>
              </w:rPr>
            </w:pPr>
            <w:r>
              <w:rPr>
                <w:rFonts w:ascii="Arial" w:cs="Arial" w:eastAsia="Arial" w:hAnsi="Arial"/>
                <w:sz w:val="18"/>
                <w:szCs w:val="18"/>
                <w:color w:val="auto"/>
              </w:rPr>
              <w:t>Cumulative catch-up adjustment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5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28,913</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-1042035</wp:posOffset>
            </wp:positionV>
            <wp:extent cx="1111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-1042035</wp:posOffset>
            </wp:positionV>
            <wp:extent cx="939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-1042035</wp:posOffset>
            </wp:positionV>
            <wp:extent cx="514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93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93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KKC Commercialization Agreement and KKC Japan License Agreement (Note 2) included other distinct performance obligations satisfied over time, and accordingly we recognized $25.1 million, $27.5 million (inclusive of cumulative catch-up amounts), and $2.6 million related to our progress toward satisfying those obligations during the years ended June 30, 2021, 2020 and 2019, respectively.</w:t>
      </w:r>
    </w:p>
    <w:p>
      <w:pPr>
        <w:spacing w:after="0" w:line="183" w:lineRule="exact"/>
        <w:rPr>
          <w:sz w:val="20"/>
          <w:szCs w:val="20"/>
          <w:color w:val="auto"/>
        </w:rPr>
      </w:pPr>
    </w:p>
    <w:p>
      <w:pPr>
        <w:ind w:right="180" w:firstLine="509"/>
        <w:spacing w:after="0" w:line="319" w:lineRule="auto"/>
        <w:rPr>
          <w:sz w:val="20"/>
          <w:szCs w:val="20"/>
          <w:color w:val="auto"/>
        </w:rPr>
      </w:pPr>
      <w:r>
        <w:rPr>
          <w:rFonts w:ascii="Arial" w:cs="Arial" w:eastAsia="Arial" w:hAnsi="Arial"/>
          <w:sz w:val="16"/>
          <w:szCs w:val="16"/>
          <w:color w:val="auto"/>
        </w:rPr>
        <w:t>Based on the characteristics of the Helsinn License Agreement (Note 4), control of the remaining deliverables occurs and therefore we recognize revenue based on the extent of progress towards completion of the performance obligations. Accordingly, we recognized $0.4 million, $1.4 million and $2.3 million related to our progress toward satisfying those obligations during the years ended June 30, 2021, 2020 and 2019, respectively. As of June 30, 2021, our performance obligations related to the Helsinn License Agreement have been met and no future revenue or cost of revenue will be recognized.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Receivables are included in our balance sheet in “Prepaid expenses and other current assets”, and contract liabilities are included in “Deferred revenue” and “Deferred revenue long-term”. The following table presents changes in contract assets and contract liabilities accounted for under Topic 606 during the year ended June 30, 2021 and 2020 (in thousands):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Years Ended June 30,</w:t>
            </w:r>
          </w:p>
        </w:tc>
      </w:tr>
      <w:tr>
        <w:trPr>
          <w:trHeight w:val="196"/>
        </w:trPr>
        <w:tc>
          <w:tcPr>
            <w:tcW w:w="5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160" w:type="dxa"/>
            <w:vAlign w:val="bottom"/>
          </w:tcPr>
          <w:p>
            <w:pPr>
              <w:ind w:left="260"/>
              <w:spacing w:after="0"/>
              <w:rPr>
                <w:sz w:val="20"/>
                <w:szCs w:val="20"/>
                <w:color w:val="auto"/>
              </w:rPr>
            </w:pPr>
            <w:r>
              <w:rPr>
                <w:rFonts w:ascii="Arial" w:cs="Arial" w:eastAsia="Arial" w:hAnsi="Arial"/>
                <w:sz w:val="18"/>
                <w:szCs w:val="18"/>
                <w:color w:val="auto"/>
              </w:rPr>
              <w:t>Receivables,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billed</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25,682</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FF0FC"/>
          </w:tcPr>
          <w:p>
            <w:pPr>
              <w:spacing w:after="0"/>
              <w:rPr>
                <w:sz w:val="22"/>
                <w:szCs w:val="22"/>
                <w:color w:val="auto"/>
              </w:rPr>
            </w:pPr>
          </w:p>
        </w:tc>
      </w:tr>
      <w:tr>
        <w:trPr>
          <w:trHeight w:val="250"/>
        </w:trPr>
        <w:tc>
          <w:tcPr>
            <w:tcW w:w="5160" w:type="dxa"/>
            <w:vAlign w:val="bottom"/>
          </w:tcPr>
          <w:p>
            <w:pPr>
              <w:ind w:left="260"/>
              <w:spacing w:after="0"/>
              <w:rPr>
                <w:sz w:val="20"/>
                <w:szCs w:val="20"/>
                <w:color w:val="auto"/>
              </w:rPr>
            </w:pPr>
            <w:r>
              <w:rPr>
                <w:rFonts w:ascii="Arial" w:cs="Arial" w:eastAsia="Arial" w:hAnsi="Arial"/>
                <w:sz w:val="18"/>
                <w:szCs w:val="18"/>
                <w:color w:val="auto"/>
              </w:rPr>
              <w:t>Payments received</w:t>
            </w:r>
          </w:p>
        </w:tc>
        <w:tc>
          <w:tcPr>
            <w:tcW w:w="3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(25,765 )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(1,209 )</w:t>
            </w:r>
          </w:p>
        </w:tc>
      </w:tr>
      <w:tr>
        <w:trPr>
          <w:trHeight w:val="290"/>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Receivables, end of year</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assets, beginning of year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FF0FC"/>
          </w:tcPr>
          <w:p>
            <w:pPr>
              <w:spacing w:after="0"/>
              <w:rPr>
                <w:sz w:val="22"/>
                <w:szCs w:val="22"/>
                <w:color w:val="auto"/>
              </w:rPr>
            </w:pPr>
          </w:p>
        </w:tc>
      </w:tr>
      <w:tr>
        <w:trPr>
          <w:trHeight w:val="250"/>
        </w:trPr>
        <w:tc>
          <w:tcPr>
            <w:tcW w:w="5160" w:type="dxa"/>
            <w:vAlign w:val="bottom"/>
          </w:tcPr>
          <w:p>
            <w:pPr>
              <w:ind w:left="260"/>
              <w:spacing w:after="0"/>
              <w:rPr>
                <w:sz w:val="20"/>
                <w:szCs w:val="20"/>
                <w:color w:val="auto"/>
              </w:rPr>
            </w:pPr>
            <w:r>
              <w:rPr>
                <w:rFonts w:ascii="Arial" w:cs="Arial" w:eastAsia="Arial" w:hAnsi="Arial"/>
                <w:sz w:val="18"/>
                <w:szCs w:val="18"/>
                <w:color w:val="auto"/>
              </w:rPr>
              <w:t>Billable amounts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30,406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21"/>
                <w:szCs w:val="21"/>
                <w:color w:val="auto"/>
              </w:rPr>
            </w:pPr>
          </w:p>
        </w:tc>
      </w:tr>
      <w:tr>
        <w:trPr>
          <w:trHeight w:val="25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 billed</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(25,682 )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(1,292 )</w:t>
            </w:r>
          </w:p>
        </w:tc>
      </w:tr>
      <w:tr>
        <w:trPr>
          <w:trHeight w:val="250"/>
        </w:trPr>
        <w:tc>
          <w:tcPr>
            <w:tcW w:w="516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Contract assets,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80" w:type="dxa"/>
            <w:vAlign w:val="bottom"/>
            <w:tcBorders>
              <w:top w:val="single" w:sz="8" w:color="CFF0FC"/>
            </w:tcBorders>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160" w:type="dxa"/>
            <w:vAlign w:val="bottom"/>
          </w:tcPr>
          <w:p>
            <w:pPr>
              <w:ind w:left="260"/>
              <w:spacing w:after="0"/>
              <w:rPr>
                <w:sz w:val="20"/>
                <w:szCs w:val="20"/>
                <w:color w:val="auto"/>
              </w:rPr>
            </w:pPr>
            <w:r>
              <w:rPr>
                <w:rFonts w:ascii="Arial" w:cs="Arial" w:eastAsia="Arial" w:hAnsi="Arial"/>
                <w:sz w:val="18"/>
                <w:szCs w:val="18"/>
                <w:color w:val="auto"/>
              </w:rPr>
              <w:t>Contract liabilities,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17,955</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7,774</w:t>
            </w:r>
          </w:p>
        </w:tc>
        <w:tc>
          <w:tcPr>
            <w:tcW w:w="80" w:type="dxa"/>
            <w:vAlign w:val="bottom"/>
          </w:tcPr>
          <w:p>
            <w:pPr>
              <w:spacing w:after="0"/>
              <w:rPr>
                <w:sz w:val="21"/>
                <w:szCs w:val="21"/>
                <w:color w:val="auto"/>
              </w:rPr>
            </w:pPr>
          </w:p>
        </w:tc>
      </w:tr>
      <w:tr>
        <w:trPr>
          <w:trHeight w:val="257"/>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change</w:t>
            </w:r>
          </w:p>
        </w:tc>
        <w:tc>
          <w:tcPr>
            <w:tcW w:w="3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160" w:type="dxa"/>
            <w:vAlign w:val="bottom"/>
          </w:tcPr>
          <w:p>
            <w:pPr>
              <w:ind w:left="260"/>
              <w:spacing w:after="0"/>
              <w:rPr>
                <w:sz w:val="20"/>
                <w:szCs w:val="20"/>
                <w:color w:val="auto"/>
              </w:rPr>
            </w:pPr>
            <w:r>
              <w:rPr>
                <w:rFonts w:ascii="Arial" w:cs="Arial" w:eastAsia="Arial" w:hAnsi="Arial"/>
                <w:sz w:val="18"/>
                <w:szCs w:val="18"/>
                <w:color w:val="auto"/>
              </w:rPr>
              <w:t>Contract liabilities, 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22,781</w:t>
            </w:r>
          </w:p>
        </w:tc>
        <w:tc>
          <w:tcPr>
            <w:tcW w:w="2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17,955</w:t>
            </w:r>
          </w:p>
        </w:tc>
        <w:tc>
          <w:tcPr>
            <w:tcW w:w="8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-1559560</wp:posOffset>
            </wp:positionV>
            <wp:extent cx="1289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-1542415</wp:posOffset>
            </wp:positionV>
            <wp:extent cx="1289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-1559560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-1542415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-879475</wp:posOffset>
            </wp:positionV>
            <wp:extent cx="1289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-879475</wp:posOffset>
            </wp:positionV>
            <wp:extent cx="514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-193675</wp:posOffset>
            </wp:positionV>
            <wp:extent cx="1289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Balance Sheet relate to the KKC Commercialization Agreement, the KKC Japan License Agreement and Helsinn License Agreement.</w:t>
      </w:r>
    </w:p>
    <w:p>
      <w:pPr>
        <w:spacing w:after="0" w:line="52" w:lineRule="exact"/>
        <w:rPr>
          <w:sz w:val="20"/>
          <w:szCs w:val="20"/>
          <w:color w:val="auto"/>
        </w:rPr>
      </w:pPr>
    </w:p>
    <w:p>
      <w:pPr>
        <w:ind w:right="100" w:firstLine="509"/>
        <w:spacing w:after="0" w:line="329" w:lineRule="auto"/>
        <w:rPr>
          <w:sz w:val="20"/>
          <w:szCs w:val="20"/>
          <w:color w:val="auto"/>
        </w:rPr>
      </w:pPr>
      <w:r>
        <w:rPr>
          <w:rFonts w:ascii="Arial" w:cs="Arial" w:eastAsia="Arial" w:hAnsi="Arial"/>
          <w:sz w:val="16"/>
          <w:szCs w:val="16"/>
          <w:color w:val="auto"/>
        </w:rPr>
        <w:t>As of June 30, 2021, we had $7.6 million of contract assets related to our remaining performance obligations under the KKC Commercialization Agreement and no contract assets related to the Helsinn License Agreement, as the remaining performance obligations have been completed. Our contract assets are comprised of amounts that are billable based on the contractual provisions of the license agreement but not yet billed.</w:t>
      </w:r>
    </w:p>
    <w:p>
      <w:pPr>
        <w:spacing w:after="0" w:line="40" w:lineRule="exact"/>
        <w:rPr>
          <w:sz w:val="20"/>
          <w:szCs w:val="20"/>
          <w:color w:val="auto"/>
        </w:rPr>
      </w:pPr>
    </w:p>
    <w:p>
      <w:pPr>
        <w:ind w:right="60" w:firstLine="509"/>
        <w:spacing w:after="0" w:line="303" w:lineRule="auto"/>
        <w:rPr>
          <w:sz w:val="20"/>
          <w:szCs w:val="20"/>
          <w:color w:val="auto"/>
        </w:rPr>
      </w:pPr>
      <w:r>
        <w:rPr>
          <w:rFonts w:ascii="Arial" w:cs="Arial" w:eastAsia="Arial" w:hAnsi="Arial"/>
          <w:sz w:val="17"/>
          <w:szCs w:val="17"/>
          <w:color w:val="auto"/>
        </w:rPr>
        <w:t>As of June 30, 2021, we had $87.3 million of deferred revenue associated with the KKC Commercialization Agreement, of which $64.5 million relates to the U.S. license which is a unit of account under the scope of Topic 808 and is not a deliverable under Topic 606, and $22.8 million relates to the Ex-U.S. License and development services performance obligations which are under the scope of Topic 606.</w:t>
      </w:r>
    </w:p>
    <w:p>
      <w:pPr>
        <w:spacing w:after="0" w:line="5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research and development performance obligations as well as additional cost reimbursements in excess of revenue recognized. Contract liabilities are expected to be recognized over the duration of the performance obligations based on the costs incurred relative to total expected costs. Our contract liabilities may fluctuate due to changes in the total estimated cost of the performance obligations and our expected reimbursement of those costs. For the year ended June 30, 2021, we recognized revenue of $13.2 million that was included in the contract liabilities balance at June 30, 2020 related to performance obligations under ASC 606.</w:t>
      </w:r>
    </w:p>
    <w:p>
      <w:pPr>
        <w:spacing w:after="0" w:line="83"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For the year ended June 30, 2020, we recognized revenue of $7.5 million and $0.3 million, respectively, that was included in the contract liabilities balance at June 30, 2019 related to performance obligations under ASC 606. To date we have not recognized any amounts related to units of account under Topic 808.</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earn revenue in connection with collaboration agreements, which are detailed in Note 2, KKC Agreements, and Note 3, BeiGene Collaboration.</w:t>
      </w:r>
    </w:p>
    <w:p>
      <w:pPr>
        <w:spacing w:after="0" w:line="154"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 xml:space="preserve">At contract inception, we assess whether the collaboration arrangements are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w:t>
      </w:r>
    </w:p>
    <w:p>
      <w:pPr>
        <w:sectPr>
          <w:pgSz w:w="11900" w:h="16838" w:orient="portrait"/>
          <w:cols w:equalWidth="0" w:num="1">
            <w:col w:w="11200"/>
          </w:cols>
          <w:pgMar w:left="320" w:top="364" w:right="379" w:bottom="1440" w:gutter="0" w:footer="0" w:header="0"/>
        </w:sectPr>
      </w:pP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balance sheets, classified as either short-term or long-term deferred revenue based on our best estimate of when such amounts will be recognized.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3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Cost of revenue primarily includes external costs paid to third-party contractors to perform research, conduct clinical trials and develop and manufacture drug materials, and internal compensation and related personnel expenses to support our research and development performance obligations associated with the Helsinn License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Share-based compensation expense for employees and directors is recognized in the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Dividend Income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on cash balances is recognized when earned. Dividend income is recognized when the right to receive the payment is established.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2021 and 2020,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4"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FASB Topic on Income Taxes prescribes a recognition threshold and measurement attribute criteria for the financial statement recognition and measurement of tax positions taken or expected to be taken in a tax return. For those benefits to be recognized, a tax position must be more-likely-than-not to be sustained upon examination by taxing authorities. An uncertain income tax position will not be recognized if it has less than a 50% likelihood of being sustained. There were no unrecognized tax benefits as of June 30, 2021 and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3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years ended June 30, 2021, 2020 and 2019. Our potentially dilutive shares, which include outstanding stock options, restricted stock units, and warrants, are considered to be common stock equivalents and are only included in the calculation of diluted net loss per share when their effect</w:t>
      </w:r>
    </w:p>
    <w:p>
      <w:pPr>
        <w:sectPr>
          <w:pgSz w:w="11900" w:h="16838" w:orient="portrait"/>
          <w:cols w:equalWidth="0" w:num="1">
            <w:col w:w="11200"/>
          </w:cols>
          <w:pgMar w:left="320" w:top="364" w:right="379" w:bottom="1440" w:gutter="0" w:footer="0" w:header="0"/>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is dilutive. The assessment of dilution is made on a quarterly basis and therefore the annual determination of diluted net loss per share only includes those quarters in which the potential common stock equivalents were determined to be dilutive.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net loss used to calculate basic and diluted loss per share (in thousands):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1"/>
              </w:rPr>
              <w:t>Years Ended June 30,</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(50,575 )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(46,016 )</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center"/>
              <w:ind w:left="295"/>
              <w:spacing w:after="0"/>
              <w:rPr>
                <w:sz w:val="20"/>
                <w:szCs w:val="20"/>
                <w:color w:val="auto"/>
              </w:rPr>
            </w:pPr>
            <w:r>
              <w:rPr>
                <w:rFonts w:ascii="Arial" w:cs="Arial" w:eastAsia="Arial" w:hAnsi="Arial"/>
                <w:sz w:val="18"/>
                <w:szCs w:val="18"/>
                <w:color w:val="auto"/>
                <w:w w:val="88"/>
              </w:rPr>
              <w:t>(16,819 )</w:t>
            </w: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(27,394 )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center"/>
              <w:ind w:left="295"/>
              <w:spacing w:after="0"/>
              <w:rPr>
                <w:sz w:val="20"/>
                <w:szCs w:val="20"/>
                <w:color w:val="auto"/>
              </w:rPr>
            </w:pPr>
            <w:r>
              <w:rPr>
                <w:rFonts w:ascii="Arial" w:cs="Arial" w:eastAsia="Arial" w:hAnsi="Arial"/>
                <w:sz w:val="18"/>
                <w:szCs w:val="18"/>
                <w:color w:val="auto"/>
                <w:w w:val="88"/>
              </w:rPr>
              <w:t>(37,794 )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(77,969 )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(46,016 )</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center"/>
              <w:ind w:left="295"/>
              <w:spacing w:after="0"/>
              <w:rPr>
                <w:sz w:val="20"/>
                <w:szCs w:val="20"/>
                <w:color w:val="auto"/>
              </w:rPr>
            </w:pPr>
            <w:r>
              <w:rPr>
                <w:rFonts w:ascii="Arial" w:cs="Arial" w:eastAsia="Arial" w:hAnsi="Arial"/>
                <w:sz w:val="18"/>
                <w:szCs w:val="18"/>
                <w:color w:val="auto"/>
                <w:w w:val="88"/>
              </w:rPr>
              <w:t>(54,613 )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920" w:type="dxa"/>
            <w:vAlign w:val="bottom"/>
            <w:gridSpan w:val="6"/>
          </w:tcPr>
          <w:p>
            <w:pPr>
              <w:jc w:val="right"/>
              <w:ind w:right="680"/>
              <w:spacing w:after="0"/>
              <w:rPr>
                <w:sz w:val="20"/>
                <w:szCs w:val="20"/>
                <w:color w:val="auto"/>
              </w:rPr>
            </w:pPr>
            <w:r>
              <w:rPr>
                <w:rFonts w:ascii="Arial" w:cs="Arial" w:eastAsia="Arial" w:hAnsi="Arial"/>
                <w:sz w:val="18"/>
                <w:szCs w:val="18"/>
                <w:color w:val="auto"/>
                <w:w w:val="89"/>
              </w:rPr>
              <w:t>Shares used in calculating net loss per share was determined as follows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Years Ended 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shares used in calculating net loss per share</w:t>
            </w:r>
          </w:p>
        </w:tc>
        <w:tc>
          <w:tcPr>
            <w:tcW w:w="260" w:type="dxa"/>
            <w:vAlign w:val="bottom"/>
            <w:shd w:val="clear" w:color="auto" w:fill="CFF0FC"/>
          </w:tcPr>
          <w:p>
            <w:pPr>
              <w:spacing w:after="0"/>
              <w:rPr>
                <w:sz w:val="22"/>
                <w:szCs w:val="22"/>
                <w:color w:val="auto"/>
              </w:rPr>
            </w:pPr>
          </w:p>
        </w:tc>
        <w:tc>
          <w:tcPr>
            <w:tcW w:w="122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112,527</w:t>
            </w:r>
          </w:p>
        </w:tc>
        <w:tc>
          <w:tcPr>
            <w:tcW w:w="122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91,080</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center"/>
              <w:ind w:left="375"/>
              <w:spacing w:after="0"/>
              <w:rPr>
                <w:sz w:val="20"/>
                <w:szCs w:val="20"/>
                <w:color w:val="auto"/>
              </w:rPr>
            </w:pPr>
            <w:r>
              <w:rPr>
                <w:rFonts w:ascii="Arial" w:cs="Arial" w:eastAsia="Arial" w:hAnsi="Arial"/>
                <w:sz w:val="18"/>
                <w:szCs w:val="18"/>
                <w:color w:val="auto"/>
                <w:w w:val="90"/>
              </w:rPr>
              <w:t>71,139</w:t>
            </w:r>
          </w:p>
        </w:tc>
        <w:tc>
          <w:tcPr>
            <w:tcW w:w="100" w:type="dxa"/>
            <w:vAlign w:val="bottom"/>
            <w:tcBorders>
              <w:left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3"/>
              </w:rPr>
              <w:t>Effect of potentially dilutive common shares from equity awards and</w:t>
            </w:r>
          </w:p>
        </w:tc>
        <w:tc>
          <w:tcPr>
            <w:tcW w:w="260" w:type="dxa"/>
            <w:vAlign w:val="bottom"/>
          </w:tcPr>
          <w:p>
            <w:pPr>
              <w:spacing w:after="0"/>
              <w:rPr>
                <w:sz w:val="21"/>
                <w:szCs w:val="21"/>
                <w:color w:val="auto"/>
              </w:rPr>
            </w:pPr>
          </w:p>
        </w:tc>
        <w:tc>
          <w:tcPr>
            <w:tcW w:w="240" w:type="dxa"/>
            <w:vAlign w:val="bottom"/>
            <w:vMerge w:val="restart"/>
          </w:tcPr>
          <w:p>
            <w:pPr>
              <w:spacing w:after="0"/>
              <w:rPr>
                <w:sz w:val="21"/>
                <w:szCs w:val="21"/>
                <w:color w:val="auto"/>
              </w:rPr>
            </w:pPr>
          </w:p>
        </w:tc>
        <w:tc>
          <w:tcPr>
            <w:tcW w:w="9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21"/>
                <w:szCs w:val="21"/>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liability-classified warrants</w:t>
            </w:r>
          </w:p>
        </w:tc>
        <w:tc>
          <w:tcPr>
            <w:tcW w:w="2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80" w:type="dxa"/>
            <w:vAlign w:val="bottom"/>
            <w:tcBorders>
              <w:bottom w:val="single" w:sz="8" w:color="auto"/>
            </w:tcBorders>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0" w:type="dxa"/>
            <w:vAlign w:val="bottom"/>
          </w:tcPr>
          <w:p>
            <w:pPr>
              <w:spacing w:after="0"/>
              <w:rPr>
                <w:sz w:val="24"/>
                <w:szCs w:val="24"/>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Weighted average shares used in calculating diluted loss per share</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114,481</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91,080</w:t>
            </w:r>
          </w:p>
        </w:tc>
        <w:tc>
          <w:tcPr>
            <w:tcW w:w="1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center"/>
              <w:ind w:left="375"/>
              <w:spacing w:after="0"/>
              <w:rPr>
                <w:sz w:val="20"/>
                <w:szCs w:val="20"/>
                <w:color w:val="auto"/>
              </w:rPr>
            </w:pPr>
            <w:r>
              <w:rPr>
                <w:rFonts w:ascii="Arial" w:cs="Arial" w:eastAsia="Arial" w:hAnsi="Arial"/>
                <w:sz w:val="18"/>
                <w:szCs w:val="18"/>
                <w:color w:val="auto"/>
                <w:w w:val="90"/>
              </w:rPr>
              <w:t>72,385</w:t>
            </w:r>
          </w:p>
        </w:tc>
        <w:tc>
          <w:tcPr>
            <w:tcW w:w="100" w:type="dxa"/>
            <w:vAlign w:val="bottom"/>
            <w:tcBorders>
              <w:left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-1414145</wp:posOffset>
            </wp:positionV>
            <wp:extent cx="128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-1396365</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-1414145</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-1396365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-1414145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-1396365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1289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1289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111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shares (in thousands) have been excluded from the calculation of net loss per share because of their anti-dilutive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Years Ended June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8,057</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r>
      <w:tr>
        <w:trPr>
          <w:trHeight w:val="25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16,062</w:t>
            </w:r>
          </w:p>
        </w:tc>
        <w:tc>
          <w:tcPr>
            <w:tcW w:w="1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Total anti-dilutive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20,329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27,092</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16,151</w:t>
            </w:r>
          </w:p>
        </w:tc>
        <w:tc>
          <w:tcPr>
            <w:tcW w:w="8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-193675</wp:posOffset>
            </wp:positionV>
            <wp:extent cx="1200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-193675</wp:posOffset>
            </wp:positionV>
            <wp:extent cx="10287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 Pronouncements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June 2016, the FASB issued Accounting Standards Update (“ASU”) 2016-13, “Financial Instruments—Credit Losses (Topic 326): Measurement of Credit Losses on Financial Instruments” (“ASU 2016-13”), as amended. The amendments in ASU 2016-13 require, among other things, financial assets measured at amortized cost basis to be presented at the net amount expected to be collected as compared to previous GAAP which delayed recognition until it was probable a loss had been incurred. The amendments in this standard are effective for fiscal years beginning after December 15, 2022, including interim periods within those fiscal years, with early adoption permitted. We are currently evaluating impact that adoption of this standard will have on its financial statements and related disclosures.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KKC Agreements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In April 2020, we entered into the License, Development and Commercialization Agreement (the “KKC Commercialization Agreement”) with Kyowa Kirin Company (“KKC”).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 million in May 2020. Of the $100 million paid by KKC, $20.4 million was remitted by KKC to the Japanese taxing authorities as a result of the U.S. Internal Revenue Service being closed due to the COVID pandemic, and therefore being unable to provide necessary documentation to support an exemption from the required foreign withholding. We received the amount remitted to the Japanese taxing authorities in October 2020. Additionally, we may earn up to approximately $582.5 million in potential development, regulatory and commercialization milestone payments, plus royalties on net sales of zandelisib in the Ex-U.S., which are tiered beginning in the teens.</w:t>
      </w:r>
    </w:p>
    <w:p>
      <w:pPr>
        <w:sectPr>
          <w:pgSz w:w="11900" w:h="16838" w:orient="portrait"/>
          <w:cols w:equalWidth="0" w:num="1">
            <w:col w:w="11240"/>
          </w:cols>
          <w:pgMar w:left="320" w:top="364"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83"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6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determined, at the time of our initial assessment, that the total transaction price of $191.5 million is comprised of the upfront payment of $100.0 million, expected milestone payments of $20.0 million, estimated development cost-sharing of $66.3 million, and deferred revenue of $5.2 million from the KKC Japan License Agreement (as defined below). During the year ended June 30, 2021, we updated our estimate of variable consideration related to development cost sharing from $66.3 million to $100.3 million. We increased our estimate primarily as a result of the removal of constraints on transaction price under ASC 606 as a result of higher probability that certain development projects will be undertaken in the future, as well as, to a lesser extent, further visibility into total expected costs for these development estimates.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70" w:lineRule="exact"/>
        <w:rPr>
          <w:sz w:val="20"/>
          <w:szCs w:val="20"/>
          <w:color w:val="auto"/>
        </w:rPr>
      </w:pPr>
    </w:p>
    <w:p>
      <w:pPr>
        <w:ind w:right="200" w:firstLine="509"/>
        <w:spacing w:after="0" w:line="292"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6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June 30, 2021 and 2020, we recorded deferred revenue of $22.8 million and $17.9 million, respectively, for the transaction price allocated to the Development Services performance obligations and are recognizing this revenue based on the proportional performance of these development activities, which we expect to recognize through fiscal year 2026.</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Japan License Agreement</w:t>
      </w:r>
    </w:p>
    <w:p>
      <w:pPr>
        <w:spacing w:after="0" w:line="131"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In October 2018, we, as licensor, entered into a license agreement with KKC for zandelisib (“the KKC Japan License Agreement”). Under the terms of the KKC Japan License Agreement, KKC was granted the exclusive right to develop and commercialize zandelisib in Japan. We also granted KKC the right to purchase supply of zandelisib for commercial requirements at cost plus a pre-negotiated percentage, as well as manufacturing rights in Japan. In return, we received an upfront payment of $10.0 million and were eligible to receive additional development and commercialization milestone payments, as well as royalties on net sales of zandelisib in Japan. In April 2020, we and KKC agreed to terminate the KKC Japan License Agreement. The KKC Japan License Agreement was replaced with the KKC Commercialization Agreement. Pursuant to the terms of the KKC Commercialization Agreement, we agreed to collaborate with KKC on the development, manufacturing and commercialization of zandelisib in Japan.</w:t>
      </w:r>
    </w:p>
    <w:p>
      <w:pPr>
        <w:spacing w:after="0" w:line="56" w:lineRule="exact"/>
        <w:rPr>
          <w:sz w:val="20"/>
          <w:szCs w:val="20"/>
          <w:color w:val="auto"/>
        </w:rPr>
      </w:pPr>
    </w:p>
    <w:p>
      <w:pPr>
        <w:jc w:val="both"/>
        <w:ind w:right="500" w:firstLine="509"/>
        <w:spacing w:after="0" w:line="279" w:lineRule="auto"/>
        <w:rPr>
          <w:sz w:val="20"/>
          <w:szCs w:val="20"/>
          <w:color w:val="auto"/>
        </w:rPr>
      </w:pPr>
      <w:r>
        <w:rPr>
          <w:rFonts w:ascii="Arial" w:cs="Arial" w:eastAsia="Arial" w:hAnsi="Arial"/>
          <w:sz w:val="18"/>
          <w:szCs w:val="18"/>
          <w:color w:val="auto"/>
        </w:rPr>
        <w:t>We assessed the KKC Japan License Agreement in accordance with ASC 606 and determined that our performance obligations comprised the license, research and development obligations, and our obligation to provide clinical trial materials to KKC. We determined that the transaction price amounted to the upfront payment of $10.0 million.</w:t>
      </w:r>
    </w:p>
    <w:p>
      <w:pPr>
        <w:spacing w:after="0" w:line="75" w:lineRule="exact"/>
        <w:rPr>
          <w:sz w:val="20"/>
          <w:szCs w:val="20"/>
          <w:color w:val="auto"/>
        </w:rPr>
      </w:pPr>
    </w:p>
    <w:p>
      <w:pPr>
        <w:ind w:right="540" w:firstLine="509"/>
        <w:spacing w:after="0" w:line="279" w:lineRule="auto"/>
        <w:rPr>
          <w:sz w:val="20"/>
          <w:szCs w:val="20"/>
          <w:color w:val="auto"/>
        </w:rPr>
      </w:pPr>
      <w:r>
        <w:rPr>
          <w:rFonts w:ascii="Arial" w:cs="Arial" w:eastAsia="Arial" w:hAnsi="Arial"/>
          <w:sz w:val="18"/>
          <w:szCs w:val="18"/>
          <w:color w:val="auto"/>
        </w:rPr>
        <w:t>We determined that control of the license was transferred to KKC during the year ended June 30, 2019. Revenue allocated to the research and development obligations was recognized based on the proportional performance of these research and development activities. Revenue allocated to providing clinical trial materials was recognized upon delivery.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BeiGene Collaboration</w:t>
      </w:r>
    </w:p>
    <w:p>
      <w:pPr>
        <w:spacing w:after="0" w:line="135" w:lineRule="exact"/>
        <w:rPr>
          <w:sz w:val="20"/>
          <w:szCs w:val="20"/>
          <w:color w:val="auto"/>
        </w:rPr>
      </w:pPr>
    </w:p>
    <w:p>
      <w:pPr>
        <w:ind w:right="620" w:firstLine="509"/>
        <w:spacing w:after="0" w:line="359" w:lineRule="auto"/>
        <w:rPr>
          <w:sz w:val="20"/>
          <w:szCs w:val="20"/>
          <w:color w:val="auto"/>
        </w:rPr>
      </w:pPr>
      <w:r>
        <w:rPr>
          <w:rFonts w:ascii="Arial" w:cs="Arial" w:eastAsia="Arial" w:hAnsi="Arial"/>
          <w:sz w:val="16"/>
          <w:szCs w:val="16"/>
          <w:color w:val="auto"/>
        </w:rPr>
        <w:t>In October 2018, we entered into a clinical collaboration with BeiGene, Ltd. (“BeiGene”) to evaluate the safety and efficacy of zandelisib in combination with BeiGene’s zanubrutinib (marketed as Brukinsa), an investigational inhibitor of Bruton’s tyrosine kinase (“BTK”), for the</w:t>
      </w:r>
    </w:p>
    <w:p>
      <w:pPr>
        <w:sectPr>
          <w:pgSz w:w="11900" w:h="16838" w:orient="portrait"/>
          <w:cols w:equalWidth="0" w:num="1">
            <w:col w:w="11240"/>
          </w:cols>
          <w:pgMar w:left="320" w:top="364" w:right="33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License Agreements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Helsinn License Agreement</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Under the terms of the agreement, Helsinn was granted a worldwide exclusive license to develop, manufacture and commercialize pracinostat, and is primarily responsible for funding its global development and commercialization. As compensation for such grant of rights, we received payments of $20.0 million.</w:t>
      </w:r>
    </w:p>
    <w:p>
      <w:pPr>
        <w:spacing w:after="0" w:line="83"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We determined that the agreement contains multiple performance obligations for purposes of revenue recognition. Revenue related to the research and development elements of the arrangement is recognized based on the extent of progress toward completion of each performance obligation. Revenue is recognized on a gross basis as we are the primary obligor and have discretion in supplier selection. During the year ended June 30, 2021, our only remaining performance obligation under the agreement was the conduct of a Phase 2 dose-optimization study of pracinostat in combination with azacitidine in patients with high and very high risk MDS who are previously untreated with hypomethylating agents (the “POC study”), for which Helsinn has agreed to share third-party expenses. As of June 30, 2021, our performance obligations related to the Helsinn License Agreement have been met, and no future revenue or costs of revenue will be recognized.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31"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color w:val="auto"/>
        </w:rPr>
        <w:t>In September 2017, we, as licensee, entered into a license agreement with Presage Biosciences, Inc. (“Presage”). Under the terms of the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136"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S*Bio Patents—Gross</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22"/>
                <w:szCs w:val="22"/>
                <w:color w:val="auto"/>
              </w:rPr>
            </w:pPr>
          </w:p>
        </w:tc>
      </w:tr>
      <w:tr>
        <w:trPr>
          <w:trHeight w:val="250"/>
        </w:trPr>
        <w:tc>
          <w:tcPr>
            <w:tcW w:w="44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10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(273 )</w:t>
            </w:r>
          </w:p>
        </w:tc>
        <w:tc>
          <w:tcPr>
            <w:tcW w:w="3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(273 )</w:t>
            </w:r>
          </w:p>
        </w:tc>
      </w:tr>
      <w:tr>
        <w:trPr>
          <w:trHeight w:val="290"/>
        </w:trPr>
        <w:tc>
          <w:tcPr>
            <w:tcW w:w="44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1631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1631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Amortization expense of intangible assets for the years ended June 30, 2021, 2020 and 2019 was zero, $34,000, and $35,000, respectively. As a result of Helsinn discontinuing the Phase 3 study of pracinostat in AML, during the year ended June 30, 2020, we assessed the estimated future cash flows associated with the patents acquired from S*Bio and recorded an impairment charge of $0.2 million to write off the remaining book value of the intangible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21"/>
                <w:szCs w:val="21"/>
                <w:color w:val="auto"/>
              </w:rPr>
            </w:pPr>
          </w:p>
        </w:tc>
      </w:tr>
      <w:tr>
        <w:trPr>
          <w:trHeight w:val="256"/>
        </w:trPr>
        <w:tc>
          <w:tcPr>
            <w:tcW w:w="5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(330 )</w:t>
            </w:r>
          </w:p>
        </w:tc>
        <w:tc>
          <w:tcPr>
            <w:tcW w:w="3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r>
      <w:tr>
        <w:trPr>
          <w:trHeight w:val="290"/>
        </w:trPr>
        <w:tc>
          <w:tcPr>
            <w:tcW w:w="52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840" w:firstLine="509"/>
        <w:spacing w:after="0" w:line="293" w:lineRule="auto"/>
        <w:rPr>
          <w:sz w:val="20"/>
          <w:szCs w:val="20"/>
          <w:color w:val="auto"/>
        </w:rPr>
      </w:pPr>
      <w:r>
        <w:rPr>
          <w:rFonts w:ascii="Arial" w:cs="Arial" w:eastAsia="Arial" w:hAnsi="Arial"/>
          <w:sz w:val="18"/>
          <w:szCs w:val="18"/>
          <w:color w:val="auto"/>
        </w:rPr>
        <w:t>Depreciation expense of property and equipment for the years ended June 30, 2021, 2020 and 2019 was $285,000, $75,000, and $45,000,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Liabilities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Accrued pre-clinical and clinical trial expenses</w:t>
            </w: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4,004</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3,410</w:t>
            </w:r>
          </w:p>
        </w:tc>
        <w:tc>
          <w:tcPr>
            <w:tcW w:w="80" w:type="dxa"/>
            <w:vAlign w:val="bottom"/>
          </w:tcPr>
          <w:p>
            <w:pPr>
              <w:spacing w:after="0"/>
              <w:rPr>
                <w:sz w:val="21"/>
                <w:szCs w:val="21"/>
                <w:color w:val="auto"/>
              </w:rPr>
            </w:pPr>
          </w:p>
        </w:tc>
      </w:tr>
      <w:tr>
        <w:trPr>
          <w:trHeight w:val="26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and professional services expenses</w:t>
            </w: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r>
      <w:tr>
        <w:trPr>
          <w:trHeight w:val="290"/>
        </w:trPr>
        <w:tc>
          <w:tcPr>
            <w:tcW w:w="52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accrued liabilities</w:t>
            </w:r>
          </w:p>
        </w:tc>
        <w:tc>
          <w:tcPr>
            <w:tcW w:w="76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8,402</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93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939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June 30, 2021, there is $175.7 million aggregate value of securities available under the shelf registration statement, including up to $60.0 million remaining available under the 2020 ATM Sales Agreement described below.</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31"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On November 10, 2020, we entered into an At-The-Market Equity Offering Sales Agreement (the “2020 ATM Sales Agreement”), pursuant to which we may sell an aggregate of up to $60.0 million of our common stock pursuant to the shelf registration statement. We had previously entered into an At-The-Market Equity Offering Sales Agreement in November 2017 (the “2017 ATM Sales Agreement”), pursuant to which we could sell an aggregate of up to $30.0 million of our common stock pursuant to the shelf registration statement. The 2017 ATM Sales Agreement expired on November 8, 2020. During the year ended June 30, 2021, we sold 958,083 shares under the 2017 ATM Sales Agreement for net proceeds of $3.1 million, after costs of $0.1 million. As of June 30, 2021, there is $60.0 million remaining available under the 2020 ATM Sales Agreement.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Registered Offering</w:t>
      </w:r>
    </w:p>
    <w:p>
      <w:pPr>
        <w:spacing w:after="0" w:line="131" w:lineRule="exact"/>
        <w:rPr>
          <w:sz w:val="20"/>
          <w:szCs w:val="20"/>
          <w:color w:val="auto"/>
        </w:rPr>
      </w:pPr>
    </w:p>
    <w:p>
      <w:pPr>
        <w:ind w:right="400" w:firstLine="509"/>
        <w:spacing w:after="0" w:line="303" w:lineRule="auto"/>
        <w:rPr>
          <w:sz w:val="20"/>
          <w:szCs w:val="20"/>
          <w:color w:val="auto"/>
        </w:rPr>
      </w:pPr>
      <w:r>
        <w:rPr>
          <w:rFonts w:ascii="Arial" w:cs="Arial" w:eastAsia="Arial" w:hAnsi="Arial"/>
          <w:sz w:val="17"/>
          <w:szCs w:val="17"/>
          <w:color w:val="auto"/>
        </w:rPr>
        <w:t>In December 2019, we completed an underwritten registered offering of 32,343,750 shares of common stock at a price per share of $1.60. We received net cash proceeds of $48.5 million associated with the offering, after costs of $3.3 million. During the year ended June 30, 2020, we also sold 5,471,684 shares under the 2017 ATM Sales Agreement for net proceeds of $20.7 million, after costs of $0.4 million.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31" w:lineRule="exact"/>
        <w:rPr>
          <w:sz w:val="20"/>
          <w:szCs w:val="20"/>
          <w:color w:val="auto"/>
        </w:rPr>
      </w:pPr>
    </w:p>
    <w:p>
      <w:pPr>
        <w:jc w:val="both"/>
        <w:ind w:right="160" w:firstLine="509"/>
        <w:spacing w:after="0" w:line="303" w:lineRule="auto"/>
        <w:rPr>
          <w:sz w:val="20"/>
          <w:szCs w:val="20"/>
          <w:color w:val="auto"/>
        </w:rPr>
      </w:pPr>
      <w:r>
        <w:rPr>
          <w:rFonts w:ascii="Arial" w:cs="Arial" w:eastAsia="Arial" w:hAnsi="Arial"/>
          <w:sz w:val="17"/>
          <w:szCs w:val="17"/>
          <w:color w:val="auto"/>
        </w:rPr>
        <w:t>As of June 30, 2021,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w:t>
      </w:r>
    </w:p>
    <w:p>
      <w:pPr>
        <w:sectPr>
          <w:pgSz w:w="11900" w:h="16838" w:orient="portrait"/>
          <w:cols w:equalWidth="0" w:num="1">
            <w:col w:w="11240"/>
          </w:cols>
          <w:pgMar w:left="320" w:top="418" w:right="339" w:bottom="817"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817"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reported as a liability in the Balance Sheet. Therefore, we are required to account for the warrants as liabilities and record them at fair value. The warrants were revalued as of June 30, 2021 at $22.4 million and as of June 30, 2020 at $40.5 million; the changes in fair value were recorded in our Statement of Operations. During the year ended June 30, 2021, a warrant holder completed a cashless exercise of 2,617 warrants for 964 shares of common stock. No warrants were exercised during the year ended June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Our total authorized share capital is 226,100,000 shares consisting of 226,000,000 shares of common stock, $0.00000002 par value per share, and 100,000 shares of preferred stock, $0.01 par value per share.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w:t>
      </w:r>
    </w:p>
    <w:p>
      <w:pPr>
        <w:spacing w:after="0" w:line="131"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Preferred Stock</w:t>
      </w:r>
    </w:p>
    <w:p>
      <w:pPr>
        <w:spacing w:after="0" w:line="131"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Our Board of Directors has the authority to issue up to 100,000 shares of preferred stock with par value of $.01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June 30, 2021 or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35"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29,014,794 shares of common stock are authorized for issuance. The Omnibus Plan provides for the grant of options and/or other stock-based or stock-denominated awards to our non-employee directors, officers, employees and advisors. As of June 30, 2021, there were 10,472,864 shares available for future grant under the Omnibus Plan.</w:t>
      </w:r>
    </w:p>
    <w:p>
      <w:pPr>
        <w:spacing w:after="0" w:line="66"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June 30, 2021, there were 2,331,000 shares available for future grant under the Inducement Plan.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256"/>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1"/>
                <w:szCs w:val="21"/>
                <w:color w:val="auto"/>
              </w:rPr>
            </w:pPr>
          </w:p>
        </w:tc>
      </w:tr>
      <w:tr>
        <w:trPr>
          <w:trHeight w:val="290"/>
        </w:trPr>
        <w:tc>
          <w:tcPr>
            <w:tcW w:w="59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share-based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10,245</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6,801</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1289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289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1111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1111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31"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w:t>
      </w:r>
    </w:p>
    <w:p>
      <w:pPr>
        <w:sectPr>
          <w:pgSz w:w="11900" w:h="16838" w:orient="portrait"/>
          <w:cols w:equalWidth="0" w:num="1">
            <w:col w:w="11200"/>
          </w:cols>
          <w:pgMar w:left="320" w:top="364" w:right="379" w:bottom="1440" w:gutter="0" w:footer="0" w:header="0"/>
        </w:sectPr>
      </w:pP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of grant and expire ten years from the date of grant. As of June 30, 2021, there were a total of 16,668,542 options outstanding. Of the total outstanding options, 16,499,542 were granted under the Omnibus Plan and 169,000 were granted under the Inducement Plan.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our stock option activity and related data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45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Weighted-Average</w:t>
            </w:r>
          </w:p>
        </w:tc>
        <w:tc>
          <w:tcPr>
            <w:tcW w:w="2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39"/>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5"/>
                <w:szCs w:val="15"/>
                <w:color w:val="auto"/>
              </w:rPr>
            </w:pPr>
          </w:p>
        </w:tc>
      </w:tr>
      <w:tr>
        <w:trPr>
          <w:trHeight w:val="192"/>
        </w:trPr>
        <w:tc>
          <w:tcPr>
            <w:tcW w:w="456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Exercise Price</w:t>
            </w:r>
          </w:p>
        </w:tc>
        <w:tc>
          <w:tcPr>
            <w:tcW w:w="24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Intrinsic Value</w:t>
            </w:r>
          </w:p>
        </w:tc>
        <w:tc>
          <w:tcPr>
            <w:tcW w:w="120" w:type="dxa"/>
            <w:vAlign w:val="bottom"/>
          </w:tcPr>
          <w:p>
            <w:pPr>
              <w:spacing w:after="0"/>
              <w:rPr>
                <w:sz w:val="16"/>
                <w:szCs w:val="16"/>
                <w:color w:val="auto"/>
              </w:rPr>
            </w:pPr>
          </w:p>
        </w:tc>
      </w:tr>
      <w:tr>
        <w:trPr>
          <w:trHeight w:val="25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11,252,976</w:t>
            </w:r>
          </w:p>
        </w:tc>
        <w:tc>
          <w:tcPr>
            <w:tcW w:w="2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FF0FC"/>
          </w:tcPr>
          <w:p>
            <w:pPr>
              <w:spacing w:after="0"/>
              <w:rPr>
                <w:sz w:val="22"/>
                <w:szCs w:val="22"/>
                <w:color w:val="auto"/>
              </w:rPr>
            </w:pPr>
          </w:p>
        </w:tc>
        <w:tc>
          <w:tcPr>
            <w:tcW w:w="1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5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6,201,300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(141,907 )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FF0FC"/>
          </w:tcPr>
          <w:p>
            <w:pPr>
              <w:spacing w:after="0"/>
              <w:rPr>
                <w:sz w:val="22"/>
                <w:szCs w:val="22"/>
                <w:color w:val="auto"/>
              </w:rPr>
            </w:pPr>
          </w:p>
        </w:tc>
        <w:tc>
          <w:tcPr>
            <w:tcW w:w="1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7"/>
        </w:trPr>
        <w:tc>
          <w:tcPr>
            <w:tcW w:w="4560" w:type="dxa"/>
            <w:vAlign w:val="bottom"/>
          </w:tcPr>
          <w:p>
            <w:pPr>
              <w:ind w:left="260"/>
              <w:spacing w:after="0"/>
              <w:rPr>
                <w:sz w:val="20"/>
                <w:szCs w:val="20"/>
                <w:color w:val="auto"/>
              </w:rPr>
            </w:pPr>
            <w:r>
              <w:rPr>
                <w:rFonts w:ascii="Arial" w:cs="Arial" w:eastAsia="Arial" w:hAnsi="Arial"/>
                <w:sz w:val="18"/>
                <w:szCs w:val="18"/>
                <w:color w:val="auto"/>
              </w:rPr>
              <w:t>Forfeited / Cancelled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(643,827 )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0"/>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16,668,542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4,739,572</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Vested and exercisable at June 30, 2021</w:t>
            </w:r>
          </w:p>
        </w:tc>
        <w:tc>
          <w:tcPr>
            <w:tcW w:w="1220" w:type="dxa"/>
            <w:vAlign w:val="bottom"/>
          </w:tcPr>
          <w:p>
            <w:pPr>
              <w:jc w:val="right"/>
              <w:spacing w:after="0"/>
              <w:rPr>
                <w:sz w:val="20"/>
                <w:szCs w:val="20"/>
                <w:color w:val="auto"/>
              </w:rPr>
            </w:pPr>
            <w:r>
              <w:rPr>
                <w:rFonts w:ascii="Arial" w:cs="Arial" w:eastAsia="Arial" w:hAnsi="Arial"/>
                <w:sz w:val="18"/>
                <w:szCs w:val="18"/>
                <w:color w:val="auto"/>
              </w:rPr>
              <w:t>8,416,964</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3,954,990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-179070</wp:posOffset>
            </wp:positionV>
            <wp:extent cx="1714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-162560</wp:posOffset>
            </wp:positionV>
            <wp:extent cx="1714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9"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As of June 30, 2021, the aggregate intrinsic value of outstanding options is calculated as the difference between the exercise price of the underlying options and the closing price of our common stock of $2.85 on that date. The total fair value of options that vested during the years ended June 30, 2021, 2020 and 2019 was $6.4 million, $5.4 million, and $3.4 million, respectively.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non-vested stock option activity:</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Weighted-Average</w:t>
            </w:r>
          </w:p>
        </w:tc>
        <w:tc>
          <w:tcPr>
            <w:tcW w:w="8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92"/>
        </w:trPr>
        <w:tc>
          <w:tcPr>
            <w:tcW w:w="5820" w:type="dxa"/>
            <w:vAlign w:val="bottom"/>
          </w:tcPr>
          <w:p>
            <w:pPr>
              <w:spacing w:after="0"/>
              <w:rPr>
                <w:sz w:val="16"/>
                <w:szCs w:val="16"/>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at June 30,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5,777,907</w:t>
            </w: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22"/>
                <w:szCs w:val="22"/>
                <w:color w:val="auto"/>
              </w:rPr>
            </w:pPr>
          </w:p>
        </w:tc>
      </w:tr>
      <w:tr>
        <w:trPr>
          <w:trHeight w:val="250"/>
        </w:trPr>
        <w:tc>
          <w:tcPr>
            <w:tcW w:w="58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6,201,300</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1"/>
                <w:szCs w:val="21"/>
                <w:color w:val="auto"/>
              </w:rPr>
            </w:pPr>
          </w:p>
        </w:tc>
      </w:tr>
      <w:tr>
        <w:trPr>
          <w:trHeight w:val="263"/>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(587,890 )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22"/>
                <w:szCs w:val="22"/>
                <w:color w:val="auto"/>
              </w:rPr>
            </w:pPr>
          </w:p>
        </w:tc>
      </w:tr>
      <w:tr>
        <w:trPr>
          <w:trHeight w:val="257"/>
        </w:trPr>
        <w:tc>
          <w:tcPr>
            <w:tcW w:w="5820" w:type="dxa"/>
            <w:vAlign w:val="bottom"/>
          </w:tcPr>
          <w:p>
            <w:pPr>
              <w:ind w:left="260"/>
              <w:spacing w:after="0"/>
              <w:rPr>
                <w:sz w:val="20"/>
                <w:szCs w:val="20"/>
                <w:color w:val="auto"/>
              </w:rPr>
            </w:pPr>
            <w:r>
              <w:rPr>
                <w:rFonts w:ascii="Arial" w:cs="Arial" w:eastAsia="Arial" w:hAnsi="Arial"/>
                <w:sz w:val="18"/>
                <w:szCs w:val="18"/>
                <w:color w:val="auto"/>
              </w:rPr>
              <w:t>Vested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(3,139,739 )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2"/>
                <w:szCs w:val="22"/>
                <w:color w:val="auto"/>
              </w:rPr>
            </w:pPr>
          </w:p>
        </w:tc>
      </w:tr>
      <w:tr>
        <w:trPr>
          <w:trHeight w:val="29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at June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8,251,578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1543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543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95" w:lineRule="exact"/>
        <w:rPr>
          <w:sz w:val="20"/>
          <w:szCs w:val="20"/>
          <w:color w:val="auto"/>
        </w:rPr>
      </w:pPr>
    </w:p>
    <w:p>
      <w:pPr>
        <w:ind w:right="280" w:firstLine="509"/>
        <w:spacing w:after="0" w:line="359" w:lineRule="auto"/>
        <w:rPr>
          <w:sz w:val="20"/>
          <w:szCs w:val="20"/>
          <w:color w:val="auto"/>
        </w:rPr>
      </w:pPr>
      <w:r>
        <w:rPr>
          <w:rFonts w:ascii="Arial" w:cs="Arial" w:eastAsia="Arial" w:hAnsi="Arial"/>
          <w:sz w:val="16"/>
          <w:szCs w:val="16"/>
          <w:color w:val="auto"/>
        </w:rPr>
        <w:t>Unrecognized compensation expense related to non-vested stock options totaled $8.3 million as of June 30, 2021. Such compensation expense is expected to be recognized over a weighted-average period of 1.8 years. As of June 30, 2021, we expect all outstanding options to vest.</w:t>
      </w:r>
    </w:p>
    <w:p>
      <w:pPr>
        <w:spacing w:after="0" w:line="12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We use a Black-Scholes valuation model to estimate the grant date fair value of stock options. To calculate these fair values, the following weighted-average assumptions were used:</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Years Ended June 30,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8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r>
      <w:tr>
        <w:trPr>
          <w:trHeight w:val="256"/>
        </w:trPr>
        <w:tc>
          <w:tcPr>
            <w:tcW w:w="100" w:type="dxa"/>
            <w:vAlign w:val="bottom"/>
          </w:tcPr>
          <w:p>
            <w:pPr>
              <w:spacing w:after="0"/>
              <w:rPr>
                <w:sz w:val="22"/>
                <w:szCs w:val="22"/>
                <w:color w:val="auto"/>
              </w:rPr>
            </w:pPr>
          </w:p>
        </w:tc>
        <w:tc>
          <w:tcPr>
            <w:tcW w:w="5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gridSpan w:val="4"/>
            <w:shd w:val="clear" w:color="auto" w:fill="CFF0FC"/>
          </w:tcPr>
          <w:p>
            <w:pPr>
              <w:jc w:val="right"/>
              <w:ind w:right="128"/>
              <w:spacing w:after="0"/>
              <w:rPr>
                <w:sz w:val="20"/>
                <w:szCs w:val="20"/>
                <w:color w:val="auto"/>
              </w:rPr>
            </w:pPr>
            <w:r>
              <w:rPr>
                <w:rFonts w:ascii="Arial" w:cs="Arial" w:eastAsia="Arial" w:hAnsi="Arial"/>
                <w:sz w:val="18"/>
                <w:szCs w:val="18"/>
                <w:color w:val="auto"/>
              </w:rPr>
              <w:t>0.5 %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1.7 %</w:t>
            </w:r>
          </w:p>
        </w:tc>
        <w:tc>
          <w:tcPr>
            <w:tcW w:w="360" w:type="dxa"/>
            <w:vAlign w:val="bottom"/>
            <w:shd w:val="clear" w:color="auto" w:fill="CFF0FC"/>
          </w:tcPr>
          <w:p>
            <w:pPr>
              <w:spacing w:after="0"/>
              <w:rPr>
                <w:sz w:val="22"/>
                <w:szCs w:val="22"/>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2.7 %</w:t>
            </w:r>
          </w:p>
        </w:tc>
      </w:tr>
      <w:tr>
        <w:trPr>
          <w:trHeight w:val="250"/>
        </w:trPr>
        <w:tc>
          <w:tcPr>
            <w:tcW w:w="10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Expected life (years)</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r>
      <w:tr>
        <w:trPr>
          <w:trHeight w:val="263"/>
        </w:trPr>
        <w:tc>
          <w:tcPr>
            <w:tcW w:w="100" w:type="dxa"/>
            <w:vAlign w:val="bottom"/>
          </w:tcPr>
          <w:p>
            <w:pPr>
              <w:spacing w:after="0"/>
              <w:rPr>
                <w:sz w:val="22"/>
                <w:szCs w:val="22"/>
                <w:color w:val="auto"/>
              </w:rPr>
            </w:pPr>
          </w:p>
        </w:tc>
        <w:tc>
          <w:tcPr>
            <w:tcW w:w="5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gridSpan w:val="4"/>
            <w:shd w:val="clear" w:color="auto" w:fill="CFF0FC"/>
          </w:tcPr>
          <w:p>
            <w:pPr>
              <w:jc w:val="right"/>
              <w:ind w:right="128"/>
              <w:spacing w:after="0"/>
              <w:rPr>
                <w:sz w:val="20"/>
                <w:szCs w:val="20"/>
                <w:color w:val="auto"/>
              </w:rPr>
            </w:pPr>
            <w:r>
              <w:rPr>
                <w:rFonts w:ascii="Arial" w:cs="Arial" w:eastAsia="Arial" w:hAnsi="Arial"/>
                <w:sz w:val="18"/>
                <w:szCs w:val="18"/>
                <w:color w:val="auto"/>
              </w:rPr>
              <w:t>80.1 %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74.1 %</w:t>
            </w:r>
          </w:p>
        </w:tc>
        <w:tc>
          <w:tcPr>
            <w:tcW w:w="360" w:type="dxa"/>
            <w:vAlign w:val="bottom"/>
            <w:shd w:val="clear" w:color="auto" w:fill="CFF0FC"/>
          </w:tcPr>
          <w:p>
            <w:pPr>
              <w:spacing w:after="0"/>
              <w:rPr>
                <w:sz w:val="22"/>
                <w:szCs w:val="22"/>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82.5 %</w:t>
            </w:r>
          </w:p>
        </w:tc>
      </w:tr>
      <w:tr>
        <w:trPr>
          <w:trHeight w:val="250"/>
        </w:trPr>
        <w:tc>
          <w:tcPr>
            <w:tcW w:w="10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4"/>
          </w:tcPr>
          <w:p>
            <w:pPr>
              <w:jc w:val="right"/>
              <w:ind w:right="128"/>
              <w:spacing w:after="0"/>
              <w:rPr>
                <w:sz w:val="20"/>
                <w:szCs w:val="20"/>
                <w:color w:val="auto"/>
              </w:rPr>
            </w:pPr>
            <w:r>
              <w:rPr>
                <w:rFonts w:ascii="Arial" w:cs="Arial" w:eastAsia="Arial" w:hAnsi="Arial"/>
                <w:sz w:val="18"/>
                <w:szCs w:val="18"/>
                <w:color w:val="auto"/>
              </w:rPr>
              <w:t>0.0 %</w:t>
            </w:r>
          </w:p>
        </w:tc>
        <w:tc>
          <w:tcPr>
            <w:tcW w:w="2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0.0 %</w:t>
            </w:r>
          </w:p>
        </w:tc>
        <w:tc>
          <w:tcPr>
            <w:tcW w:w="36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0.0 %</w:t>
            </w:r>
          </w:p>
        </w:tc>
      </w:tr>
      <w:tr>
        <w:trPr>
          <w:trHeight w:val="263"/>
        </w:trPr>
        <w:tc>
          <w:tcPr>
            <w:tcW w:w="100" w:type="dxa"/>
            <w:vAlign w:val="bottom"/>
          </w:tcPr>
          <w:p>
            <w:pPr>
              <w:spacing w:after="0"/>
              <w:rPr>
                <w:sz w:val="22"/>
                <w:szCs w:val="22"/>
                <w:color w:val="auto"/>
              </w:rPr>
            </w:pPr>
          </w:p>
        </w:tc>
        <w:tc>
          <w:tcPr>
            <w:tcW w:w="5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grant date fair value</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22"/>
                <w:szCs w:val="22"/>
                <w:color w:val="auto"/>
              </w:rPr>
            </w:pPr>
          </w:p>
        </w:tc>
      </w:tr>
      <w:tr>
        <w:trPr>
          <w:trHeight w:val="554"/>
        </w:trPr>
        <w:tc>
          <w:tcPr>
            <w:tcW w:w="5220" w:type="dxa"/>
            <w:vAlign w:val="bottom"/>
            <w:gridSpan w:val="3"/>
          </w:tcPr>
          <w:p>
            <w:pPr>
              <w:spacing w:after="0"/>
              <w:rPr>
                <w:sz w:val="20"/>
                <w:szCs w:val="20"/>
                <w:color w:val="auto"/>
              </w:rPr>
            </w:pPr>
            <w:r>
              <w:rPr>
                <w:rFonts w:ascii="Arial" w:cs="Arial" w:eastAsia="Arial" w:hAnsi="Arial"/>
                <w:sz w:val="18"/>
                <w:szCs w:val="18"/>
                <w:i w:val="1"/>
                <w:iCs w:val="1"/>
                <w:color w:val="auto"/>
              </w:rPr>
              <w:t>Restricted Stock Units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7"/>
        </w:trPr>
        <w:tc>
          <w:tcPr>
            <w:tcW w:w="5220" w:type="dxa"/>
            <w:vAlign w:val="bottom"/>
            <w:gridSpan w:val="3"/>
          </w:tcPr>
          <w:p>
            <w:pPr>
              <w:spacing w:after="0"/>
              <w:rPr>
                <w:sz w:val="20"/>
                <w:szCs w:val="20"/>
                <w:color w:val="auto"/>
              </w:rPr>
            </w:pPr>
            <w:r>
              <w:rPr>
                <w:rFonts w:ascii="Arial" w:cs="Arial" w:eastAsia="Arial" w:hAnsi="Arial"/>
                <w:sz w:val="18"/>
                <w:szCs w:val="18"/>
                <w:color w:val="auto"/>
              </w:rPr>
              <w:t>A summary of our RSU activity and related data follows: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0"/>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2"/>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6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w w:val="90"/>
              </w:rPr>
              <w:t>RSUs</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6"/>
        </w:trPr>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at June 30, 2020</w:t>
            </w:r>
          </w:p>
        </w:tc>
        <w:tc>
          <w:tcPr>
            <w:tcW w:w="1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0"/>
        </w:trPr>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442,650</w:t>
            </w:r>
          </w:p>
        </w:tc>
        <w:tc>
          <w:tcPr>
            <w:tcW w:w="260" w:type="dxa"/>
            <w:vAlign w:val="bottom"/>
          </w:tcPr>
          <w:p>
            <w:pPr>
              <w:spacing w:after="0"/>
              <w:rPr>
                <w:sz w:val="21"/>
                <w:szCs w:val="21"/>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5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Forfeited</w:t>
            </w:r>
          </w:p>
        </w:tc>
        <w:tc>
          <w:tcPr>
            <w:tcW w:w="216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(42,000 )</w:t>
            </w:r>
          </w:p>
        </w:tc>
        <w:tc>
          <w:tcPr>
            <w:tcW w:w="3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3.49</w:t>
            </w:r>
          </w:p>
        </w:tc>
        <w:tc>
          <w:tcPr>
            <w:tcW w:w="120" w:type="dxa"/>
            <w:vAlign w:val="bottom"/>
            <w:shd w:val="clear" w:color="auto" w:fill="CFF0FC"/>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0"/>
        </w:trPr>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Non-vested at June 30, 2021</w:t>
            </w:r>
          </w:p>
        </w:tc>
        <w:tc>
          <w:tcPr>
            <w:tcW w:w="1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400,650</w:t>
            </w:r>
          </w:p>
        </w:tc>
        <w:tc>
          <w:tcPr>
            <w:tcW w:w="26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gridSpan w:val="2"/>
          </w:tcPr>
          <w:p>
            <w:pPr>
              <w:jc w:val="right"/>
              <w:ind w:right="148"/>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68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6"/>
              </w:rPr>
              <w:t>3.49</w:t>
            </w:r>
          </w:p>
        </w:tc>
        <w:tc>
          <w:tcPr>
            <w:tcW w:w="120" w:type="dxa"/>
            <w:vAlign w:val="bottom"/>
            <w:tcBorders>
              <w:top w:val="single" w:sz="8" w:color="CFF0FC"/>
            </w:tcBorders>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-193675</wp:posOffset>
            </wp:positionV>
            <wp:extent cx="19685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6850" cy="5715"/>
                    </a:xfrm>
                    <a:prstGeom prst="rect">
                      <a:avLst/>
                    </a:prstGeom>
                    <a:noFill/>
                  </pic:spPr>
                </pic:pic>
              </a:graphicData>
            </a:graphic>
          </wp:anchor>
        </w:drawing>
      </w:r>
    </w:p>
    <w:p>
      <w:pPr>
        <w:spacing w:after="0" w:line="8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Each RSU represents the contingent right to receive one share of our common stock. Under the terms of the Omnibus Plan, each of the RSUs is calculated as 1.25 shares of common stock for purposes of determining the number of shares available for future grant. As of June 30, 2021, unrecognized compensation expense related to the unvested portion of our RSUs was approximately $0.5 million and is expected to be recognized over approximately 1.0 year.</w:t>
      </w:r>
    </w:p>
    <w:p>
      <w:pPr>
        <w:sectPr>
          <w:pgSz w:w="11900" w:h="16838" w:orient="portrait"/>
          <w:cols w:equalWidth="0" w:num="1">
            <w:col w:w="11220"/>
          </w:cols>
          <w:pgMar w:left="320" w:top="364" w:right="359" w:bottom="1047"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047"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35" w:lineRule="exact"/>
        <w:rPr>
          <w:sz w:val="20"/>
          <w:szCs w:val="20"/>
          <w:color w:val="auto"/>
        </w:rPr>
      </w:pPr>
    </w:p>
    <w:p>
      <w:pPr>
        <w:ind w:right="240" w:firstLine="509"/>
        <w:spacing w:after="0" w:line="296"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As discussed in Note 4, we are party to a license agreement with Presage under which we may be required to make future payments upon the achievement of certain development, regulatory and commercial milestones, as well as potential future royalties based upon net sales. As of June 30, 2021, we had not accrued any amounts for potential future payments.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S*Bio Purchase Agreement</w:t>
      </w:r>
    </w:p>
    <w:p>
      <w:pPr>
        <w:spacing w:after="0" w:line="131"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$75.2 million if certain U.S., E.U. and Japanese regulatory approvals are obtained and if certain net sales thresholds are met in North America, the E.U. and Japan. The first milestone payment of $200,000 plus 166,527 shares of our common stock having a value of $500,000 was paid in August 2017 upon the first dosing of a patient in a Phase 3 clinical trial. Subsequent milestone payments will be due upon certain regulatory approvals and sales-based events. As of June 30, 2021, we had not accrued any amounts for potential future payments.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83"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56"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Not only might the continuing COVID-19 pandemic impact the conduct of our clinical trials, but it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7"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Government stimulus programs enacted in response to the COVID-19 pandemic have not had a material impact on our financial condition, results of operations, or liquidity.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On August 10, 2020, Guy Bahat, an individual who allegedly purchased 50 shares of our common stock filed a putative securities class action lawsuit (the “Securities Class Action”) in the United States District Court for the Southern District of California against the Company, Dr. Daniel P. Gold, and Mr. Brian G. Drazba, asserting claims under Sections 10(b) and 20(a) of the Securities Exchange Act of 1934 (the “Exchange Act”) and Rule 10b-5 thereunder. Mr. Bahat did not seek appointment as lead plaintiff, and the court appointed another individual, Ramesh Mahalingham, as lead plaintiff. The plaintiff seeks to sue on behalf of all purchasers of our securities from August 2, 2017 through July 1, 2020 and alleges, among other things, that we made false and misleading statements relating to pracinostat during the proposed class period. On February 16, 2021, the lead plaintiff filed a notice of voluntary dismissal without prejudice, thereby concluding the class action litigation.</w:t>
      </w:r>
    </w:p>
    <w:p>
      <w:pPr>
        <w:sectPr>
          <w:pgSz w:w="11900" w:h="16838" w:orient="portrait"/>
          <w:cols w:equalWidth="0" w:num="1">
            <w:col w:w="11220"/>
          </w:cols>
          <w:pgMar w:left="320" w:top="418" w:right="35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On October 21, 2020, Peter D’Arcy, an individual who alleges that he is a Company stockholder, filed a putative stockholder derivative action nominally on behalf of the Company in the United States District Court for the District of Delaware (the “Derivative Action”) against Dr. Gold, Mr. Drazba, Mr. Charles V. Baltic, III, Dr. Kevan E. Clemens, Mr. Frederick W. Driscoll, Dr. Nicholas R. Glover, Ms. Tamar D. Howson, Dr. Thomas C. Reynolds, Mr. William D. Rueckert, and Dr. Christine A. White, and naming the Company as a nominal defendant. Additional putative stockholder derivative suits were filed in the same court naming the same defendants plus Dr. Robert D. Mass on December 2, 2020 and December 15, 2020 by Gerald Wright and William Trablicy, respectively, who also allege that they are Company stockholders, and these additional suits were consolidated into the Derivative Action by court order. The Derivative Action is based upon the pracinostat-related allegations in the Securities Class Action described above, and alleges claims under Section 14(a) of the Exchange Act and claims for breach of fiduciary duty, unjust enrichment, corporate waste, and contribution. On February 24, 2021, following the resolution of the class action litigation, the parties stipulated request for voluntary dismissal without prejudice, which the court granted on February 25,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35"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entered into a lease agreement for approximately 32,800 square feet of office space in San Diego, California. We have accounted for the lease as an operating lease. The contractual lease term began in July 2020 and is scheduled to expire in March 2028. The lease contains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lease, we recognized an operating lease ROU asset of $8.7 million and a corresponding operating lease liability of $8.7 million.</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were as follows (in thousands):</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Years Ended June 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r>
      <w:tr>
        <w:trPr>
          <w:trHeight w:val="256"/>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FF0FC"/>
          </w:tcPr>
          <w:p>
            <w:pPr>
              <w:spacing w:after="0"/>
              <w:rPr>
                <w:sz w:val="22"/>
                <w:szCs w:val="22"/>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our operating leases were as follows (in thousands):</w:t>
      </w:r>
    </w:p>
    <w:p>
      <w:pPr>
        <w:spacing w:after="0" w:line="28"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23495</wp:posOffset>
            </wp:positionV>
            <wp:extent cx="23488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5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65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r>
    </w:tbl>
    <w:p>
      <w:pPr>
        <w:spacing w:after="0" w:line="10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The following is a schedule of the future minimum rental payments for our operating leases, reconciled to the lease liability as of June 30, 2021 (in thousands):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June 30,</w:t>
            </w:r>
          </w:p>
        </w:tc>
      </w:tr>
      <w:tr>
        <w:trPr>
          <w:trHeight w:val="192"/>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r>
      <w:tr>
        <w:trPr>
          <w:trHeight w:val="25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Years ending June 30,</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0"/>
        </w:trPr>
        <w:tc>
          <w:tcPr>
            <w:tcW w:w="5440" w:type="dxa"/>
            <w:vAlign w:val="bottom"/>
          </w:tcPr>
          <w:p>
            <w:pPr>
              <w:ind w:left="240"/>
              <w:spacing w:after="0"/>
              <w:rPr>
                <w:sz w:val="20"/>
                <w:szCs w:val="20"/>
                <w:color w:val="auto"/>
              </w:rPr>
            </w:pPr>
            <w:r>
              <w:rPr>
                <w:rFonts w:ascii="Arial" w:cs="Arial" w:eastAsia="Arial" w:hAnsi="Arial"/>
                <w:sz w:val="18"/>
                <w:szCs w:val="18"/>
                <w:color w:val="auto"/>
              </w:rPr>
              <w:t>2022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1,519</w:t>
            </w:r>
          </w:p>
        </w:tc>
        <w:tc>
          <w:tcPr>
            <w:tcW w:w="360" w:type="dxa"/>
            <w:vAlign w:val="bottom"/>
          </w:tcPr>
          <w:p>
            <w:pPr>
              <w:spacing w:after="0"/>
              <w:rPr>
                <w:sz w:val="21"/>
                <w:szCs w:val="21"/>
                <w:color w:val="auto"/>
              </w:rPr>
            </w:pPr>
          </w:p>
        </w:tc>
      </w:tr>
      <w:tr>
        <w:trPr>
          <w:trHeight w:val="26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360" w:type="dxa"/>
            <w:vAlign w:val="bottom"/>
            <w:shd w:val="clear" w:color="auto" w:fill="CFF0FC"/>
          </w:tcPr>
          <w:p>
            <w:pPr>
              <w:spacing w:after="0"/>
              <w:rPr>
                <w:sz w:val="22"/>
                <w:szCs w:val="22"/>
                <w:color w:val="auto"/>
              </w:rPr>
            </w:pPr>
          </w:p>
        </w:tc>
      </w:tr>
      <w:tr>
        <w:trPr>
          <w:trHeight w:val="250"/>
        </w:trPr>
        <w:tc>
          <w:tcPr>
            <w:tcW w:w="5440" w:type="dxa"/>
            <w:vAlign w:val="bottom"/>
          </w:tcPr>
          <w:p>
            <w:pPr>
              <w:ind w:left="2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1,612</w:t>
            </w:r>
          </w:p>
        </w:tc>
        <w:tc>
          <w:tcPr>
            <w:tcW w:w="360" w:type="dxa"/>
            <w:vAlign w:val="bottom"/>
          </w:tcPr>
          <w:p>
            <w:pPr>
              <w:spacing w:after="0"/>
              <w:rPr>
                <w:sz w:val="21"/>
                <w:szCs w:val="21"/>
                <w:color w:val="auto"/>
              </w:rPr>
            </w:pPr>
          </w:p>
        </w:tc>
      </w:tr>
      <w:tr>
        <w:trPr>
          <w:trHeight w:val="26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360" w:type="dxa"/>
            <w:vAlign w:val="bottom"/>
            <w:shd w:val="clear" w:color="auto" w:fill="CFF0FC"/>
          </w:tcPr>
          <w:p>
            <w:pPr>
              <w:spacing w:after="0"/>
              <w:rPr>
                <w:sz w:val="22"/>
                <w:szCs w:val="22"/>
                <w:color w:val="auto"/>
              </w:rPr>
            </w:pPr>
          </w:p>
        </w:tc>
      </w:tr>
      <w:tr>
        <w:trPr>
          <w:trHeight w:val="250"/>
        </w:trPr>
        <w:tc>
          <w:tcPr>
            <w:tcW w:w="5440" w:type="dxa"/>
            <w:vAlign w:val="bottom"/>
          </w:tcPr>
          <w:p>
            <w:pPr>
              <w:ind w:left="24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1,710</w:t>
            </w:r>
          </w:p>
        </w:tc>
        <w:tc>
          <w:tcPr>
            <w:tcW w:w="360" w:type="dxa"/>
            <w:vAlign w:val="bottom"/>
          </w:tcPr>
          <w:p>
            <w:pPr>
              <w:spacing w:after="0"/>
              <w:rPr>
                <w:sz w:val="21"/>
                <w:szCs w:val="21"/>
                <w:color w:val="auto"/>
              </w:rPr>
            </w:pPr>
          </w:p>
        </w:tc>
      </w:tr>
      <w:tr>
        <w:trPr>
          <w:trHeight w:val="257"/>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360" w:type="dxa"/>
            <w:vAlign w:val="bottom"/>
            <w:tcBorders>
              <w:bottom w:val="single" w:sz="8" w:color="CFF0FC"/>
            </w:tcBorders>
            <w:shd w:val="clear" w:color="auto" w:fill="CFF0FC"/>
          </w:tcPr>
          <w:p>
            <w:pPr>
              <w:spacing w:after="0"/>
              <w:rPr>
                <w:sz w:val="22"/>
                <w:szCs w:val="22"/>
                <w:color w:val="auto"/>
              </w:rPr>
            </w:pPr>
          </w:p>
        </w:tc>
      </w:tr>
      <w:tr>
        <w:trPr>
          <w:trHeight w:val="250"/>
        </w:trPr>
        <w:tc>
          <w:tcPr>
            <w:tcW w:w="5440" w:type="dxa"/>
            <w:vAlign w:val="bottom"/>
          </w:tcPr>
          <w:p>
            <w:pPr>
              <w:ind w:left="240"/>
              <w:spacing w:after="0"/>
              <w:rPr>
                <w:sz w:val="20"/>
                <w:szCs w:val="20"/>
                <w:color w:val="auto"/>
              </w:rPr>
            </w:pPr>
            <w:r>
              <w:rPr>
                <w:rFonts w:ascii="Arial" w:cs="Arial" w:eastAsia="Arial" w:hAnsi="Arial"/>
                <w:sz w:val="18"/>
                <w:szCs w:val="18"/>
                <w:color w:val="auto"/>
              </w:rPr>
              <w:t>Total lease payments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10,695</w:t>
            </w:r>
          </w:p>
        </w:tc>
        <w:tc>
          <w:tcPr>
            <w:tcW w:w="360" w:type="dxa"/>
            <w:vAlign w:val="bottom"/>
          </w:tcPr>
          <w:p>
            <w:pPr>
              <w:spacing w:after="0"/>
              <w:rPr>
                <w:sz w:val="21"/>
                <w:szCs w:val="21"/>
                <w:color w:val="auto"/>
              </w:rPr>
            </w:pPr>
          </w:p>
        </w:tc>
      </w:tr>
      <w:tr>
        <w:trPr>
          <w:trHeight w:val="25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36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(2,397 )</w:t>
            </w:r>
          </w:p>
        </w:tc>
      </w:tr>
      <w:tr>
        <w:trPr>
          <w:trHeight w:val="250"/>
        </w:trPr>
        <w:tc>
          <w:tcPr>
            <w:tcW w:w="5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lease liability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8,298</w:t>
            </w:r>
          </w:p>
        </w:tc>
        <w:tc>
          <w:tcPr>
            <w:tcW w:w="360" w:type="dxa"/>
            <w:vAlign w:val="bottom"/>
            <w:tcBorders>
              <w:top w:val="single" w:sz="8" w:color="CFF0FC"/>
            </w:tcBorders>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4"/>
        </w:trPr>
        <w:tc>
          <w:tcPr>
            <w:tcW w:w="5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b w:val="1"/>
                <w:bCs w:val="1"/>
                <w:color w:val="auto"/>
              </w:rPr>
              <w:t>Balance Sheet Classification - Operating Leases</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FF0FC"/>
          </w:tcPr>
          <w:p>
            <w:pPr>
              <w:spacing w:after="0"/>
              <w:rPr>
                <w:sz w:val="22"/>
                <w:szCs w:val="22"/>
                <w:color w:val="auto"/>
              </w:rPr>
            </w:pPr>
          </w:p>
        </w:tc>
      </w:tr>
      <w:tr>
        <w:trPr>
          <w:trHeight w:val="250"/>
        </w:trPr>
        <w:tc>
          <w:tcPr>
            <w:tcW w:w="5440" w:type="dxa"/>
            <w:vAlign w:val="bottom"/>
          </w:tcPr>
          <w:p>
            <w:pPr>
              <w:ind w:left="240"/>
              <w:spacing w:after="0"/>
              <w:rPr>
                <w:sz w:val="20"/>
                <w:szCs w:val="20"/>
                <w:color w:val="auto"/>
              </w:rPr>
            </w:pPr>
            <w:r>
              <w:rPr>
                <w:rFonts w:ascii="Arial" w:cs="Arial" w:eastAsia="Arial" w:hAnsi="Arial"/>
                <w:sz w:val="18"/>
                <w:szCs w:val="18"/>
                <w:color w:val="auto"/>
              </w:rPr>
              <w:t>Operating lease liability, long-term</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360" w:type="dxa"/>
            <w:vAlign w:val="bottom"/>
          </w:tcPr>
          <w:p>
            <w:pPr>
              <w:spacing w:after="0"/>
              <w:rPr>
                <w:sz w:val="21"/>
                <w:szCs w:val="21"/>
                <w:color w:val="auto"/>
              </w:rPr>
            </w:pPr>
          </w:p>
        </w:tc>
      </w:tr>
      <w:tr>
        <w:trPr>
          <w:trHeight w:val="29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w:t>
            </w:r>
          </w:p>
        </w:tc>
        <w:tc>
          <w:tcPr>
            <w:tcW w:w="360" w:type="dxa"/>
            <w:vAlign w:val="bottom"/>
            <w:tcBorders>
              <w:bottom w:val="single" w:sz="8" w:color="CFF0FC"/>
            </w:tcBorders>
            <w:shd w:val="clear" w:color="auto" w:fill="CFF0FC"/>
          </w:tcPr>
          <w:p>
            <w:pPr>
              <w:spacing w:after="0"/>
              <w:rPr>
                <w:sz w:val="24"/>
                <w:szCs w:val="24"/>
                <w:color w:val="auto"/>
              </w:rPr>
            </w:pPr>
          </w:p>
        </w:tc>
      </w:tr>
      <w:tr>
        <w:trPr>
          <w:trHeight w:val="244"/>
        </w:trPr>
        <w:tc>
          <w:tcPr>
            <w:tcW w:w="5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6"/>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Balance Sheet Information - Operating Leases</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0"/>
        </w:trPr>
        <w:tc>
          <w:tcPr>
            <w:tcW w:w="5440" w:type="dxa"/>
            <w:vAlign w:val="bottom"/>
          </w:tcPr>
          <w:p>
            <w:pPr>
              <w:ind w:left="240"/>
              <w:spacing w:after="0"/>
              <w:rPr>
                <w:sz w:val="20"/>
                <w:szCs w:val="20"/>
                <w:color w:val="auto"/>
              </w:rPr>
            </w:pPr>
            <w:r>
              <w:rPr>
                <w:rFonts w:ascii="Arial" w:cs="Arial" w:eastAsia="Arial" w:hAnsi="Arial"/>
                <w:sz w:val="18"/>
                <w:szCs w:val="18"/>
                <w:color w:val="auto"/>
              </w:rPr>
              <w:t>Weighted average remaining lease term (in years)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1"/>
                <w:szCs w:val="21"/>
                <w:color w:val="auto"/>
              </w:rPr>
            </w:pPr>
          </w:p>
        </w:tc>
      </w:tr>
      <w:tr>
        <w:trPr>
          <w:trHeight w:val="26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discount rate</w:t>
            </w:r>
          </w:p>
        </w:tc>
        <w:tc>
          <w:tcPr>
            <w:tcW w:w="36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-2028190</wp:posOffset>
            </wp:positionV>
            <wp:extent cx="22288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-1693545</wp:posOffset>
            </wp:positionV>
            <wp:extent cx="22288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-676275</wp:posOffset>
            </wp:positionV>
            <wp:extent cx="2228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-659130</wp:posOffset>
            </wp:positionV>
            <wp:extent cx="2228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have one operating segment, the development of pharmaceutical compounds. All of our assets and liabilities were located in the United States of America as of June 30, 2021,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Pre-tax loss consists of the following jurisdictions (in thousands):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2"/>
              </w:rPr>
              <w:t>Years Ended June 30,</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(50,567 )</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(46,016 )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(16,819 )</w:t>
            </w: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Pre-tax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(50,567 )</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(46,016 )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(16,819 )</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-24765</wp:posOffset>
            </wp:positionV>
            <wp:extent cx="1460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1460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1289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1289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income tax computed at the U.S. federal statutory tax rates to income tax expense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w w:val="96"/>
              </w:rPr>
              <w:t>Years Ended June 30,</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r>
      <w:tr>
        <w:trPr>
          <w:trHeight w:val="256"/>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Tax benefit at U.S. statutory rates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10,619</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9,663</w:t>
            </w: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0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21 %</w:t>
            </w:r>
          </w:p>
        </w:tc>
      </w:tr>
      <w:tr>
        <w:trPr>
          <w:trHeight w:val="25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State tax</w:t>
            </w:r>
          </w:p>
        </w:tc>
        <w:tc>
          <w:tcPr>
            <w:tcW w:w="4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(99 )</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r>
      <w:tr>
        <w:trPr>
          <w:trHeight w:val="263"/>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 liability costs</w:t>
            </w:r>
          </w:p>
        </w:tc>
        <w:tc>
          <w:tcPr>
            <w:tcW w:w="44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8 %</w:t>
            </w:r>
          </w:p>
        </w:tc>
        <w:tc>
          <w:tcPr>
            <w:tcW w:w="28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(4,803 )</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w:t>
            </w:r>
          </w:p>
        </w:tc>
        <w:tc>
          <w:tcPr>
            <w:tcW w:w="20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35 %</w:t>
            </w:r>
          </w:p>
        </w:tc>
      </w:tr>
      <w:tr>
        <w:trPr>
          <w:trHeight w:val="25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Equity compensation</w:t>
            </w:r>
          </w:p>
        </w:tc>
        <w:tc>
          <w:tcPr>
            <w:tcW w:w="4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(6 )</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r>
      <w:tr>
        <w:trPr>
          <w:trHeight w:val="263"/>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Increase in valuation allowance</w:t>
            </w:r>
          </w:p>
        </w:tc>
        <w:tc>
          <w:tcPr>
            <w:tcW w:w="44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(12,481 )</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(25 )%</w:t>
            </w:r>
          </w:p>
        </w:tc>
        <w:tc>
          <w:tcPr>
            <w:tcW w:w="28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(4,230 )</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(9,082 )</w:t>
            </w:r>
          </w:p>
        </w:tc>
        <w:tc>
          <w:tcPr>
            <w:tcW w:w="1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(54 )%</w:t>
            </w:r>
          </w:p>
        </w:tc>
      </w:tr>
      <w:tr>
        <w:trPr>
          <w:trHeight w:val="25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(1,847 )</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(638 )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(478 )</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r>
      <w:tr>
        <w:trPr>
          <w:trHeight w:val="20"/>
        </w:trPr>
        <w:tc>
          <w:tcPr>
            <w:tcW w:w="1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r>
      <w:tr>
        <w:trPr>
          <w:trHeight w:val="20"/>
        </w:trPr>
        <w:tc>
          <w:tcPr>
            <w:tcW w:w="1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3"/>
        </w:trPr>
        <w:tc>
          <w:tcPr>
            <w:tcW w:w="6400" w:type="dxa"/>
            <w:vAlign w:val="bottom"/>
            <w:gridSpan w:val="8"/>
          </w:tcPr>
          <w:p>
            <w:pPr>
              <w:ind w:left="520"/>
              <w:spacing w:after="0"/>
              <w:rPr>
                <w:sz w:val="20"/>
                <w:szCs w:val="20"/>
                <w:color w:val="auto"/>
              </w:rPr>
            </w:pPr>
            <w:r>
              <w:rPr>
                <w:rFonts w:ascii="Arial" w:cs="Arial" w:eastAsia="Arial" w:hAnsi="Arial"/>
                <w:sz w:val="18"/>
                <w:szCs w:val="18"/>
                <w:color w:val="auto"/>
                <w:w w:val="92"/>
              </w:rPr>
              <w:t>Deferred tax liabilities and assets are comprised of the following (in thousands):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26"/>
        </w:trPr>
        <w:tc>
          <w:tcPr>
            <w:tcW w:w="1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6"/>
              </w:rPr>
              <w:t>June 30,</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56"/>
        </w:trPr>
        <w:tc>
          <w:tcPr>
            <w:tcW w:w="1080" w:type="dxa"/>
            <w:vAlign w:val="bottom"/>
          </w:tcPr>
          <w:p>
            <w:pPr>
              <w:spacing w:after="0"/>
              <w:rPr>
                <w:sz w:val="22"/>
                <w:szCs w:val="22"/>
                <w:color w:val="auto"/>
              </w:rPr>
            </w:pPr>
          </w:p>
        </w:tc>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0"/>
        </w:trPr>
        <w:tc>
          <w:tcPr>
            <w:tcW w:w="1080" w:type="dxa"/>
            <w:vAlign w:val="bottom"/>
          </w:tcPr>
          <w:p>
            <w:pPr>
              <w:spacing w:after="0"/>
              <w:rPr>
                <w:sz w:val="21"/>
                <w:szCs w:val="21"/>
                <w:color w:val="auto"/>
              </w:rPr>
            </w:pPr>
          </w:p>
        </w:tc>
        <w:tc>
          <w:tcPr>
            <w:tcW w:w="23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18,339</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17,325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080" w:type="dxa"/>
            <w:vAlign w:val="bottom"/>
          </w:tcPr>
          <w:p>
            <w:pPr>
              <w:spacing w:after="0"/>
              <w:rPr>
                <w:sz w:val="22"/>
                <w:szCs w:val="22"/>
                <w:color w:val="auto"/>
              </w:rPr>
            </w:pPr>
          </w:p>
        </w:tc>
        <w:tc>
          <w:tcPr>
            <w:tcW w:w="2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Fixed and intangible assets</w:t>
            </w:r>
          </w:p>
        </w:tc>
        <w:tc>
          <w:tcPr>
            <w:tcW w:w="4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15,924</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18,832</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0"/>
        </w:trPr>
        <w:tc>
          <w:tcPr>
            <w:tcW w:w="1080" w:type="dxa"/>
            <w:vAlign w:val="bottom"/>
          </w:tcPr>
          <w:p>
            <w:pPr>
              <w:spacing w:after="0"/>
              <w:rPr>
                <w:sz w:val="21"/>
                <w:szCs w:val="21"/>
                <w:color w:val="auto"/>
              </w:rPr>
            </w:pPr>
          </w:p>
        </w:tc>
        <w:tc>
          <w:tcPr>
            <w:tcW w:w="2340" w:type="dxa"/>
            <w:vAlign w:val="bottom"/>
          </w:tcPr>
          <w:p>
            <w:pPr>
              <w:ind w:left="260"/>
              <w:spacing w:after="0"/>
              <w:rPr>
                <w:sz w:val="20"/>
                <w:szCs w:val="20"/>
                <w:color w:val="auto"/>
              </w:rPr>
            </w:pPr>
            <w:r>
              <w:rPr>
                <w:rFonts w:ascii="Arial" w:cs="Arial" w:eastAsia="Arial" w:hAnsi="Arial"/>
                <w:sz w:val="18"/>
                <w:szCs w:val="18"/>
                <w:color w:val="auto"/>
              </w:rPr>
              <w:t>Share-based payments</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080" w:type="dxa"/>
            <w:vAlign w:val="bottom"/>
          </w:tcPr>
          <w:p>
            <w:pPr>
              <w:spacing w:after="0"/>
              <w:rPr>
                <w:sz w:val="22"/>
                <w:szCs w:val="22"/>
                <w:color w:val="auto"/>
              </w:rPr>
            </w:pPr>
          </w:p>
        </w:tc>
        <w:tc>
          <w:tcPr>
            <w:tcW w:w="2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Tax losses carried forward</w:t>
            </w:r>
          </w:p>
        </w:tc>
        <w:tc>
          <w:tcPr>
            <w:tcW w:w="4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16,104</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0"/>
        </w:trPr>
        <w:tc>
          <w:tcPr>
            <w:tcW w:w="1080" w:type="dxa"/>
            <w:vAlign w:val="bottom"/>
          </w:tcPr>
          <w:p>
            <w:pPr>
              <w:spacing w:after="0"/>
              <w:rPr>
                <w:sz w:val="21"/>
                <w:szCs w:val="21"/>
                <w:color w:val="auto"/>
              </w:rPr>
            </w:pPr>
          </w:p>
        </w:tc>
        <w:tc>
          <w:tcPr>
            <w:tcW w:w="2340" w:type="dxa"/>
            <w:vAlign w:val="bottom"/>
          </w:tcPr>
          <w:p>
            <w:pPr>
              <w:ind w:left="260"/>
              <w:spacing w:after="0"/>
              <w:rPr>
                <w:sz w:val="20"/>
                <w:szCs w:val="20"/>
                <w:color w:val="auto"/>
              </w:rPr>
            </w:pPr>
            <w:r>
              <w:rPr>
                <w:rFonts w:ascii="Arial" w:cs="Arial" w:eastAsia="Arial" w:hAnsi="Arial"/>
                <w:sz w:val="18"/>
                <w:szCs w:val="18"/>
                <w:color w:val="auto"/>
              </w:rPr>
              <w:t>Compensation accruals</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080" w:type="dxa"/>
            <w:vAlign w:val="bottom"/>
          </w:tcPr>
          <w:p>
            <w:pPr>
              <w:spacing w:after="0"/>
              <w:rPr>
                <w:sz w:val="22"/>
                <w:szCs w:val="22"/>
                <w:color w:val="auto"/>
              </w:rPr>
            </w:pPr>
          </w:p>
        </w:tc>
        <w:tc>
          <w:tcPr>
            <w:tcW w:w="2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Consultant and other accruals</w:t>
            </w: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0"/>
        </w:trPr>
        <w:tc>
          <w:tcPr>
            <w:tcW w:w="1080" w:type="dxa"/>
            <w:vAlign w:val="bottom"/>
          </w:tcPr>
          <w:p>
            <w:pPr>
              <w:spacing w:after="0"/>
              <w:rPr>
                <w:sz w:val="21"/>
                <w:szCs w:val="21"/>
                <w:color w:val="auto"/>
              </w:rPr>
            </w:pPr>
          </w:p>
        </w:tc>
        <w:tc>
          <w:tcPr>
            <w:tcW w:w="2340" w:type="dxa"/>
            <w:vAlign w:val="bottom"/>
          </w:tcPr>
          <w:p>
            <w:pPr>
              <w:ind w:left="260"/>
              <w:spacing w:after="0"/>
              <w:rPr>
                <w:sz w:val="20"/>
                <w:szCs w:val="20"/>
                <w:color w:val="auto"/>
              </w:rPr>
            </w:pPr>
            <w:r>
              <w:rPr>
                <w:rFonts w:ascii="Arial" w:cs="Arial" w:eastAsia="Arial" w:hAnsi="Arial"/>
                <w:sz w:val="18"/>
                <w:szCs w:val="18"/>
                <w:color w:val="auto"/>
              </w:rPr>
              <w:t>Right-of-use assets</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(1,633 )</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080" w:type="dxa"/>
            <w:vAlign w:val="bottom"/>
          </w:tcPr>
          <w:p>
            <w:pPr>
              <w:spacing w:after="0"/>
              <w:rPr>
                <w:sz w:val="22"/>
                <w:szCs w:val="22"/>
                <w:color w:val="auto"/>
              </w:rPr>
            </w:pPr>
          </w:p>
        </w:tc>
        <w:tc>
          <w:tcPr>
            <w:tcW w:w="2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4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0"/>
        </w:trPr>
        <w:tc>
          <w:tcPr>
            <w:tcW w:w="1080" w:type="dxa"/>
            <w:vAlign w:val="bottom"/>
          </w:tcPr>
          <w:p>
            <w:pPr>
              <w:spacing w:after="0"/>
              <w:rPr>
                <w:sz w:val="21"/>
                <w:szCs w:val="21"/>
                <w:color w:val="auto"/>
              </w:rPr>
            </w:pPr>
          </w:p>
        </w:tc>
        <w:tc>
          <w:tcPr>
            <w:tcW w:w="2340" w:type="dxa"/>
            <w:vAlign w:val="bottom"/>
          </w:tcPr>
          <w:p>
            <w:pPr>
              <w:ind w:left="260"/>
              <w:spacing w:after="0"/>
              <w:rPr>
                <w:sz w:val="20"/>
                <w:szCs w:val="20"/>
                <w:color w:val="auto"/>
              </w:rPr>
            </w:pPr>
            <w:r>
              <w:rPr>
                <w:rFonts w:ascii="Arial" w:cs="Arial" w:eastAsia="Arial" w:hAnsi="Arial"/>
                <w:sz w:val="18"/>
                <w:szCs w:val="18"/>
                <w:color w:val="auto"/>
              </w:rPr>
              <w:t>Charitable contributions</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7"/>
        </w:trPr>
        <w:tc>
          <w:tcPr>
            <w:tcW w:w="1080" w:type="dxa"/>
            <w:vAlign w:val="bottom"/>
          </w:tcPr>
          <w:p>
            <w:pPr>
              <w:spacing w:after="0"/>
              <w:rPr>
                <w:sz w:val="22"/>
                <w:szCs w:val="22"/>
                <w:color w:val="auto"/>
              </w:rPr>
            </w:pPr>
          </w:p>
        </w:tc>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deferred tax assets</w:t>
            </w:r>
          </w:p>
        </w:tc>
        <w:tc>
          <w:tcPr>
            <w:tcW w:w="4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55,408</w:t>
            </w:r>
          </w:p>
        </w:tc>
        <w:tc>
          <w:tcPr>
            <w:tcW w:w="22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42,934</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0"/>
        </w:trPr>
        <w:tc>
          <w:tcPr>
            <w:tcW w:w="1080" w:type="dxa"/>
            <w:vAlign w:val="bottom"/>
          </w:tcPr>
          <w:p>
            <w:pPr>
              <w:spacing w:after="0"/>
              <w:rPr>
                <w:sz w:val="21"/>
                <w:szCs w:val="21"/>
                <w:color w:val="auto"/>
              </w:rPr>
            </w:pPr>
          </w:p>
        </w:tc>
        <w:tc>
          <w:tcPr>
            <w:tcW w:w="3700" w:type="dxa"/>
            <w:vAlign w:val="bottom"/>
            <w:gridSpan w:val="4"/>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(55,408 )</w:t>
            </w:r>
          </w:p>
        </w:tc>
        <w:tc>
          <w:tcPr>
            <w:tcW w:w="3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(42,934 )</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90"/>
        </w:trPr>
        <w:tc>
          <w:tcPr>
            <w:tcW w:w="1080" w:type="dxa"/>
            <w:vAlign w:val="bottom"/>
          </w:tcPr>
          <w:p>
            <w:pPr>
              <w:spacing w:after="0"/>
              <w:rPr>
                <w:sz w:val="24"/>
                <w:szCs w:val="24"/>
                <w:color w:val="auto"/>
              </w:rPr>
            </w:pPr>
          </w:p>
        </w:tc>
        <w:tc>
          <w:tcPr>
            <w:tcW w:w="2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w w:val="93"/>
              </w:rPr>
              <w:t>Net deferred tax assets and liabilities</w:t>
            </w:r>
          </w:p>
        </w:tc>
        <w:tc>
          <w:tcPr>
            <w:tcW w:w="7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137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87" w:lineRule="exact"/>
        <w:rPr>
          <w:sz w:val="20"/>
          <w:szCs w:val="20"/>
          <w:color w:val="auto"/>
        </w:rPr>
      </w:pPr>
    </w:p>
    <w:p>
      <w:pPr>
        <w:ind w:right="80" w:firstLine="509"/>
        <w:spacing w:after="0" w:line="329" w:lineRule="auto"/>
        <w:rPr>
          <w:sz w:val="20"/>
          <w:szCs w:val="20"/>
          <w:color w:val="auto"/>
        </w:rPr>
      </w:pPr>
      <w:r>
        <w:rPr>
          <w:rFonts w:ascii="Arial" w:cs="Arial" w:eastAsia="Arial" w:hAnsi="Arial"/>
          <w:sz w:val="16"/>
          <w:szCs w:val="16"/>
          <w:color w:val="auto"/>
        </w:rPr>
        <w:t>We evaluate the recoverability of the deferred tax assets and the amount of the required valuation allowance. Due to the uncertainty surrounding the realization of the tax deductions in future tax returns, we have recorded a valuation allowance against our net deferred tax assets as of June 30, 2021 and 2020. At such time as it is determined that it is more likely than not that the deferred tax assets will be realized, the valuation allowance would be reduced.</w:t>
      </w:r>
    </w:p>
    <w:p>
      <w:pPr>
        <w:spacing w:after="0" w:line="40"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We had federal and state net operating loss carryforwards of approximately $70.8 million and $17.7 million as of June 30, 2021. The federal net operating loss will carry forward indefinitely subject to an 80% taxable income limitation. The state net operating loss carryforwards will begin to expire in 2030 unless previously utilized.</w:t>
      </w:r>
    </w:p>
    <w:p>
      <w:pPr>
        <w:spacing w:after="0" w:line="75"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Our ability to utilize our net operating loss carryforwards may be substantially limited due to ownership changes that have occurred or that could occur in the future under Section 382 of the Internal Revenue Code and similar state laws. During 2021, we completed a study to analyze whether one or more ownership changes had occurred and determined that two such ownership changes did occur. While the ownership changes do limit the amount of net operating loss we are able to use each year, all of our net operating losses are expected to be available for utilization prior to expiring.</w:t>
      </w:r>
    </w:p>
    <w:p>
      <w:pPr>
        <w:sectPr>
          <w:pgSz w:w="11900" w:h="16838" w:orient="portrait"/>
          <w:cols w:equalWidth="0" w:num="1">
            <w:col w:w="11240"/>
          </w:cols>
          <w:pgMar w:left="320" w:top="418" w:right="339" w:bottom="898"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898"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None of our prior income tax returns have been selected for examination by a major taxing jurisdiction; however, the statutes of limitations for various filings remain open. The oldest filings subject to potential examination for federal and state purposes are 2018 and 2017, respectively. If we utilize a net operating loss related to a closed tax year, the tax year in which the loss was incurred is subject to adjustment up to the amount of the net operating loss.</w:t>
      </w:r>
    </w:p>
    <w:p>
      <w:pPr>
        <w:spacing w:after="0" w:line="77"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We have not reduced any tax benefit on our financial statements due to uncertain tax positions as of June 30, 2021 and we are not aware of any circumstance that would significantly change this result through the end of fiscal year 2021. To the extent we incur income-tax related penalties or interest, we will recognize them as additional income tax expense.</w:t>
      </w:r>
    </w:p>
    <w:p>
      <w:pPr>
        <w:spacing w:after="0" w:line="7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On March 27, 2020, the Coronavirus Aid, Relief, and Economic Security Act (“CARES” Act) was enacted in response to the COVID-19 pandemic. The CARES Act, among other things, permits net operating loss carryforwards generated in taxable years beginning after December 31, 2017, to offset 100% of taxable income for taxable years beginning before January 1, 2021, and 80% of taxable income in taxable years beginning after December 31, 2020. In addition, the CARES Act allows net operating losses incurred in taxable years beginning after December 31, 2017, and before January 1, 2021, to be carried back to each of the five preceding taxable years to generate a refund of previously paid income taxes. The CARES Act also temporarily increased the business interest expense limitation from 30% of adjusted taxable income (“ATI”) to 50% of ATI for tax years 2019 and 2020, and allowed taxpayers to elect to use their 2019 ATI to compute their 2020 limitation. The legislation also included a technical correction related to qualified improvement property. The impact of the CARES Act was not material to our financial statements.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 Disclosure Controls and Procedures</w:t>
      </w:r>
    </w:p>
    <w:p>
      <w:pPr>
        <w:spacing w:after="0" w:line="131"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At the end of the period covered by this Annual Report on Form 10-K,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that evaluation, our Chief Executive Officer and Chief Financial Officer have concluded that our disclosure controls and procedures are effective to ensure that the information required to be disclosed by the Company in reports that it files or submits under the Exchange Act is recorded, processed, summarized and reported within the time periods specified in the SEC’s rules and forms.</w:t>
      </w:r>
    </w:p>
    <w:p>
      <w:pPr>
        <w:spacing w:after="0" w:line="18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if any, within the Company are detected. Accordingly, our disclosure controls and procedures are designed to provide reasonable, not absolute, assurance that the objectives of our disclosure control system are met and, as set forth above, our Chief Executive Officer and Chief Financial Officer have concluded, based on their evaluation as of the end of the period covered by this Annual Report on Form 10-K, that our disclosure controls and procedures were effective to provide reasonable assurance that the objectives of our disclosure control system were met.</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131" w:lineRule="exact"/>
        <w:rPr>
          <w:sz w:val="20"/>
          <w:szCs w:val="20"/>
          <w:color w:val="auto"/>
        </w:rPr>
      </w:pPr>
    </w:p>
    <w:p>
      <w:pPr>
        <w:ind w:right="240" w:firstLine="509"/>
        <w:spacing w:after="0" w:line="27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 - 15(f) under the Exchange Act. Our internal control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Management maintains a comprehensive system of controls intended to ensure that transactions are executed in accordance with management’s authorization, assets are safeguarded and financial records are reliable. Management also takes steps to ensure that information and communication flows are effective, and to monitor performance, including performance of internal control procedures.</w:t>
      </w:r>
    </w:p>
    <w:p>
      <w:pPr>
        <w:spacing w:after="0" w:line="183" w:lineRule="exact"/>
        <w:rPr>
          <w:sz w:val="20"/>
          <w:szCs w:val="20"/>
          <w:color w:val="auto"/>
        </w:rPr>
      </w:pPr>
    </w:p>
    <w:p>
      <w:pPr>
        <w:ind w:right="360" w:firstLine="509"/>
        <w:spacing w:after="0" w:line="303" w:lineRule="auto"/>
        <w:rPr>
          <w:sz w:val="20"/>
          <w:szCs w:val="20"/>
          <w:color w:val="auto"/>
        </w:rPr>
      </w:pPr>
      <w:r>
        <w:rPr>
          <w:rFonts w:ascii="Arial" w:cs="Arial" w:eastAsia="Arial" w:hAnsi="Arial"/>
          <w:sz w:val="17"/>
          <w:szCs w:val="17"/>
          <w:color w:val="auto"/>
        </w:rPr>
        <w:t>Management assessed the effectiveness of our internal control over financial reporting as of June 30, 2021, based on the criteria set forth by the Committee of Sponsoring Organizations of the Treadway Commission in Internal Control-Integrated Framework (2013 Framework). Based on this assessment, management believes that our internal control over financial reporting is effective as of June 30, 2021.</w:t>
      </w:r>
    </w:p>
    <w:p>
      <w:pPr>
        <w:spacing w:after="0" w:line="164"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There were no changes in internal control over financial reporting during the quarter ended June 30, 2021, that have materially affected, or are reasonably likely to materially affect, our internal control over financial reporting.</w:t>
      </w:r>
    </w:p>
    <w:p>
      <w:pPr>
        <w:spacing w:after="0" w:line="166" w:lineRule="exact"/>
        <w:rPr>
          <w:sz w:val="20"/>
          <w:szCs w:val="20"/>
          <w:color w:val="auto"/>
        </w:rPr>
      </w:pPr>
    </w:p>
    <w:p>
      <w:pPr>
        <w:jc w:val="center"/>
        <w:ind w:right="9040"/>
        <w:spacing w:after="0"/>
        <w:rPr>
          <w:sz w:val="20"/>
          <w:szCs w:val="20"/>
          <w:color w:val="auto"/>
        </w:rPr>
      </w:pPr>
      <w:r>
        <w:rPr>
          <w:rFonts w:ascii="Arial" w:cs="Arial" w:eastAsia="Arial" w:hAnsi="Arial"/>
          <w:sz w:val="17"/>
          <w:szCs w:val="17"/>
          <w:b w:val="1"/>
          <w:bCs w:val="1"/>
          <w:color w:val="auto"/>
        </w:rPr>
        <w:t>Item 9B. Other Information</w:t>
      </w:r>
    </w:p>
    <w:p>
      <w:pPr>
        <w:spacing w:after="0" w:line="146" w:lineRule="exact"/>
        <w:rPr>
          <w:sz w:val="20"/>
          <w:szCs w:val="20"/>
          <w:color w:val="auto"/>
        </w:rPr>
      </w:pPr>
    </w:p>
    <w:p>
      <w:pPr>
        <w:jc w:val="center"/>
        <w:ind w:right="908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We have adopted a Code of Business and Ethics policy that applies to our directors and employees (including our principal executive officer and our principal financial officer), and have posted the text of our policy on our website (</w:t>
      </w:r>
      <w:r>
        <w:rPr>
          <w:rFonts w:ascii="Arial" w:cs="Arial" w:eastAsia="Arial" w:hAnsi="Arial"/>
          <w:sz w:val="17"/>
          <w:szCs w:val="17"/>
          <w:u w:val="single" w:color="auto"/>
          <w:color w:val="auto"/>
        </w:rPr>
        <w:t>www.meipharma.com</w:t>
      </w:r>
      <w:r>
        <w:rPr>
          <w:rFonts w:ascii="Arial" w:cs="Arial" w:eastAsia="Arial" w:hAnsi="Arial"/>
          <w:sz w:val="17"/>
          <w:szCs w:val="17"/>
          <w:color w:val="auto"/>
        </w:rPr>
        <w:t>). In addition, we intend to promptly disclose (i) the nature of any amendment to the policy that applies to our principal executive officer and principal financial officer and (ii) the nature of any waiver, including an implicit waiver, from a provision of the policy that is granted to one of these specified individuals, the name of such person who is granted the waiver and the date of the waiver on our website in the future. Except as expressly stated herein, information contained on our website is not incorporated by reference herein and shall not be deemed a part of this Annual Report on Form 10-K.</w:t>
      </w:r>
    </w:p>
    <w:p>
      <w:pPr>
        <w:spacing w:after="0" w:line="176"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The other information required by this item is incorporated herein by reference to our proxy statement for the fiscal year ended June 30, 2021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is made to the Financial Statements under Item 8 in Part II hereof.</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135"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The Financial Statement Schedules have been omitted either because they are not required or because the information has been included in the financial statements or the notes thereto included in this Annual Report on Form 10-K.</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760" w:type="dxa"/>
            <w:vAlign w:val="bottom"/>
            <w:gridSpan w:val="17"/>
          </w:tcPr>
          <w:p>
            <w:pPr>
              <w:ind w:left="60"/>
              <w:spacing w:after="0"/>
              <w:rPr>
                <w:sz w:val="20"/>
                <w:szCs w:val="20"/>
                <w:color w:val="auto"/>
              </w:rPr>
            </w:pPr>
            <w:r>
              <w:rPr>
                <w:rFonts w:ascii="Arial" w:cs="Arial" w:eastAsia="Arial" w:hAnsi="Arial"/>
                <w:sz w:val="18"/>
                <w:szCs w:val="18"/>
                <w:b w:val="1"/>
                <w:bCs w:val="1"/>
                <w:color w:val="auto"/>
              </w:rPr>
              <w:t>3. Exhibits</w:t>
            </w:r>
          </w:p>
        </w:tc>
      </w:tr>
      <w:tr>
        <w:trPr>
          <w:trHeight w:val="378"/>
        </w:trPr>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11"/>
          </w:tcPr>
          <w:p>
            <w:pPr>
              <w:ind w:left="1140"/>
              <w:spacing w:after="0"/>
              <w:rPr>
                <w:sz w:val="20"/>
                <w:szCs w:val="20"/>
                <w:color w:val="auto"/>
              </w:rPr>
            </w:pPr>
            <w:r>
              <w:rPr>
                <w:rFonts w:ascii="Arial" w:cs="Arial" w:eastAsia="Arial" w:hAnsi="Arial"/>
                <w:sz w:val="18"/>
                <w:szCs w:val="18"/>
                <w:b w:val="1"/>
                <w:bCs w:val="1"/>
                <w:color w:val="auto"/>
              </w:rPr>
              <w:t>Exhibit Index</w:t>
            </w:r>
          </w:p>
        </w:tc>
      </w:tr>
      <w:tr>
        <w:trPr>
          <w:trHeight w:val="540"/>
        </w:trPr>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4"/>
              </w:rPr>
            </w:pPr>
            <w:hyperlink r:id="rId273">
              <w:r>
                <w:rPr>
                  <w:rFonts w:ascii="Arial" w:cs="Arial" w:eastAsia="Arial" w:hAnsi="Arial"/>
                  <w:sz w:val="16"/>
                  <w:szCs w:val="16"/>
                  <w:color w:val="0000FF"/>
                  <w:w w:val="94"/>
                </w:rPr>
                <w:t>Amended and Restated Certificate of Incorporation (incorporated by reference to Exhibit 3.1 to the Registrant’s Quarterly Report on Form 10-Q filed on</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73">
              <w:r>
                <w:rPr>
                  <w:rFonts w:ascii="Arial" w:cs="Arial" w:eastAsia="Arial" w:hAnsi="Arial"/>
                  <w:sz w:val="16"/>
                  <w:szCs w:val="16"/>
                  <w:color w:val="0000FF"/>
                </w:rPr>
                <w:t>February 7, 2019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3"/>
              </w:rPr>
            </w:pPr>
            <w:hyperlink r:id="rId274">
              <w:r>
                <w:rPr>
                  <w:rFonts w:ascii="Arial" w:cs="Arial" w:eastAsia="Arial" w:hAnsi="Arial"/>
                  <w:sz w:val="16"/>
                  <w:szCs w:val="16"/>
                  <w:color w:val="0000FF"/>
                  <w:w w:val="93"/>
                </w:rPr>
                <w:t>Certificate of Designation of Series A Convertible Preferred Stock of Marshall Edwards, Inc. (incorporated by reference to Exhibit 3.1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74">
              <w:r>
                <w:rPr>
                  <w:rFonts w:ascii="Arial" w:cs="Arial" w:eastAsia="Arial" w:hAnsi="Arial"/>
                  <w:sz w:val="16"/>
                  <w:szCs w:val="16"/>
                  <w:color w:val="0000FF"/>
                </w:rPr>
                <w:t>Current Report on Form 8-K filed on May 11, 2011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rPr>
              <w:t>3.6</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3"/>
              </w:rPr>
            </w:pPr>
            <w:hyperlink r:id="rId275">
              <w:r>
                <w:rPr>
                  <w:rFonts w:ascii="Arial" w:cs="Arial" w:eastAsia="Arial" w:hAnsi="Arial"/>
                  <w:sz w:val="16"/>
                  <w:szCs w:val="16"/>
                  <w:color w:val="0000FF"/>
                  <w:w w:val="93"/>
                </w:rPr>
                <w:t>Certificate of Designation of Series B Preferred Stock of Marshall Edwards, Inc. (incorporated by reference to Exhibit 4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75">
              <w:r>
                <w:rPr>
                  <w:rFonts w:ascii="Arial" w:cs="Arial" w:eastAsia="Arial" w:hAnsi="Arial"/>
                  <w:sz w:val="16"/>
                  <w:szCs w:val="16"/>
                  <w:color w:val="0000FF"/>
                </w:rPr>
                <w:t>Current Report on Form 8-K filed on March 18, 2011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rPr>
              <w:t>3.7</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4"/>
              </w:rPr>
            </w:pPr>
            <w:hyperlink r:id="rId276">
              <w:r>
                <w:rPr>
                  <w:rFonts w:ascii="Arial" w:cs="Arial" w:eastAsia="Arial" w:hAnsi="Arial"/>
                  <w:sz w:val="16"/>
                  <w:szCs w:val="16"/>
                  <w:color w:val="0000FF"/>
                  <w:w w:val="94"/>
                </w:rPr>
                <w:t>Third Amended and Restated Bylaws (incorporated by reference to Exhibit 3.1 to the Registrant’s Current Report on Form 8-K filed on March 20, 2020</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76">
              <w:r>
                <w:rPr>
                  <w:rFonts w:ascii="Arial" w:cs="Arial" w:eastAsia="Arial" w:hAnsi="Arial"/>
                  <w:sz w:val="16"/>
                  <w:szCs w:val="16"/>
                  <w:color w:val="0000FF"/>
                </w:rPr>
                <w:t>(File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rPr>
              <w:t>4.1</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2"/>
              </w:rPr>
            </w:pPr>
            <w:hyperlink r:id="rId277">
              <w:r>
                <w:rPr>
                  <w:rFonts w:ascii="Arial" w:cs="Arial" w:eastAsia="Arial" w:hAnsi="Arial"/>
                  <w:sz w:val="16"/>
                  <w:szCs w:val="16"/>
                  <w:color w:val="0000FF"/>
                  <w:w w:val="92"/>
                </w:rPr>
                <w:t>Specimen Stock Certificate (incorporated by reference to Exhibit 4.1 to Amendment No. 1 to the Registrant’s Registration Statement on Form S-1 filed on</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77">
              <w:r>
                <w:rPr>
                  <w:rFonts w:ascii="Arial" w:cs="Arial" w:eastAsia="Arial" w:hAnsi="Arial"/>
                  <w:sz w:val="16"/>
                  <w:szCs w:val="16"/>
                  <w:color w:val="0000FF"/>
                </w:rPr>
                <w:t>October 31, 2003 (Reg. No. 333-109129)).</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rPr>
              <w:t>4.2</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4"/>
              </w:rPr>
            </w:pPr>
            <w:hyperlink r:id="rId278">
              <w:r>
                <w:rPr>
                  <w:rFonts w:ascii="Arial" w:cs="Arial" w:eastAsia="Arial" w:hAnsi="Arial"/>
                  <w:sz w:val="16"/>
                  <w:szCs w:val="16"/>
                  <w:color w:val="0000FF"/>
                  <w:w w:val="94"/>
                </w:rPr>
                <w:t>Form of Warrant (incorporated by reference to Exhibit B to Exhibit 10.1 to the Registrant’s Current Report on Form 8-K filed on May 16, 2018 (File No.</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560" w:type="dxa"/>
            <w:vAlign w:val="bottom"/>
            <w:gridSpan w:val="2"/>
          </w:tcPr>
          <w:p>
            <w:pPr>
              <w:ind w:left="700"/>
              <w:spacing w:after="0" w:line="183" w:lineRule="exact"/>
              <w:rPr>
                <w:rFonts w:ascii="Arial" w:cs="Arial" w:eastAsia="Arial" w:hAnsi="Arial"/>
                <w:sz w:val="16"/>
                <w:szCs w:val="16"/>
                <w:color w:val="0000FF"/>
                <w:w w:val="89"/>
              </w:rPr>
            </w:pPr>
            <w:hyperlink r:id="rId278">
              <w:r>
                <w:rPr>
                  <w:rFonts w:ascii="Arial" w:cs="Arial" w:eastAsia="Arial" w:hAnsi="Arial"/>
                  <w:sz w:val="16"/>
                  <w:szCs w:val="16"/>
                  <w:color w:val="0000FF"/>
                  <w:w w:val="89"/>
                </w:rPr>
                <w:t>000-50484)).</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rPr>
              <w:t>4.3</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7"/>
              </w:rPr>
            </w:pPr>
            <w:hyperlink r:id="rId279">
              <w:r>
                <w:rPr>
                  <w:rFonts w:ascii="Arial" w:cs="Arial" w:eastAsia="Arial" w:hAnsi="Arial"/>
                  <w:sz w:val="16"/>
                  <w:szCs w:val="16"/>
                  <w:color w:val="0000FF"/>
                  <w:w w:val="97"/>
                </w:rPr>
                <w:t>Description of Capital Stock of MEI Pharma, Inc. (incorporated by reference to Exhibit 4.3 to the Registrant's Annual Report on Form 10-K filed on</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79">
              <w:r>
                <w:rPr>
                  <w:rFonts w:ascii="Arial" w:cs="Arial" w:eastAsia="Arial" w:hAnsi="Arial"/>
                  <w:sz w:val="16"/>
                  <w:szCs w:val="16"/>
                  <w:color w:val="0000FF"/>
                </w:rPr>
                <w:t>September 9, 2020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w w:val="83"/>
              </w:rPr>
              <w:t>10.1</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4"/>
              </w:rPr>
            </w:pPr>
            <w:hyperlink r:id="rId280">
              <w:r>
                <w:rPr>
                  <w:rFonts w:ascii="Arial" w:cs="Arial" w:eastAsia="Arial" w:hAnsi="Arial"/>
                  <w:sz w:val="16"/>
                  <w:szCs w:val="16"/>
                  <w:color w:val="0000FF"/>
                  <w:w w:val="94"/>
                </w:rPr>
                <w:t>Employment letter dated April 23, 2010, between Marshall Edwards, Inc. and Daniel Gold (incorporated by reference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80">
              <w:r>
                <w:rPr>
                  <w:rFonts w:ascii="Arial" w:cs="Arial" w:eastAsia="Arial" w:hAnsi="Arial"/>
                  <w:sz w:val="16"/>
                  <w:szCs w:val="16"/>
                  <w:color w:val="0000FF"/>
                </w:rPr>
                <w:t>Current Report on Form 8-K filed on April 26, 2010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w w:val="83"/>
              </w:rPr>
              <w:t>10.2</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5"/>
              </w:rPr>
            </w:pPr>
            <w:hyperlink r:id="rId281">
              <w:r>
                <w:rPr>
                  <w:rFonts w:ascii="Arial" w:cs="Arial" w:eastAsia="Arial" w:hAnsi="Arial"/>
                  <w:sz w:val="16"/>
                  <w:szCs w:val="16"/>
                  <w:color w:val="0000FF"/>
                  <w:w w:val="95"/>
                </w:rPr>
                <w:t>Employment letter dated March 6, 2014, between MEI Pharma, Inc. and David M. Urso (incorporated by reference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81">
              <w:r>
                <w:rPr>
                  <w:rFonts w:ascii="Arial" w:cs="Arial" w:eastAsia="Arial" w:hAnsi="Arial"/>
                  <w:sz w:val="16"/>
                  <w:szCs w:val="16"/>
                  <w:color w:val="0000FF"/>
                </w:rPr>
                <w:t>Current Report on Form 8-K filed on April 8, 2014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1520" w:type="dxa"/>
            <w:vAlign w:val="bottom"/>
            <w:tcBorders>
              <w:left w:val="single" w:sz="8" w:color="0000EE"/>
            </w:tcBorders>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60" w:type="dxa"/>
            <w:vAlign w:val="bottom"/>
          </w:tcPr>
          <w:p>
            <w:pPr>
              <w:jc w:val="right"/>
              <w:spacing w:after="0"/>
              <w:rPr>
                <w:sz w:val="20"/>
                <w:szCs w:val="20"/>
                <w:color w:val="auto"/>
              </w:rPr>
            </w:pPr>
            <w:r>
              <w:rPr>
                <w:rFonts w:ascii="Arial" w:cs="Arial" w:eastAsia="Arial" w:hAnsi="Arial"/>
                <w:sz w:val="16"/>
                <w:szCs w:val="16"/>
                <w:color w:val="auto"/>
                <w:w w:val="83"/>
              </w:rPr>
              <w:t>10.3</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3"/>
              </w:rPr>
            </w:pPr>
            <w:hyperlink r:id="rId282">
              <w:r>
                <w:rPr>
                  <w:rFonts w:ascii="Arial" w:cs="Arial" w:eastAsia="Arial" w:hAnsi="Arial"/>
                  <w:sz w:val="16"/>
                  <w:szCs w:val="16"/>
                  <w:color w:val="0000FF"/>
                  <w:w w:val="93"/>
                </w:rPr>
                <w:t>Amendment No. 1, dated July 12, 2018, to the Employment Letter dated March 6, 2014, between MEI Pharma, Inc. and David M. Urso. (incorporated by</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tcBorders>
              <w:right w:val="single" w:sz="8" w:color="0000FF"/>
            </w:tcBorders>
            <w:gridSpan w:val="8"/>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82">
              <w:r>
                <w:rPr>
                  <w:rFonts w:ascii="Arial" w:cs="Arial" w:eastAsia="Arial" w:hAnsi="Arial"/>
                  <w:sz w:val="16"/>
                  <w:szCs w:val="16"/>
                  <w:color w:val="0000FF"/>
                </w:rPr>
                <w:t>reference to Exhibit 10.1 to the Registrant’s Current Report on Form 8-K filed on July 16, 2018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320" w:type="dxa"/>
            <w:vAlign w:val="bottom"/>
            <w:tcBorders>
              <w:right w:val="single" w:sz="8" w:color="0000FF"/>
            </w:tcBorders>
            <w:gridSpan w:val="8"/>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w w:val="83"/>
              </w:rPr>
              <w:t>10.4</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2"/>
              </w:rPr>
            </w:pPr>
            <w:hyperlink r:id="rId283">
              <w:r>
                <w:rPr>
                  <w:rFonts w:ascii="Arial" w:cs="Arial" w:eastAsia="Arial" w:hAnsi="Arial"/>
                  <w:sz w:val="16"/>
                  <w:szCs w:val="16"/>
                  <w:color w:val="0000FF"/>
                  <w:w w:val="92"/>
                </w:rPr>
                <w:t>Employment letter dated February 1, 2017, between MEI Pharma, Inc. and Brian G. Drazba (incorporated by reference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tcBorders>
              <w:right w:val="single" w:sz="8" w:color="0000FF"/>
            </w:tcBorders>
            <w:gridSpan w:val="8"/>
            <w:shd w:val="clear" w:color="auto" w:fill="0000FF"/>
          </w:tcPr>
          <w:p>
            <w:pPr>
              <w:spacing w:after="0" w:line="20" w:lineRule="exact"/>
              <w:rPr>
                <w:sz w:val="1"/>
                <w:szCs w:val="1"/>
                <w:color w:val="auto"/>
              </w:rPr>
            </w:pPr>
          </w:p>
        </w:tc>
        <w:tc>
          <w:tcPr>
            <w:tcW w:w="31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16"/>
          </w:tcPr>
          <w:p>
            <w:pPr>
              <w:spacing w:after="0" w:line="183" w:lineRule="exact"/>
              <w:rPr>
                <w:rFonts w:ascii="Arial" w:cs="Arial" w:eastAsia="Arial" w:hAnsi="Arial"/>
                <w:sz w:val="16"/>
                <w:szCs w:val="16"/>
                <w:color w:val="0000FF"/>
              </w:rPr>
            </w:pPr>
            <w:hyperlink r:id="rId283">
              <w:r>
                <w:rPr>
                  <w:rFonts w:ascii="Arial" w:cs="Arial" w:eastAsia="Arial" w:hAnsi="Arial"/>
                  <w:sz w:val="16"/>
                  <w:szCs w:val="16"/>
                  <w:color w:val="0000FF"/>
                </w:rPr>
                <w:t>Current Report on Form 8-K filed on April 3, 2017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1520" w:type="dxa"/>
            <w:vAlign w:val="bottom"/>
            <w:tcBorders>
              <w:left w:val="single" w:sz="8" w:color="0000EE"/>
            </w:tcBorders>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385"/>
        </w:trPr>
        <w:tc>
          <w:tcPr>
            <w:tcW w:w="360" w:type="dxa"/>
            <w:vAlign w:val="bottom"/>
          </w:tcPr>
          <w:p>
            <w:pPr>
              <w:jc w:val="right"/>
              <w:spacing w:after="0"/>
              <w:rPr>
                <w:sz w:val="20"/>
                <w:szCs w:val="20"/>
                <w:color w:val="auto"/>
              </w:rPr>
            </w:pPr>
            <w:r>
              <w:rPr>
                <w:rFonts w:ascii="Arial" w:cs="Arial" w:eastAsia="Arial" w:hAnsi="Arial"/>
                <w:sz w:val="16"/>
                <w:szCs w:val="16"/>
                <w:color w:val="auto"/>
                <w:w w:val="83"/>
              </w:rPr>
              <w:t>10.5</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Employment letter dated February 17, 2016, between MEI Pharma, Inc. and Richard G. Ghalie.*</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320" w:type="dxa"/>
            <w:vAlign w:val="bottom"/>
            <w:tcBorders>
              <w:right w:val="single" w:sz="8" w:color="0000EE"/>
            </w:tcBorders>
            <w:gridSpan w:val="8"/>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587"/>
        </w:trPr>
        <w:tc>
          <w:tcPr>
            <w:tcW w:w="360" w:type="dxa"/>
            <w:vAlign w:val="bottom"/>
          </w:tcPr>
          <w:p>
            <w:pPr>
              <w:jc w:val="right"/>
              <w:spacing w:after="0"/>
              <w:rPr>
                <w:sz w:val="20"/>
                <w:szCs w:val="20"/>
                <w:color w:val="auto"/>
              </w:rPr>
            </w:pPr>
            <w:r>
              <w:rPr>
                <w:rFonts w:ascii="Arial" w:cs="Arial" w:eastAsia="Arial" w:hAnsi="Arial"/>
                <w:sz w:val="16"/>
                <w:szCs w:val="16"/>
                <w:color w:val="auto"/>
                <w:w w:val="83"/>
              </w:rPr>
              <w:t>10.6</w:t>
            </w:r>
          </w:p>
        </w:tc>
        <w:tc>
          <w:tcPr>
            <w:tcW w:w="7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w w:val="98"/>
              </w:rPr>
            </w:pPr>
            <w:hyperlink w:anchor="page87">
              <w:r>
                <w:rPr>
                  <w:rFonts w:ascii="Arial" w:cs="Arial" w:eastAsia="Arial" w:hAnsi="Arial"/>
                  <w:sz w:val="16"/>
                  <w:szCs w:val="16"/>
                  <w:color w:val="0000FF"/>
                  <w:w w:val="98"/>
                </w:rPr>
                <w:t>Amendment 2021-1 dated April 29, 2021, to the Employment letter dated February 17, 2016, between MEI Pharma, Inc. and Richard G. Ghalie.*</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0" w:type="dxa"/>
            <w:vAlign w:val="bottom"/>
          </w:tcPr>
          <w:p>
            <w:pPr>
              <w:ind w:left="80"/>
              <w:spacing w:after="0"/>
              <w:rPr>
                <w:sz w:val="20"/>
                <w:szCs w:val="20"/>
                <w:color w:val="auto"/>
              </w:rPr>
            </w:pPr>
            <w:r>
              <w:rPr>
                <w:rFonts w:ascii="Arial" w:cs="Arial" w:eastAsia="Arial" w:hAnsi="Arial"/>
                <w:sz w:val="16"/>
                <w:szCs w:val="16"/>
                <w:color w:val="auto"/>
              </w:rPr>
              <w:t>10.7</w:t>
            </w:r>
          </w:p>
        </w:tc>
        <w:tc>
          <w:tcPr>
            <w:tcW w:w="10000" w:type="dxa"/>
            <w:vAlign w:val="bottom"/>
            <w:gridSpan w:val="16"/>
          </w:tcPr>
          <w:p>
            <w:pPr>
              <w:spacing w:after="0"/>
              <w:rPr>
                <w:rFonts w:ascii="Arial" w:cs="Arial" w:eastAsia="Arial" w:hAnsi="Arial"/>
                <w:sz w:val="16"/>
                <w:szCs w:val="16"/>
                <w:color w:val="0000FF"/>
                <w:w w:val="93"/>
              </w:rPr>
            </w:pPr>
            <w:hyperlink r:id="rId285">
              <w:r>
                <w:rPr>
                  <w:rFonts w:ascii="Arial" w:cs="Arial" w:eastAsia="Arial" w:hAnsi="Arial"/>
                  <w:sz w:val="16"/>
                  <w:szCs w:val="16"/>
                  <w:color w:val="0000FF"/>
                  <w:w w:val="93"/>
                </w:rPr>
                <w:t>Form of Indemnification Agreement (incorporated by reference to Exhibit 10.1 to the Registrant’s Current Report on Form 8-K filed on August 29, 2011</w:t>
              </w:r>
            </w:hyperlink>
          </w:p>
        </w:tc>
      </w:tr>
      <w:tr>
        <w:trPr>
          <w:trHeight w:val="20"/>
        </w:trPr>
        <w:tc>
          <w:tcPr>
            <w:tcW w:w="12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r:id="rId285">
              <w:r>
                <w:rPr>
                  <w:rFonts w:ascii="Arial" w:cs="Arial" w:eastAsia="Arial" w:hAnsi="Arial"/>
                  <w:sz w:val="16"/>
                  <w:szCs w:val="16"/>
                  <w:color w:val="0000FF"/>
                </w:rPr>
                <w:t>(File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200" w:type="dxa"/>
            <w:vAlign w:val="bottom"/>
          </w:tcPr>
          <w:p>
            <w:pPr>
              <w:ind w:left="80"/>
              <w:spacing w:after="0"/>
              <w:rPr>
                <w:sz w:val="20"/>
                <w:szCs w:val="20"/>
                <w:color w:val="auto"/>
              </w:rPr>
            </w:pPr>
            <w:r>
              <w:rPr>
                <w:rFonts w:ascii="Arial" w:cs="Arial" w:eastAsia="Arial" w:hAnsi="Arial"/>
                <w:sz w:val="16"/>
                <w:szCs w:val="16"/>
                <w:color w:val="auto"/>
              </w:rPr>
              <w:t>10.8**</w:t>
            </w:r>
          </w:p>
        </w:tc>
        <w:tc>
          <w:tcPr>
            <w:tcW w:w="10000" w:type="dxa"/>
            <w:vAlign w:val="bottom"/>
            <w:gridSpan w:val="16"/>
          </w:tcPr>
          <w:p>
            <w:pPr>
              <w:spacing w:after="0"/>
              <w:rPr>
                <w:rFonts w:ascii="Arial" w:cs="Arial" w:eastAsia="Arial" w:hAnsi="Arial"/>
                <w:sz w:val="16"/>
                <w:szCs w:val="16"/>
                <w:color w:val="0000FF"/>
                <w:w w:val="95"/>
              </w:rPr>
            </w:pPr>
            <w:hyperlink r:id="rId286">
              <w:r>
                <w:rPr>
                  <w:rFonts w:ascii="Arial" w:cs="Arial" w:eastAsia="Arial" w:hAnsi="Arial"/>
                  <w:sz w:val="16"/>
                  <w:szCs w:val="16"/>
                  <w:color w:val="0000FF"/>
                  <w:w w:val="95"/>
                </w:rPr>
                <w:t>License Agreement, dated as of September 5, 2017, by and between MEI Pharma, Inc. and Presage Biosciences, Inc. (incorporated by reference to</w:t>
              </w:r>
            </w:hyperlink>
          </w:p>
        </w:tc>
      </w:tr>
      <w:tr>
        <w:trPr>
          <w:trHeight w:val="20"/>
        </w:trPr>
        <w:tc>
          <w:tcPr>
            <w:tcW w:w="12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r:id="rId286">
              <w:r>
                <w:rPr>
                  <w:rFonts w:ascii="Arial" w:cs="Arial" w:eastAsia="Arial" w:hAnsi="Arial"/>
                  <w:sz w:val="16"/>
                  <w:szCs w:val="16"/>
                  <w:color w:val="0000FF"/>
                </w:rPr>
                <w:t>Exhibit 10.1 to the Registrant’s Quarterly Report on Form 10-Q filed on November 8, 2017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00" w:type="dxa"/>
            <w:vAlign w:val="bottom"/>
          </w:tcPr>
          <w:p>
            <w:pPr>
              <w:ind w:left="80"/>
              <w:spacing w:after="0"/>
              <w:rPr>
                <w:sz w:val="20"/>
                <w:szCs w:val="20"/>
                <w:color w:val="auto"/>
              </w:rPr>
            </w:pPr>
            <w:r>
              <w:rPr>
                <w:rFonts w:ascii="Arial" w:cs="Arial" w:eastAsia="Arial" w:hAnsi="Arial"/>
                <w:sz w:val="16"/>
                <w:szCs w:val="16"/>
                <w:color w:val="auto"/>
              </w:rPr>
              <w:t>10.9</w:t>
            </w:r>
          </w:p>
        </w:tc>
        <w:tc>
          <w:tcPr>
            <w:tcW w:w="10000" w:type="dxa"/>
            <w:vAlign w:val="bottom"/>
            <w:gridSpan w:val="16"/>
          </w:tcPr>
          <w:p>
            <w:pPr>
              <w:spacing w:after="0"/>
              <w:rPr>
                <w:rFonts w:ascii="Arial" w:cs="Arial" w:eastAsia="Arial" w:hAnsi="Arial"/>
                <w:sz w:val="16"/>
                <w:szCs w:val="16"/>
                <w:color w:val="0000FF"/>
                <w:w w:val="93"/>
              </w:rPr>
            </w:pPr>
            <w:hyperlink r:id="rId287">
              <w:r>
                <w:rPr>
                  <w:rFonts w:ascii="Arial" w:cs="Arial" w:eastAsia="Arial" w:hAnsi="Arial"/>
                  <w:sz w:val="16"/>
                  <w:szCs w:val="16"/>
                  <w:color w:val="0000FF"/>
                  <w:w w:val="93"/>
                </w:rPr>
                <w:t>At-The-Market Equity Offering Sales Agreement, dated November 10, 2020 between MEI Pharma, Inc., Credit Suisse Securities (USA) LLC, and Stifel,</w:t>
              </w:r>
            </w:hyperlink>
          </w:p>
        </w:tc>
      </w:tr>
      <w:tr>
        <w:trPr>
          <w:trHeight w:val="20"/>
        </w:trPr>
        <w:tc>
          <w:tcPr>
            <w:tcW w:w="12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w w:val="95"/>
              </w:rPr>
            </w:pPr>
            <w:hyperlink r:id="rId287">
              <w:r>
                <w:rPr>
                  <w:rFonts w:ascii="Arial" w:cs="Arial" w:eastAsia="Arial" w:hAnsi="Arial"/>
                  <w:sz w:val="16"/>
                  <w:szCs w:val="16"/>
                  <w:color w:val="0000FF"/>
                  <w:w w:val="95"/>
                </w:rPr>
                <w:t>Nicolaus &amp; Company, Inc. (incorporated by reference to Exhibit 1.1 to the Registrant’s Current Report on Form 8-K filed on November 10, 2020 (File</w:t>
              </w:r>
            </w:hyperlink>
          </w:p>
        </w:tc>
      </w:tr>
      <w:tr>
        <w:trPr>
          <w:trHeight w:val="20"/>
        </w:trPr>
        <w:tc>
          <w:tcPr>
            <w:tcW w:w="120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r:id="rId287">
              <w:r>
                <w:rPr>
                  <w:rFonts w:ascii="Arial" w:cs="Arial" w:eastAsia="Arial" w:hAnsi="Arial"/>
                  <w:sz w:val="16"/>
                  <w:szCs w:val="16"/>
                  <w:color w:val="0000FF"/>
                </w:rPr>
                <w:t>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58"/>
        </w:trPr>
        <w:tc>
          <w:tcPr>
            <w:tcW w:w="1200" w:type="dxa"/>
            <w:vAlign w:val="bottom"/>
          </w:tcPr>
          <w:p>
            <w:pPr>
              <w:ind w:left="80"/>
              <w:spacing w:after="0"/>
              <w:rPr>
                <w:sz w:val="20"/>
                <w:szCs w:val="20"/>
                <w:color w:val="auto"/>
              </w:rPr>
            </w:pPr>
            <w:r>
              <w:rPr>
                <w:rFonts w:ascii="Arial" w:cs="Arial" w:eastAsia="Arial" w:hAnsi="Arial"/>
                <w:sz w:val="16"/>
                <w:szCs w:val="16"/>
                <w:color w:val="auto"/>
              </w:rPr>
              <w:t>10.10</w:t>
            </w:r>
          </w:p>
        </w:tc>
        <w:tc>
          <w:tcPr>
            <w:tcW w:w="10000" w:type="dxa"/>
            <w:vAlign w:val="bottom"/>
            <w:gridSpan w:val="16"/>
          </w:tcPr>
          <w:p>
            <w:pPr>
              <w:spacing w:after="0"/>
              <w:rPr>
                <w:rFonts w:ascii="Arial" w:cs="Arial" w:eastAsia="Arial" w:hAnsi="Arial"/>
                <w:sz w:val="16"/>
                <w:szCs w:val="16"/>
                <w:color w:val="0000FF"/>
                <w:w w:val="95"/>
              </w:rPr>
            </w:pPr>
            <w:hyperlink r:id="rId278">
              <w:r>
                <w:rPr>
                  <w:rFonts w:ascii="Arial" w:cs="Arial" w:eastAsia="Arial" w:hAnsi="Arial"/>
                  <w:sz w:val="16"/>
                  <w:szCs w:val="16"/>
                  <w:color w:val="0000FF"/>
                  <w:w w:val="95"/>
                </w:rPr>
                <w:t>Securities Purchase Agreement, dated May 11, 2018, between MEI Pharma, Inc. and the purchasers identified in Exhibit A therein (incorporated by</w:t>
              </w:r>
            </w:hyperlink>
          </w:p>
        </w:tc>
      </w:tr>
      <w:tr>
        <w:trPr>
          <w:trHeight w:val="20"/>
        </w:trPr>
        <w:tc>
          <w:tcPr>
            <w:tcW w:w="1200" w:type="dxa"/>
            <w:vAlign w:val="bottom"/>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r:id="rId278">
              <w:r>
                <w:rPr>
                  <w:rFonts w:ascii="Arial" w:cs="Arial" w:eastAsia="Arial" w:hAnsi="Arial"/>
                  <w:sz w:val="16"/>
                  <w:szCs w:val="16"/>
                  <w:color w:val="0000FF"/>
                </w:rPr>
                <w:t>reference to Exhibit 10.1 to the Registrant’s Current Report on Form 8-K filed on May 16, 2018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7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85"/>
        </w:trPr>
        <w:tc>
          <w:tcPr>
            <w:tcW w:w="1200" w:type="dxa"/>
            <w:vAlign w:val="bottom"/>
          </w:tcPr>
          <w:p>
            <w:pPr>
              <w:ind w:left="80"/>
              <w:spacing w:after="0"/>
              <w:rPr>
                <w:sz w:val="20"/>
                <w:szCs w:val="20"/>
                <w:color w:val="auto"/>
              </w:rPr>
            </w:pPr>
            <w:r>
              <w:rPr>
                <w:rFonts w:ascii="Arial" w:cs="Arial" w:eastAsia="Arial" w:hAnsi="Arial"/>
                <w:sz w:val="16"/>
                <w:szCs w:val="16"/>
                <w:color w:val="auto"/>
              </w:rPr>
              <w:t>10.11**</w:t>
            </w:r>
          </w:p>
        </w:tc>
        <w:tc>
          <w:tcPr>
            <w:tcW w:w="10000" w:type="dxa"/>
            <w:vAlign w:val="bottom"/>
            <w:gridSpan w:val="16"/>
          </w:tcPr>
          <w:p>
            <w:pPr>
              <w:spacing w:after="0"/>
              <w:rPr>
                <w:rFonts w:ascii="Arial" w:cs="Arial" w:eastAsia="Arial" w:hAnsi="Arial"/>
                <w:sz w:val="16"/>
                <w:szCs w:val="16"/>
                <w:color w:val="0000FF"/>
                <w:w w:val="95"/>
              </w:rPr>
            </w:pPr>
            <w:hyperlink r:id="rId288">
              <w:r>
                <w:rPr>
                  <w:rFonts w:ascii="Arial" w:cs="Arial" w:eastAsia="Arial" w:hAnsi="Arial"/>
                  <w:sz w:val="16"/>
                  <w:szCs w:val="16"/>
                  <w:color w:val="0000FF"/>
                  <w:w w:val="95"/>
                </w:rPr>
                <w:t>License, Development and Commercialization Agreement, dated as of October 31, 2018, by and between the Company and Kyowa Hakko Kirin Co.,</w:t>
              </w:r>
            </w:hyperlink>
          </w:p>
        </w:tc>
      </w:tr>
      <w:tr>
        <w:trPr>
          <w:trHeight w:val="20"/>
        </w:trPr>
        <w:tc>
          <w:tcPr>
            <w:tcW w:w="1200" w:type="dxa"/>
            <w:vAlign w:val="bottom"/>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w w:val="98"/>
              </w:rPr>
            </w:pPr>
            <w:hyperlink r:id="rId288">
              <w:r>
                <w:rPr>
                  <w:rFonts w:ascii="Arial" w:cs="Arial" w:eastAsia="Arial" w:hAnsi="Arial"/>
                  <w:sz w:val="16"/>
                  <w:szCs w:val="16"/>
                  <w:color w:val="0000FF"/>
                  <w:w w:val="98"/>
                </w:rPr>
                <w:t>Ltd., now known as Kyowa Kirin Company (incorporated by reference to Exhibit 10.1 to the Registrant’s Quarterly Report on Form 10-Q filed on</w:t>
              </w:r>
            </w:hyperlink>
          </w:p>
        </w:tc>
      </w:tr>
      <w:tr>
        <w:trPr>
          <w:trHeight w:val="20"/>
        </w:trPr>
        <w:tc>
          <w:tcPr>
            <w:tcW w:w="1200" w:type="dxa"/>
            <w:vAlign w:val="bottom"/>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r:id="rId288">
              <w:r>
                <w:rPr>
                  <w:rFonts w:ascii="Arial" w:cs="Arial" w:eastAsia="Arial" w:hAnsi="Arial"/>
                  <w:sz w:val="16"/>
                  <w:szCs w:val="16"/>
                  <w:color w:val="0000FF"/>
                </w:rPr>
                <w:t>February 7, 2019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58"/>
        </w:trPr>
        <w:tc>
          <w:tcPr>
            <w:tcW w:w="1200" w:type="dxa"/>
            <w:vAlign w:val="bottom"/>
          </w:tcPr>
          <w:p>
            <w:pPr>
              <w:ind w:left="80"/>
              <w:spacing w:after="0"/>
              <w:rPr>
                <w:sz w:val="20"/>
                <w:szCs w:val="20"/>
                <w:color w:val="auto"/>
              </w:rPr>
            </w:pPr>
            <w:r>
              <w:rPr>
                <w:rFonts w:ascii="Arial" w:cs="Arial" w:eastAsia="Arial" w:hAnsi="Arial"/>
                <w:sz w:val="16"/>
                <w:szCs w:val="16"/>
                <w:color w:val="auto"/>
              </w:rPr>
              <w:t>10.12***</w:t>
            </w:r>
          </w:p>
        </w:tc>
        <w:tc>
          <w:tcPr>
            <w:tcW w:w="10000" w:type="dxa"/>
            <w:vAlign w:val="bottom"/>
            <w:gridSpan w:val="16"/>
          </w:tcPr>
          <w:p>
            <w:pPr>
              <w:spacing w:after="0"/>
              <w:rPr>
                <w:rFonts w:ascii="Arial" w:cs="Arial" w:eastAsia="Arial" w:hAnsi="Arial"/>
                <w:sz w:val="16"/>
                <w:szCs w:val="16"/>
                <w:color w:val="0000FF"/>
                <w:w w:val="92"/>
              </w:rPr>
            </w:pPr>
            <w:hyperlink r:id="rId289">
              <w:r>
                <w:rPr>
                  <w:rFonts w:ascii="Arial" w:cs="Arial" w:eastAsia="Arial" w:hAnsi="Arial"/>
                  <w:sz w:val="16"/>
                  <w:szCs w:val="16"/>
                  <w:color w:val="0000FF"/>
                  <w:w w:val="92"/>
                </w:rPr>
                <w:t>License, Development and Commercialization Agreement, dated as of April 13, 2020, by and between the Company and Kyowa Kirin Co., Ltd. (formerly</w:t>
              </w:r>
            </w:hyperlink>
          </w:p>
        </w:tc>
      </w:tr>
      <w:tr>
        <w:trPr>
          <w:trHeight w:val="20"/>
        </w:trPr>
        <w:tc>
          <w:tcPr>
            <w:tcW w:w="1200" w:type="dxa"/>
            <w:vAlign w:val="bottom"/>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15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r:id="rId289">
              <w:r>
                <w:rPr>
                  <w:rFonts w:ascii="Arial" w:cs="Arial" w:eastAsia="Arial" w:hAnsi="Arial"/>
                  <w:sz w:val="16"/>
                  <w:szCs w:val="16"/>
                  <w:color w:val="0000FF"/>
                </w:rPr>
                <w:t>known as Kyowa Hakko Kirin Co., Ltd.)*</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85"/>
        </w:trPr>
        <w:tc>
          <w:tcPr>
            <w:tcW w:w="1200" w:type="dxa"/>
            <w:vAlign w:val="bottom"/>
          </w:tcPr>
          <w:p>
            <w:pPr>
              <w:ind w:left="80"/>
              <w:spacing w:after="0"/>
              <w:rPr>
                <w:sz w:val="20"/>
                <w:szCs w:val="20"/>
                <w:color w:val="auto"/>
              </w:rPr>
            </w:pPr>
            <w:r>
              <w:rPr>
                <w:rFonts w:ascii="Arial" w:cs="Arial" w:eastAsia="Arial" w:hAnsi="Arial"/>
                <w:sz w:val="16"/>
                <w:szCs w:val="16"/>
                <w:color w:val="auto"/>
              </w:rPr>
              <w:t>23.1</w:t>
            </w:r>
          </w:p>
        </w:tc>
        <w:tc>
          <w:tcPr>
            <w:tcW w:w="10000" w:type="dxa"/>
            <w:vAlign w:val="bottom"/>
            <w:gridSpan w:val="16"/>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Consent of Independent Registered Public Accounting Firm*</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588"/>
        </w:trPr>
        <w:tc>
          <w:tcPr>
            <w:tcW w:w="1200" w:type="dxa"/>
            <w:vAlign w:val="bottom"/>
          </w:tcPr>
          <w:p>
            <w:pPr>
              <w:ind w:left="80"/>
              <w:spacing w:after="0"/>
              <w:rPr>
                <w:sz w:val="20"/>
                <w:szCs w:val="20"/>
                <w:color w:val="auto"/>
              </w:rPr>
            </w:pPr>
            <w:r>
              <w:rPr>
                <w:rFonts w:ascii="Arial" w:cs="Arial" w:eastAsia="Arial" w:hAnsi="Arial"/>
                <w:sz w:val="16"/>
                <w:szCs w:val="16"/>
                <w:color w:val="auto"/>
              </w:rPr>
              <w:t>31.1</w:t>
            </w:r>
          </w:p>
        </w:tc>
        <w:tc>
          <w:tcPr>
            <w:tcW w:w="10000" w:type="dxa"/>
            <w:vAlign w:val="bottom"/>
            <w:gridSpan w:val="16"/>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Certification of Chief Executive Officer pursuant to Rule 13a-14(A) promulgated under the Securities Exchange Act of 1934*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5900" w:type="dxa"/>
            <w:vAlign w:val="bottom"/>
            <w:gridSpan w:val="6"/>
            <w:shd w:val="clear" w:color="auto" w:fill="0000FF"/>
          </w:tcPr>
          <w:p>
            <w:pPr>
              <w:spacing w:after="0" w:line="20" w:lineRule="exact"/>
              <w:rPr>
                <w:sz w:val="1"/>
                <w:szCs w:val="1"/>
                <w:color w:val="auto"/>
              </w:rPr>
            </w:pPr>
          </w:p>
        </w:tc>
        <w:tc>
          <w:tcPr>
            <w:tcW w:w="1540" w:type="dxa"/>
            <w:vAlign w:val="bottom"/>
            <w:tcBorders>
              <w:left w:val="single" w:sz="8" w:color="0000FF"/>
            </w:tcBorders>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588"/>
        </w:trPr>
        <w:tc>
          <w:tcPr>
            <w:tcW w:w="1200" w:type="dxa"/>
            <w:vAlign w:val="bottom"/>
          </w:tcPr>
          <w:p>
            <w:pPr>
              <w:ind w:left="80"/>
              <w:spacing w:after="0"/>
              <w:rPr>
                <w:sz w:val="20"/>
                <w:szCs w:val="20"/>
                <w:color w:val="auto"/>
              </w:rPr>
            </w:pPr>
            <w:r>
              <w:rPr>
                <w:rFonts w:ascii="Arial" w:cs="Arial" w:eastAsia="Arial" w:hAnsi="Arial"/>
                <w:sz w:val="16"/>
                <w:szCs w:val="16"/>
                <w:color w:val="auto"/>
              </w:rPr>
              <w:t>31.2</w:t>
            </w:r>
          </w:p>
        </w:tc>
        <w:tc>
          <w:tcPr>
            <w:tcW w:w="10000" w:type="dxa"/>
            <w:vAlign w:val="bottom"/>
            <w:gridSpan w:val="16"/>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Certification of Chief Financial Officer pursuant to Rule 13a-14(A) promulgated under the Securities Exchange Act of 1934*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5900" w:type="dxa"/>
            <w:vAlign w:val="bottom"/>
            <w:gridSpan w:val="6"/>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587"/>
        </w:trPr>
        <w:tc>
          <w:tcPr>
            <w:tcW w:w="1200" w:type="dxa"/>
            <w:vAlign w:val="bottom"/>
          </w:tcPr>
          <w:p>
            <w:pPr>
              <w:ind w:left="80"/>
              <w:spacing w:after="0"/>
              <w:rPr>
                <w:sz w:val="20"/>
                <w:szCs w:val="20"/>
                <w:color w:val="auto"/>
              </w:rPr>
            </w:pPr>
            <w:r>
              <w:rPr>
                <w:rFonts w:ascii="Arial" w:cs="Arial" w:eastAsia="Arial" w:hAnsi="Arial"/>
                <w:sz w:val="16"/>
                <w:szCs w:val="16"/>
                <w:color w:val="auto"/>
              </w:rPr>
              <w:t>32.1</w:t>
            </w:r>
          </w:p>
        </w:tc>
        <w:tc>
          <w:tcPr>
            <w:tcW w:w="10000" w:type="dxa"/>
            <w:vAlign w:val="bottom"/>
            <w:gridSpan w:val="16"/>
          </w:tcPr>
          <w:p>
            <w:pPr>
              <w:spacing w:after="0"/>
              <w:rPr>
                <w:rFonts w:ascii="Arial" w:cs="Arial" w:eastAsia="Arial" w:hAnsi="Arial"/>
                <w:sz w:val="16"/>
                <w:szCs w:val="16"/>
                <w:color w:val="0000FF"/>
                <w:w w:val="97"/>
              </w:rPr>
            </w:pPr>
            <w:hyperlink w:anchor="page91">
              <w:r>
                <w:rPr>
                  <w:rFonts w:ascii="Arial" w:cs="Arial" w:eastAsia="Arial" w:hAnsi="Arial"/>
                  <w:sz w:val="16"/>
                  <w:szCs w:val="16"/>
                  <w:color w:val="0000FF"/>
                  <w:w w:val="97"/>
                </w:rPr>
                <w:t>Certification of Chief Executive Officer and Chief Financial Officer pursuant to 18 U.S.C. Section 1350 and Rule 13a-14(B) promulgated under the</w:t>
              </w:r>
            </w:hyperlink>
          </w:p>
        </w:tc>
      </w:tr>
      <w:tr>
        <w:trPr>
          <w:trHeight w:val="20"/>
        </w:trPr>
        <w:tc>
          <w:tcPr>
            <w:tcW w:w="1200" w:type="dxa"/>
            <w:vAlign w:val="bottom"/>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7440" w:type="dxa"/>
            <w:vAlign w:val="bottom"/>
            <w:gridSpan w:val="9"/>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16"/>
          </w:tcPr>
          <w:p>
            <w:pPr>
              <w:spacing w:after="0" w:line="183" w:lineRule="exact"/>
              <w:rPr>
                <w:rFonts w:ascii="Arial" w:cs="Arial" w:eastAsia="Arial" w:hAnsi="Arial"/>
                <w:sz w:val="16"/>
                <w:szCs w:val="16"/>
                <w:color w:val="0000FF"/>
              </w:rPr>
            </w:pPr>
            <w:hyperlink w:anchor="page91">
              <w:r>
                <w:rPr>
                  <w:rFonts w:ascii="Arial" w:cs="Arial" w:eastAsia="Arial" w:hAnsi="Arial"/>
                  <w:sz w:val="16"/>
                  <w:szCs w:val="16"/>
                  <w:color w:val="0000FF"/>
                </w:rPr>
                <w:t>Securities Exchange Act of 1934*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3"/>
            <w:shd w:val="clear" w:color="auto" w:fill="0000FF"/>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r>
      <w:tr>
        <w:trPr>
          <w:trHeight w:val="416"/>
        </w:trPr>
        <w:tc>
          <w:tcPr>
            <w:tcW w:w="1200" w:type="dxa"/>
            <w:vAlign w:val="bottom"/>
          </w:tcPr>
          <w:p>
            <w:pPr>
              <w:spacing w:after="0"/>
              <w:rPr>
                <w:sz w:val="20"/>
                <w:szCs w:val="20"/>
                <w:color w:val="auto"/>
              </w:rPr>
            </w:pPr>
            <w:r>
              <w:rPr>
                <w:rFonts w:ascii="Arial" w:cs="Arial" w:eastAsia="Arial" w:hAnsi="Arial"/>
                <w:sz w:val="16"/>
                <w:szCs w:val="16"/>
                <w:color w:val="auto"/>
              </w:rPr>
              <w:t>101.INS</w:t>
            </w:r>
          </w:p>
        </w:tc>
        <w:tc>
          <w:tcPr>
            <w:tcW w:w="10000" w:type="dxa"/>
            <w:vAlign w:val="bottom"/>
            <w:gridSpan w:val="16"/>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XBRL tags are embedded within the Inline</w:t>
            </w:r>
          </w:p>
        </w:tc>
      </w:tr>
      <w:tr>
        <w:trPr>
          <w:trHeight w:val="206"/>
        </w:trPr>
        <w:tc>
          <w:tcPr>
            <w:tcW w:w="1200" w:type="dxa"/>
            <w:vAlign w:val="bottom"/>
          </w:tcPr>
          <w:p>
            <w:pPr>
              <w:spacing w:after="0"/>
              <w:rPr>
                <w:sz w:val="17"/>
                <w:szCs w:val="17"/>
                <w:color w:val="auto"/>
              </w:rPr>
            </w:pPr>
          </w:p>
        </w:tc>
        <w:tc>
          <w:tcPr>
            <w:tcW w:w="10000" w:type="dxa"/>
            <w:vAlign w:val="bottom"/>
            <w:gridSpan w:val="16"/>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10000" w:type="dxa"/>
            <w:vAlign w:val="bottom"/>
            <w:gridSpan w:val="1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580"/>
        </w:trPr>
        <w:tc>
          <w:tcPr>
            <w:tcW w:w="1200" w:type="dxa"/>
            <w:vAlign w:val="bottom"/>
          </w:tcPr>
          <w:p>
            <w:pPr>
              <w:spacing w:after="0"/>
              <w:rPr>
                <w:sz w:val="20"/>
                <w:szCs w:val="20"/>
                <w:color w:val="auto"/>
              </w:rPr>
            </w:pPr>
            <w:r>
              <w:rPr>
                <w:rFonts w:ascii="Arial" w:cs="Arial" w:eastAsia="Arial" w:hAnsi="Arial"/>
                <w:sz w:val="16"/>
                <w:szCs w:val="16"/>
                <w:color w:val="auto"/>
              </w:rPr>
              <w:t>101.CAL</w:t>
            </w:r>
          </w:p>
        </w:tc>
        <w:tc>
          <w:tcPr>
            <w:tcW w:w="10000" w:type="dxa"/>
            <w:vAlign w:val="bottom"/>
            <w:gridSpan w:val="16"/>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580"/>
        </w:trPr>
        <w:tc>
          <w:tcPr>
            <w:tcW w:w="1200" w:type="dxa"/>
            <w:vAlign w:val="bottom"/>
          </w:tcPr>
          <w:p>
            <w:pPr>
              <w:spacing w:after="0"/>
              <w:rPr>
                <w:sz w:val="20"/>
                <w:szCs w:val="20"/>
                <w:color w:val="auto"/>
              </w:rPr>
            </w:pPr>
            <w:r>
              <w:rPr>
                <w:rFonts w:ascii="Arial" w:cs="Arial" w:eastAsia="Arial" w:hAnsi="Arial"/>
                <w:sz w:val="16"/>
                <w:szCs w:val="16"/>
                <w:color w:val="auto"/>
              </w:rPr>
              <w:t>101.DEF</w:t>
            </w:r>
          </w:p>
        </w:tc>
        <w:tc>
          <w:tcPr>
            <w:tcW w:w="10000" w:type="dxa"/>
            <w:vAlign w:val="bottom"/>
            <w:gridSpan w:val="1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580"/>
        </w:trPr>
        <w:tc>
          <w:tcPr>
            <w:tcW w:w="1200" w:type="dxa"/>
            <w:vAlign w:val="bottom"/>
          </w:tcPr>
          <w:p>
            <w:pPr>
              <w:spacing w:after="0"/>
              <w:rPr>
                <w:sz w:val="20"/>
                <w:szCs w:val="20"/>
                <w:color w:val="auto"/>
              </w:rPr>
            </w:pPr>
            <w:r>
              <w:rPr>
                <w:rFonts w:ascii="Arial" w:cs="Arial" w:eastAsia="Arial" w:hAnsi="Arial"/>
                <w:sz w:val="16"/>
                <w:szCs w:val="16"/>
                <w:color w:val="auto"/>
              </w:rPr>
              <w:t>101.LAB</w:t>
            </w:r>
          </w:p>
        </w:tc>
        <w:tc>
          <w:tcPr>
            <w:tcW w:w="10000" w:type="dxa"/>
            <w:vAlign w:val="bottom"/>
            <w:gridSpan w:val="1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580"/>
        </w:trPr>
        <w:tc>
          <w:tcPr>
            <w:tcW w:w="1200" w:type="dxa"/>
            <w:vAlign w:val="bottom"/>
          </w:tcPr>
          <w:p>
            <w:pPr>
              <w:spacing w:after="0"/>
              <w:rPr>
                <w:sz w:val="20"/>
                <w:szCs w:val="20"/>
                <w:color w:val="auto"/>
              </w:rPr>
            </w:pPr>
            <w:r>
              <w:rPr>
                <w:rFonts w:ascii="Arial" w:cs="Arial" w:eastAsia="Arial" w:hAnsi="Arial"/>
                <w:sz w:val="16"/>
                <w:szCs w:val="16"/>
                <w:color w:val="auto"/>
              </w:rPr>
              <w:t>101.PRE</w:t>
            </w:r>
          </w:p>
        </w:tc>
        <w:tc>
          <w:tcPr>
            <w:tcW w:w="10000" w:type="dxa"/>
            <w:vAlign w:val="bottom"/>
            <w:gridSpan w:val="16"/>
          </w:tcPr>
          <w:p>
            <w:pPr>
              <w:spacing w:after="0"/>
              <w:rPr>
                <w:sz w:val="20"/>
                <w:szCs w:val="20"/>
                <w:color w:val="auto"/>
              </w:rPr>
            </w:pPr>
            <w:r>
              <w:rPr>
                <w:rFonts w:ascii="Arial" w:cs="Arial" w:eastAsia="Arial" w:hAnsi="Arial"/>
                <w:sz w:val="16"/>
                <w:szCs w:val="16"/>
                <w:color w:val="auto"/>
              </w:rPr>
              <w:t>Inline XBRL Taxonomy Extension Presentation Linkbase Document *</w:t>
            </w:r>
          </w:p>
        </w:tc>
      </w:tr>
      <w:tr>
        <w:trPr>
          <w:trHeight w:val="459"/>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0000" w:type="dxa"/>
            <w:vAlign w:val="bottom"/>
            <w:gridSpan w:val="16"/>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93" w:lineRule="exact"/>
        <w:rPr>
          <w:sz w:val="20"/>
          <w:szCs w:val="20"/>
          <w:color w:val="auto"/>
        </w:rPr>
      </w:pPr>
    </w:p>
    <w:p>
      <w:pPr>
        <w:ind w:left="600" w:hanging="579"/>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46" w:lineRule="exact"/>
        <w:rPr>
          <w:sz w:val="20"/>
          <w:szCs w:val="20"/>
          <w:color w:val="auto"/>
        </w:rPr>
      </w:pPr>
    </w:p>
    <w:p>
      <w:pPr>
        <w:ind w:left="600" w:hanging="579"/>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Portions of this exhibit have been redacted pursuant to a confidential treatment request filed with the Securities and Exchange Commission.</w:t>
      </w:r>
    </w:p>
    <w:p>
      <w:pPr>
        <w:spacing w:after="0" w:line="46" w:lineRule="exact"/>
        <w:rPr>
          <w:sz w:val="20"/>
          <w:szCs w:val="20"/>
          <w:color w:val="auto"/>
        </w:rPr>
      </w:pPr>
    </w:p>
    <w:p>
      <w:pPr>
        <w:ind w:left="600" w:hanging="579"/>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Portions of this exhibit have been redacted pursuant to Item 601(b)(10)(iv) of Regulation S-K.</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20"/>
          </w:cols>
          <w:pgMar w:left="320" w:top="418" w:right="359" w:bottom="1440" w:gutter="0" w:footer="0" w:header="0"/>
        </w:sect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81" w:name="page82"/>
    <w:bookmarkEnd w:id="81"/>
    <w:p>
      <w:pPr>
        <w:spacing w:after="0" w:line="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Annual Report on Form 10-K to be signed on its behalf by the undersigned, thereunto duly authorized, on September 2, 2021.</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MEI PHARMA,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293"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27089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Daniel P. Gold</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indicated on September 2, 2021.</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Signatures</w:t>
            </w:r>
          </w:p>
        </w:tc>
        <w:tc>
          <w:tcPr>
            <w:tcW w:w="1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Title</w:t>
            </w:r>
          </w:p>
        </w:tc>
        <w:tc>
          <w:tcPr>
            <w:tcW w:w="840" w:type="dxa"/>
            <w:vAlign w:val="bottom"/>
          </w:tcPr>
          <w:p>
            <w:pPr>
              <w:spacing w:after="0"/>
              <w:rPr>
                <w:sz w:val="14"/>
                <w:szCs w:val="14"/>
                <w:color w:val="auto"/>
              </w:rPr>
            </w:pPr>
          </w:p>
        </w:tc>
      </w:tr>
      <w:tr>
        <w:trPr>
          <w:trHeight w:val="477"/>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Daniel P. Gold</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w w:val="93"/>
              </w:rPr>
              <w:t>President, Chief Executive Officer and 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Daniel P. Gold</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(Principal Executive Officer)</w:t>
            </w: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Brian G. Drazba</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Secretary, Chief Financial Officer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Brian G. Drazba</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(Principal Financial and Accounting Officer)</w:t>
            </w: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Christine A. White</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Chairman</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Christine A. White</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Charles V. Baltic III</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Charles V. Baltic</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Thomas C. Reynolds</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Thomas C. Reynolds</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Nicholas R. Glover</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Nicholas R. Glover</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Kevan E. Clemens</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Kevan E. Clemens</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Frederick W. Driscoll</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Frederick W. Driscoll</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Tamar D. Howson</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436"/>
        </w:trPr>
        <w:tc>
          <w:tcPr>
            <w:tcW w:w="9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Tamar D. Howson</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59"/>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Cheryl L. Cohen</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bl>
    <w:p>
      <w:pPr>
        <w:sectPr>
          <w:pgSz w:w="11900" w:h="16851" w:orient="portrait"/>
          <w:cols w:equalWidth="0" w:num="1">
            <w:col w:w="10900"/>
          </w:cols>
          <w:pgMar w:left="320" w:top="418" w:right="679" w:bottom="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Cheryl L. Cohen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85090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99"/>
          </w:cols>
          <w:pgMar w:left="1260" w:top="40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771525" cy="7715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1F1F1F"/>
        </w:rPr>
        <w:t>11975 El Camino Real,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1F1F"/>
        </w:rPr>
        <w:t>San Diego, CA 92130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1F1F"/>
        </w:rPr>
        <w:t>858-792-6300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1F1F1F"/>
        </w:rPr>
        <w:t>February 17,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F1F1F"/>
        </w:rPr>
        <w:t>Dear Richard,</w:t>
      </w:r>
    </w:p>
    <w:p>
      <w:pPr>
        <w:spacing w:after="0" w:line="252" w:lineRule="exact"/>
        <w:rPr>
          <w:sz w:val="20"/>
          <w:szCs w:val="20"/>
          <w:color w:val="auto"/>
        </w:rPr>
      </w:pPr>
    </w:p>
    <w:p>
      <w:pPr>
        <w:jc w:val="both"/>
        <w:ind w:right="200"/>
        <w:spacing w:after="0" w:line="295" w:lineRule="auto"/>
        <w:rPr>
          <w:sz w:val="20"/>
          <w:szCs w:val="20"/>
          <w:color w:val="auto"/>
        </w:rPr>
      </w:pPr>
      <w:r>
        <w:rPr>
          <w:rFonts w:ascii="Arial" w:cs="Arial" w:eastAsia="Arial" w:hAnsi="Arial"/>
          <w:sz w:val="18"/>
          <w:szCs w:val="18"/>
          <w:color w:val="1F1F1F"/>
        </w:rPr>
        <w:t>On behalf of MEI Pharma, Inc. ("</w:t>
      </w:r>
      <w:r>
        <w:rPr>
          <w:rFonts w:ascii="Arial" w:cs="Arial" w:eastAsia="Arial" w:hAnsi="Arial"/>
          <w:sz w:val="18"/>
          <w:szCs w:val="18"/>
          <w:u w:val="single" w:color="auto"/>
          <w:color w:val="1F1F1F"/>
        </w:rPr>
        <w:t>MEI</w:t>
      </w:r>
      <w:r>
        <w:rPr>
          <w:rFonts w:ascii="Arial" w:cs="Arial" w:eastAsia="Arial" w:hAnsi="Arial"/>
          <w:sz w:val="18"/>
          <w:szCs w:val="18"/>
          <w:color w:val="1F1F1F"/>
        </w:rPr>
        <w:t>"), I am pleased to extend to you a full-time position as Senior Vice President of Clinical Development reporting to Robert Mass, MD, Chief Medical Officer and to Daniel P. Gold, President and Chief Executive Officer of MEI Pharma, Inc. Your employment will start March 7, 2016 (your "</w:t>
      </w:r>
      <w:r>
        <w:rPr>
          <w:rFonts w:ascii="Arial" w:cs="Arial" w:eastAsia="Arial" w:hAnsi="Arial"/>
          <w:sz w:val="18"/>
          <w:szCs w:val="18"/>
          <w:u w:val="single" w:color="auto"/>
          <w:color w:val="1F1F1F"/>
        </w:rPr>
        <w:t>Start Date</w:t>
      </w:r>
      <w:r>
        <w:rPr>
          <w:rFonts w:ascii="Arial" w:cs="Arial" w:eastAsia="Arial" w:hAnsi="Arial"/>
          <w:sz w:val="18"/>
          <w:szCs w:val="18"/>
          <w:color w:val="1F1F1F"/>
        </w:rPr>
        <w:t>"). This offer letter sets forth the terms and conditions of your employment.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1F1F1F"/>
        </w:rPr>
        <w:t>Your total compensation package is as follows:</w:t>
      </w:r>
    </w:p>
    <w:p>
      <w:pPr>
        <w:spacing w:after="0" w:line="131" w:lineRule="exact"/>
        <w:rPr>
          <w:sz w:val="20"/>
          <w:szCs w:val="20"/>
          <w:color w:val="auto"/>
        </w:rPr>
      </w:pPr>
    </w:p>
    <w:p>
      <w:pPr>
        <w:ind w:left="960" w:right="100" w:hanging="443"/>
        <w:spacing w:after="0" w:line="293" w:lineRule="auto"/>
        <w:tabs>
          <w:tab w:leader="none" w:pos="960" w:val="left"/>
        </w:tabs>
        <w:numPr>
          <w:ilvl w:val="0"/>
          <w:numId w:val="11"/>
        </w:numPr>
        <w:rPr>
          <w:rFonts w:ascii="Arial" w:cs="Arial" w:eastAsia="Arial" w:hAnsi="Arial"/>
          <w:sz w:val="18"/>
          <w:szCs w:val="18"/>
          <w:color w:val="1F1F1F"/>
        </w:rPr>
      </w:pPr>
      <w:r>
        <w:rPr>
          <w:rFonts w:ascii="Arial" w:cs="Arial" w:eastAsia="Arial" w:hAnsi="Arial"/>
          <w:sz w:val="18"/>
          <w:szCs w:val="18"/>
          <w:color w:val="1F1F1F"/>
        </w:rPr>
        <w:t>Your compensation category is "exempt" and you will be at the rate of $30,666.67 per month ($368,000 annual salary) effective on your Start Date payable in accordance with MEI's regular payroll practices (currently, the 15th and the last day of the month).</w:t>
      </w:r>
    </w:p>
    <w:p>
      <w:pPr>
        <w:spacing w:after="0" w:line="61" w:lineRule="exact"/>
        <w:rPr>
          <w:rFonts w:ascii="Arial" w:cs="Arial" w:eastAsia="Arial" w:hAnsi="Arial"/>
          <w:sz w:val="18"/>
          <w:szCs w:val="18"/>
          <w:color w:val="1F1F1F"/>
        </w:rPr>
      </w:pPr>
    </w:p>
    <w:p>
      <w:pPr>
        <w:ind w:left="960" w:right="80" w:hanging="443"/>
        <w:spacing w:after="0" w:line="324" w:lineRule="auto"/>
        <w:tabs>
          <w:tab w:leader="none" w:pos="960" w:val="left"/>
        </w:tabs>
        <w:numPr>
          <w:ilvl w:val="0"/>
          <w:numId w:val="11"/>
        </w:numPr>
        <w:rPr>
          <w:rFonts w:ascii="Arial" w:cs="Arial" w:eastAsia="Arial" w:hAnsi="Arial"/>
          <w:sz w:val="17"/>
          <w:szCs w:val="17"/>
          <w:color w:val="1F1F1F"/>
        </w:rPr>
      </w:pPr>
      <w:r>
        <w:rPr>
          <w:rFonts w:ascii="Arial" w:cs="Arial" w:eastAsia="Arial" w:hAnsi="Arial"/>
          <w:sz w:val="17"/>
          <w:szCs w:val="17"/>
          <w:color w:val="1F1F1F"/>
        </w:rPr>
        <w:t>As of the first of the month following your Start Date, you will be eligible to participate in MEI's current package of benefits, which includes: HSA account, health and vision insurance, life insurance, voluntary life insurance and a non-employer contributed 401k.</w:t>
      </w:r>
    </w:p>
    <w:p>
      <w:pPr>
        <w:spacing w:after="0" w:line="39" w:lineRule="exact"/>
        <w:rPr>
          <w:rFonts w:ascii="Arial" w:cs="Arial" w:eastAsia="Arial" w:hAnsi="Arial"/>
          <w:sz w:val="17"/>
          <w:szCs w:val="17"/>
          <w:color w:val="1F1F1F"/>
        </w:rPr>
      </w:pPr>
    </w:p>
    <w:p>
      <w:pPr>
        <w:ind w:left="960" w:right="580" w:hanging="443"/>
        <w:spacing w:after="0" w:line="293" w:lineRule="auto"/>
        <w:tabs>
          <w:tab w:leader="none" w:pos="960" w:val="left"/>
        </w:tabs>
        <w:numPr>
          <w:ilvl w:val="0"/>
          <w:numId w:val="11"/>
        </w:numPr>
        <w:rPr>
          <w:rFonts w:ascii="Arial" w:cs="Arial" w:eastAsia="Arial" w:hAnsi="Arial"/>
          <w:sz w:val="18"/>
          <w:szCs w:val="18"/>
          <w:color w:val="1F1F1F"/>
        </w:rPr>
      </w:pPr>
      <w:r>
        <w:rPr>
          <w:rFonts w:ascii="Arial" w:cs="Arial" w:eastAsia="Arial" w:hAnsi="Arial"/>
          <w:sz w:val="18"/>
          <w:szCs w:val="18"/>
          <w:color w:val="1F1F1F"/>
        </w:rPr>
        <w:t>Personal time off (PTO) in accordance with MEI policies, currently 20 days of pay prorated annually, and accrued each pay period. An additional day is added for each year of work up until 25 days of PTO are awarded annually.</w:t>
      </w:r>
    </w:p>
    <w:p>
      <w:pPr>
        <w:spacing w:after="0" w:line="61" w:lineRule="exact"/>
        <w:rPr>
          <w:rFonts w:ascii="Arial" w:cs="Arial" w:eastAsia="Arial" w:hAnsi="Arial"/>
          <w:sz w:val="18"/>
          <w:szCs w:val="18"/>
          <w:color w:val="1F1F1F"/>
        </w:rPr>
      </w:pPr>
    </w:p>
    <w:p>
      <w:pPr>
        <w:ind w:left="960" w:hanging="443"/>
        <w:spacing w:after="0"/>
        <w:tabs>
          <w:tab w:leader="none" w:pos="960" w:val="left"/>
        </w:tabs>
        <w:numPr>
          <w:ilvl w:val="0"/>
          <w:numId w:val="11"/>
        </w:numPr>
        <w:rPr>
          <w:rFonts w:ascii="Arial" w:cs="Arial" w:eastAsia="Arial" w:hAnsi="Arial"/>
          <w:sz w:val="18"/>
          <w:szCs w:val="18"/>
          <w:color w:val="1F1F1F"/>
        </w:rPr>
      </w:pPr>
      <w:r>
        <w:rPr>
          <w:rFonts w:ascii="Arial" w:cs="Arial" w:eastAsia="Arial" w:hAnsi="Arial"/>
          <w:sz w:val="18"/>
          <w:szCs w:val="18"/>
          <w:color w:val="1F1F1F"/>
        </w:rPr>
        <w:t>Paid time off for holidays in accordance with MEI policies- currently 11 days in 2016.</w:t>
      </w:r>
    </w:p>
    <w:p>
      <w:pPr>
        <w:spacing w:after="0" w:line="130" w:lineRule="exact"/>
        <w:rPr>
          <w:rFonts w:ascii="Arial" w:cs="Arial" w:eastAsia="Arial" w:hAnsi="Arial"/>
          <w:sz w:val="18"/>
          <w:szCs w:val="18"/>
          <w:color w:val="1F1F1F"/>
        </w:rPr>
      </w:pPr>
    </w:p>
    <w:p>
      <w:pPr>
        <w:jc w:val="both"/>
        <w:ind w:left="960" w:right="420" w:hanging="443"/>
        <w:spacing w:after="0" w:line="279" w:lineRule="auto"/>
        <w:tabs>
          <w:tab w:leader="none" w:pos="960" w:val="left"/>
        </w:tabs>
        <w:numPr>
          <w:ilvl w:val="0"/>
          <w:numId w:val="11"/>
        </w:numPr>
        <w:rPr>
          <w:rFonts w:ascii="Arial" w:cs="Arial" w:eastAsia="Arial" w:hAnsi="Arial"/>
          <w:sz w:val="18"/>
          <w:szCs w:val="18"/>
          <w:color w:val="1F1F1F"/>
        </w:rPr>
      </w:pPr>
      <w:r>
        <w:rPr>
          <w:rFonts w:ascii="Arial" w:cs="Arial" w:eastAsia="Arial" w:hAnsi="Arial"/>
          <w:sz w:val="18"/>
          <w:szCs w:val="18"/>
          <w:color w:val="1F1F1F"/>
        </w:rPr>
        <w:t>You will be eligible to participate in MEI's discretionary annual bonus plan starting with the 2016 performance review period (fiscal year 7/1/2015 through 6/30/2016), which is currently targeted at 30% of base salary for employees at your level. Your bonus will be pro-rated based on the time you will work in our current fiscal year.</w:t>
      </w:r>
    </w:p>
    <w:p>
      <w:pPr>
        <w:spacing w:after="0" w:line="1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1F1F1F"/>
        </w:rPr>
        <w:t xml:space="preserve">In addition to the compensation and benefits described above, you will receive an initial stock option grant in the amount of 130,000 shares under the MEI Pharma, Inc. 2008 Amended and </w:t>
      </w:r>
      <w:r>
        <w:rPr>
          <w:rFonts w:ascii="Arial" w:cs="Arial" w:eastAsia="Arial" w:hAnsi="Arial"/>
          <w:sz w:val="16"/>
          <w:szCs w:val="16"/>
          <w:color w:val="212121"/>
        </w:rPr>
        <w:t>Restated Stock Omnibus Equity Compensation Plan ("MEI Plan"). The option price will be set at the closing price of</w:t>
      </w:r>
      <w:r>
        <w:rPr>
          <w:rFonts w:ascii="Arial" w:cs="Arial" w:eastAsia="Arial" w:hAnsi="Arial"/>
          <w:sz w:val="16"/>
          <w:szCs w:val="16"/>
          <w:color w:val="1F1F1F"/>
        </w:rPr>
        <w:t xml:space="preserve"> </w:t>
      </w:r>
      <w:r>
        <w:rPr>
          <w:rFonts w:ascii="Arial" w:cs="Arial" w:eastAsia="Arial" w:hAnsi="Arial"/>
          <w:sz w:val="16"/>
          <w:szCs w:val="16"/>
          <w:color w:val="212121"/>
        </w:rPr>
        <w:t>MEI's stock on March 7, 2016. Shares of MEI's stock that are subject to the grant will vest as follows: 114th of the shares vest one year from your Start Date and the balance of the shares will vest in 36 equal monthly amounts over the following three years. The stock options otherwise will be subject to the generally applicable terms of the MEI Plan and the stock option grant agreement pursuant to which the options are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212121"/>
        </w:rPr>
        <w:t>There are certain employment termination provisions that will apply to you as follows:</w:t>
      </w:r>
    </w:p>
    <w:p>
      <w:pPr>
        <w:spacing w:after="0" w:line="131" w:lineRule="exact"/>
        <w:rPr>
          <w:sz w:val="20"/>
          <w:szCs w:val="20"/>
          <w:color w:val="auto"/>
        </w:rPr>
      </w:pPr>
    </w:p>
    <w:p>
      <w:pPr>
        <w:ind w:left="960" w:right="20"/>
        <w:spacing w:after="0" w:line="275" w:lineRule="auto"/>
        <w:rPr>
          <w:sz w:val="20"/>
          <w:szCs w:val="20"/>
          <w:color w:val="auto"/>
        </w:rPr>
      </w:pPr>
      <w:r>
        <w:rPr>
          <w:rFonts w:ascii="Arial" w:cs="Arial" w:eastAsia="Arial" w:hAnsi="Arial"/>
          <w:sz w:val="18"/>
          <w:szCs w:val="18"/>
          <w:u w:val="single" w:color="auto"/>
          <w:color w:val="212121"/>
        </w:rPr>
        <w:t>Voluntary Termination</w:t>
      </w:r>
      <w:r>
        <w:rPr>
          <w:rFonts w:ascii="Arial" w:cs="Arial" w:eastAsia="Arial" w:hAnsi="Arial"/>
          <w:sz w:val="18"/>
          <w:szCs w:val="18"/>
          <w:color w:val="212121"/>
        </w:rPr>
        <w:t>. You may terminate your employment voluntarily at any time and for any reason by providing MEI with one months' advance notice (or such shorter period of notice as MEI may accept). Upon your voluntary termination of employment (other than for Good Reason as described below), you are eligible to receive only such amounts that you have earned but that have not yet been paid to you and you will not be eligible for any severance pay or other benefits from MEI.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-481330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7" w:lineRule="exact"/>
        <w:rPr>
          <w:sz w:val="20"/>
          <w:szCs w:val="20"/>
          <w:color w:val="auto"/>
        </w:rPr>
      </w:pPr>
    </w:p>
    <w:p>
      <w:pPr>
        <w:ind w:left="960" w:right="100"/>
        <w:spacing w:after="0" w:line="329" w:lineRule="auto"/>
        <w:rPr>
          <w:sz w:val="20"/>
          <w:szCs w:val="20"/>
          <w:color w:val="auto"/>
        </w:rPr>
      </w:pPr>
      <w:r>
        <w:rPr>
          <w:rFonts w:ascii="Arial" w:cs="Arial" w:eastAsia="Arial" w:hAnsi="Arial"/>
          <w:sz w:val="16"/>
          <w:szCs w:val="16"/>
          <w:u w:val="single" w:color="auto"/>
          <w:color w:val="212121"/>
        </w:rPr>
        <w:t>Termination for Cause.</w:t>
      </w:r>
      <w:r>
        <w:rPr>
          <w:rFonts w:ascii="Arial" w:cs="Arial" w:eastAsia="Arial" w:hAnsi="Arial"/>
          <w:sz w:val="16"/>
          <w:szCs w:val="16"/>
          <w:color w:val="212121"/>
        </w:rPr>
        <w:t xml:space="preserve"> MEI may terminate your employment for Cause (as defined below). If MEI terminates your employment for Cause, MEI shall not be required to provide you with any advance notice. Upon termination for Cause, you are eligible to receive only such amounts that you have earned but that have not yet been paid to you and you will not be eligible for any severance pay or other benefits from MEI.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-359410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960"/>
        <w:spacing w:after="0" w:line="272" w:lineRule="auto"/>
        <w:rPr>
          <w:sz w:val="20"/>
          <w:szCs w:val="20"/>
          <w:color w:val="auto"/>
        </w:rPr>
      </w:pPr>
      <w:r>
        <w:rPr>
          <w:rFonts w:ascii="Arial" w:cs="Arial" w:eastAsia="Arial" w:hAnsi="Arial"/>
          <w:sz w:val="18"/>
          <w:szCs w:val="18"/>
          <w:u w:val="single" w:color="auto"/>
          <w:color w:val="212121"/>
        </w:rPr>
        <w:t>Termination by MEI Other than for Cause.</w:t>
      </w:r>
      <w:r>
        <w:rPr>
          <w:rFonts w:ascii="Arial" w:cs="Arial" w:eastAsia="Arial" w:hAnsi="Arial"/>
          <w:sz w:val="18"/>
          <w:szCs w:val="18"/>
          <w:color w:val="212121"/>
        </w:rPr>
        <w:t xml:space="preserve"> MEI may terminate your employment other than for Cause. Upon your termination of employment other than for Cause, MEI will make a payment to you in lieu of notice in an amount equal to nine months of your annual base salary (in effect at the time of termination) and accelerate the vesting of your options so that you will be vested in the same number of shares subject to the options as if you had continued to be employed by MEI for an additional nine months. Such payment and additional option vesting shall be conditional upon your execution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-623570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ind w:left="960" w:right="20"/>
        <w:spacing w:after="0" w:line="314" w:lineRule="auto"/>
        <w:rPr>
          <w:sz w:val="20"/>
          <w:szCs w:val="20"/>
          <w:color w:val="auto"/>
        </w:rPr>
      </w:pPr>
      <w:r>
        <w:rPr>
          <w:rFonts w:ascii="Arial" w:cs="Arial" w:eastAsia="Arial" w:hAnsi="Arial"/>
          <w:sz w:val="16"/>
          <w:szCs w:val="16"/>
          <w:color w:val="212121"/>
        </w:rPr>
        <w:t>customary release of claims in favor of MEI in a form prescribed by MEI. This payment in lieu of notice shall be paid to you in a single lump sum payment as soon as administratively practicable after the maximum review and revocation period for the release agreement as may be required under applicable law, or such earlier date as determined in MEI's sole discretion; provided, that if you fail to execute the release within 60 days following your termination date, you will not be entitled to any payment or additional option vesting. Except for providing you with this payment in lieu of notice and additional option vesting, you are not eligible for any severance pay or other benefits from MEI.</w:t>
      </w:r>
    </w:p>
    <w:p>
      <w:pPr>
        <w:spacing w:after="0" w:line="52" w:lineRule="exact"/>
        <w:rPr>
          <w:sz w:val="20"/>
          <w:szCs w:val="20"/>
          <w:color w:val="auto"/>
        </w:rPr>
      </w:pPr>
    </w:p>
    <w:p>
      <w:pPr>
        <w:ind w:left="960"/>
        <w:spacing w:after="0" w:line="286" w:lineRule="auto"/>
        <w:rPr>
          <w:sz w:val="20"/>
          <w:szCs w:val="20"/>
          <w:color w:val="auto"/>
        </w:rPr>
      </w:pPr>
      <w:r>
        <w:rPr>
          <w:rFonts w:ascii="Arial" w:cs="Arial" w:eastAsia="Arial" w:hAnsi="Arial"/>
          <w:sz w:val="17"/>
          <w:szCs w:val="17"/>
          <w:u w:val="single" w:color="auto"/>
          <w:color w:val="212121"/>
        </w:rPr>
        <w:t>Your Termination for Good Reason.</w:t>
      </w:r>
      <w:r>
        <w:rPr>
          <w:rFonts w:ascii="Arial" w:cs="Arial" w:eastAsia="Arial" w:hAnsi="Arial"/>
          <w:sz w:val="17"/>
          <w:szCs w:val="17"/>
          <w:color w:val="212121"/>
        </w:rPr>
        <w:t xml:space="preserve"> You may terminate your employment for Good Reason (as defined below) by providing written notice to MEI within 60 days after the occurrence of the event constituting Good Reason. The written notice shall contain a detailed description of the event giving rise to your termination for Good Reason. Following the receipt of your notice, MEI shall have a period of 30 days in which it may correct the act or failure to act that constitutes the grounds for Good Reason as set forth in your notice of termination. If MEI does not correct the act or failure to act, you must </w:t>
      </w:r>
      <w:r>
        <w:rPr>
          <w:rFonts w:ascii="Arial" w:cs="Arial" w:eastAsia="Arial" w:hAnsi="Arial"/>
          <w:sz w:val="17"/>
          <w:szCs w:val="17"/>
          <w:color w:val="1C1C1C"/>
        </w:rPr>
        <w:t>terminate your employment for Good Reason within 30 days after the end of the cure period, in order</w:t>
      </w:r>
      <w:r>
        <w:rPr>
          <w:rFonts w:ascii="Arial" w:cs="Arial" w:eastAsia="Arial" w:hAnsi="Arial"/>
          <w:sz w:val="17"/>
          <w:szCs w:val="17"/>
          <w:color w:val="212121"/>
        </w:rPr>
        <w:t xml:space="preserve"> </w:t>
      </w:r>
      <w:r>
        <w:rPr>
          <w:rFonts w:ascii="Arial" w:cs="Arial" w:eastAsia="Arial" w:hAnsi="Arial"/>
          <w:sz w:val="17"/>
          <w:szCs w:val="17"/>
          <w:color w:val="1C1C1C"/>
        </w:rPr>
        <w:t>for the termination to be considered a Good Reason termination. Upon your termination of employment for Good Reason during this 30-day period, you will receive the same payment in lieu of notice and additional option vesting as provided in the event of a termination by MEI without Cause as described above, provided that the payment and option vesting shall be subject to your execution of a release, also as described above. Except for providing you with this payment in lieu of notice and additional option vesting, you are not eligible for any severance pay or other benefits from MEI.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-1358265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1C1C1C"/>
        </w:rPr>
        <w:t>Definitions.</w:t>
      </w:r>
      <w:r>
        <w:rPr>
          <w:rFonts w:ascii="Arial" w:cs="Arial" w:eastAsia="Arial" w:hAnsi="Arial"/>
          <w:sz w:val="18"/>
          <w:szCs w:val="18"/>
          <w:color w:val="1C1C1C"/>
        </w:rPr>
        <w:t xml:space="preserve"> For purposes of the termination provisions in this letter,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-10160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ind w:left="1460" w:right="20" w:hanging="434"/>
        <w:spacing w:after="0" w:line="275" w:lineRule="auto"/>
        <w:tabs>
          <w:tab w:leader="none" w:pos="1460" w:val="left"/>
        </w:tabs>
        <w:numPr>
          <w:ilvl w:val="0"/>
          <w:numId w:val="12"/>
        </w:numPr>
        <w:rPr>
          <w:rFonts w:ascii="Arial" w:cs="Arial" w:eastAsia="Arial" w:hAnsi="Arial"/>
          <w:sz w:val="18"/>
          <w:szCs w:val="18"/>
          <w:color w:val="1C1C1C"/>
        </w:rPr>
      </w:pPr>
      <w:r>
        <w:rPr>
          <w:rFonts w:ascii="Arial" w:cs="Arial" w:eastAsia="Arial" w:hAnsi="Arial"/>
          <w:sz w:val="18"/>
          <w:szCs w:val="18"/>
          <w:color w:val="1C1C1C"/>
        </w:rPr>
        <w:t>The term "</w:t>
      </w:r>
      <w:r>
        <w:rPr>
          <w:rFonts w:ascii="Arial" w:cs="Arial" w:eastAsia="Arial" w:hAnsi="Arial"/>
          <w:sz w:val="18"/>
          <w:szCs w:val="18"/>
          <w:u w:val="single" w:color="auto"/>
          <w:color w:val="1C1C1C"/>
        </w:rPr>
        <w:t>Cause</w:t>
      </w:r>
      <w:r>
        <w:rPr>
          <w:rFonts w:ascii="Arial" w:cs="Arial" w:eastAsia="Arial" w:hAnsi="Arial"/>
          <w:sz w:val="18"/>
          <w:szCs w:val="18"/>
          <w:color w:val="1C1C1C"/>
        </w:rPr>
        <w:t>" means a finding by MEI that you have committed a felony or a crime involving moral turpitude, committed an act of gross negligence or fraud, failed, refused or neglected to substantially perform your duties or to implement the directives of MEI that continued for 30 days after you had been provided adequate and specific written notice thereof, or willfully engaged in conduct that is materially injurious to MEI, monetarily or otherwise.</w:t>
      </w:r>
    </w:p>
    <w:p>
      <w:pPr>
        <w:spacing w:after="0" w:line="77" w:lineRule="exact"/>
        <w:rPr>
          <w:rFonts w:ascii="Arial" w:cs="Arial" w:eastAsia="Arial" w:hAnsi="Arial"/>
          <w:sz w:val="18"/>
          <w:szCs w:val="18"/>
          <w:color w:val="1C1C1C"/>
        </w:rPr>
      </w:pPr>
    </w:p>
    <w:p>
      <w:pPr>
        <w:ind w:left="1460" w:hanging="434"/>
        <w:spacing w:after="0" w:line="275" w:lineRule="auto"/>
        <w:tabs>
          <w:tab w:leader="none" w:pos="1460" w:val="left"/>
        </w:tabs>
        <w:numPr>
          <w:ilvl w:val="0"/>
          <w:numId w:val="12"/>
        </w:numPr>
        <w:rPr>
          <w:rFonts w:ascii="Arial" w:cs="Arial" w:eastAsia="Arial" w:hAnsi="Arial"/>
          <w:sz w:val="18"/>
          <w:szCs w:val="18"/>
          <w:color w:val="1C1C1C"/>
        </w:rPr>
      </w:pPr>
      <w:r>
        <w:rPr>
          <w:rFonts w:ascii="Arial" w:cs="Arial" w:eastAsia="Arial" w:hAnsi="Arial"/>
          <w:sz w:val="18"/>
          <w:szCs w:val="18"/>
          <w:color w:val="1C1C1C"/>
        </w:rPr>
        <w:t>The term "</w:t>
      </w:r>
      <w:r>
        <w:rPr>
          <w:rFonts w:ascii="Arial" w:cs="Arial" w:eastAsia="Arial" w:hAnsi="Arial"/>
          <w:sz w:val="18"/>
          <w:szCs w:val="18"/>
          <w:u w:val="single" w:color="auto"/>
          <w:color w:val="1C1C1C"/>
        </w:rPr>
        <w:t>Good Reason</w:t>
      </w:r>
      <w:r>
        <w:rPr>
          <w:rFonts w:ascii="Arial" w:cs="Arial" w:eastAsia="Arial" w:hAnsi="Arial"/>
          <w:sz w:val="18"/>
          <w:szCs w:val="18"/>
          <w:color w:val="1C1C1C"/>
        </w:rPr>
        <w:t>" shall mean the occurrence of one or more of the following without your consent: a material diminution by MEI of your authority, duties or responsibilities, material diminution in your base salary, involuntary relocation to a new place of business greater than 50 miles from the Company's current office, or any action or inaction that constitutes a material breach by MEI of this Agreement.</w:t>
      </w:r>
    </w:p>
    <w:p>
      <w:pPr>
        <w:spacing w:after="0" w:line="199"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1C1C1C"/>
        </w:rPr>
        <w:t>This offer letter is intended to comply with all of the requirements of applicable law. In particular, this offer is intended to comply with the requirements of Section 409A of the Internal Revenue Code of 1986 ("</w:t>
      </w:r>
      <w:r>
        <w:rPr>
          <w:rFonts w:ascii="Arial" w:cs="Arial" w:eastAsia="Arial" w:hAnsi="Arial"/>
          <w:sz w:val="17"/>
          <w:szCs w:val="17"/>
          <w:u w:val="single" w:color="auto"/>
          <w:color w:val="1C1C1C"/>
        </w:rPr>
        <w:t>409A</w:t>
      </w:r>
      <w:r>
        <w:rPr>
          <w:rFonts w:ascii="Arial" w:cs="Arial" w:eastAsia="Arial" w:hAnsi="Arial"/>
          <w:sz w:val="17"/>
          <w:szCs w:val="17"/>
          <w:color w:val="1C1C1C"/>
        </w:rPr>
        <w:t>"), or an exemption thereto, and payments may only be made to you upon an event and in a manner permitted by 409A, to the extent applicable. Separation pay provided under this offer letter is intended to be exempt from 409A under the "separation pay" and/or "short-term deferral" exceptions to the maximum permissible extent. However, if you are considered a "specified employee", to the extent necessary to comply with 409A, any payments due to you shall be delayed for a period of six months after your separation from service. Any payment due to you shall be treated as a separate payment for purposes of 409A. In no event may you, directly or indirectly, designate the calendar year of a payment. If the period for executing a release spans two calendar years and the amounts payable to you are subject to 409A, in all cases, payment of any amounts to you following the execution of the release shall be made in the second calendar year. All reimbursements and in-kind benefits provided to you shall be made or provided in accordance with the requirements of 409A.</w:t>
      </w:r>
    </w:p>
    <w:p>
      <w:pPr>
        <w:spacing w:after="0" w:line="209"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1C1C1C"/>
        </w:rPr>
        <w:t xml:space="preserve">This offer of employment is contingent on your background check (criminal and education) being without adverse disclosures and your representation that there is no agreement or arrangement with a third party or other set of circumstances preventing you from working with MEI. On your first day of hire, you will need to provide MEI with documentation that proves your eligibility to work in the United States in accordance with the Immigration Reform and Control Act of 1986. </w:t>
      </w:r>
      <w:r>
        <w:rPr>
          <w:rFonts w:ascii="Arial" w:cs="Arial" w:eastAsia="Arial" w:hAnsi="Arial"/>
          <w:sz w:val="17"/>
          <w:szCs w:val="17"/>
          <w:color w:val="000000"/>
        </w:rPr>
        <w:t>As an employee of MEI, you will be required to comply with all MEI policies and procedures; in particular, you will be required to</w:t>
      </w:r>
      <w:r>
        <w:rPr>
          <w:rFonts w:ascii="Arial" w:cs="Arial" w:eastAsia="Arial" w:hAnsi="Arial"/>
          <w:sz w:val="17"/>
          <w:szCs w:val="17"/>
          <w:color w:val="1C1C1C"/>
        </w:rPr>
        <w:t xml:space="preserve"> </w:t>
      </w:r>
      <w:r>
        <w:rPr>
          <w:rFonts w:ascii="Arial" w:cs="Arial" w:eastAsia="Arial" w:hAnsi="Arial"/>
          <w:sz w:val="17"/>
          <w:szCs w:val="17"/>
          <w:color w:val="000000"/>
        </w:rPr>
        <w:t>familiarize yourself with and comply with MEI’s policies including but not limited to prohibiting unlawful harassment and discrimination, confidentiality, assignment of invention rights and the policy concerning drugs and alcohol.</w:t>
      </w:r>
    </w:p>
    <w:p>
      <w:pPr>
        <w:spacing w:after="0" w:line="20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Your employment with MEI will not be for any specific term and will always be “at-will,” which means that either you or MEI have the right to terminate this employment agreement at any time, for any reason, with or without cause or notice. Any contrary representation or agreements that may have been made to you are superseded by this offer. By signing below and accepting this offer, you will acknowledge and agree that the length of employment, promotions, positive employment reviews, pay increases, bonuses, increases in job duties or responsibilities and other changes during employment will not change the at-will term of your employment with MEI and will not create any implied contract requiring cause for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5" w:name="page86"/>
    <w:bookmarkEnd w:id="85"/>
    <w:p>
      <w:pPr>
        <w:spacing w:after="0" w:line="293" w:lineRule="auto"/>
        <w:rPr>
          <w:sz w:val="20"/>
          <w:szCs w:val="20"/>
          <w:color w:val="auto"/>
        </w:rPr>
      </w:pPr>
      <w:r>
        <w:rPr>
          <w:rFonts w:ascii="Arial" w:cs="Arial" w:eastAsia="Arial" w:hAnsi="Arial"/>
          <w:sz w:val="18"/>
          <w:szCs w:val="18"/>
          <w:color w:val="auto"/>
        </w:rPr>
        <w:t>In your new position, I am confident you will provide the support that MEI needs to help us build a great company. We are genuinely excited about the opportunity to have you join us and we look forward to your positive reply.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18345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P. Gold,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CEO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MEI Pharma, Inc.</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If you wish to accept this offer, please sign and date below and return this letter to us. Also, please keep a copy of this letter for your records.</w:t>
      </w:r>
    </w:p>
    <w:p>
      <w:pPr>
        <w:spacing w:after="0" w:line="264" w:lineRule="exact"/>
        <w:rPr>
          <w:sz w:val="20"/>
          <w:szCs w:val="20"/>
          <w:color w:val="auto"/>
        </w:rPr>
      </w:pPr>
    </w:p>
    <w:p>
      <w:pPr>
        <w:ind w:left="460"/>
        <w:spacing w:after="0"/>
        <w:tabs>
          <w:tab w:leader="none" w:pos="1680" w:val="left"/>
          <w:tab w:leader="none" w:pos="5660" w:val="left"/>
        </w:tabs>
        <w:rPr>
          <w:sz w:val="20"/>
          <w:szCs w:val="20"/>
          <w:color w:val="auto"/>
        </w:rPr>
      </w:pPr>
      <w:r>
        <w:rPr>
          <w:rFonts w:ascii="Arial" w:cs="Arial" w:eastAsia="Arial" w:hAnsi="Arial"/>
          <w:sz w:val="18"/>
          <w:szCs w:val="18"/>
          <w:color w:val="auto"/>
        </w:rPr>
        <w:t>Offer accepted:</w:t>
        <w:tab/>
        <w:t>/s/ Richard G. Ghalie</w:t>
      </w:r>
      <w:r>
        <w:rPr>
          <w:sz w:val="20"/>
          <w:szCs w:val="20"/>
          <w:color w:val="auto"/>
        </w:rPr>
        <w:tab/>
      </w:r>
      <w:r>
        <w:rPr>
          <w:rFonts w:ascii="Arial" w:cs="Arial" w:eastAsia="Arial" w:hAnsi="Arial"/>
          <w:sz w:val="16"/>
          <w:szCs w:val="16"/>
          <w:color w:val="auto"/>
        </w:rPr>
        <w:t>Date:  February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6977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9" w:right="7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771525" cy="7715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181818"/>
        </w:rPr>
        <w:t>April 29</w:t>
      </w:r>
      <w:r>
        <w:rPr>
          <w:rFonts w:ascii="Arial" w:cs="Arial" w:eastAsia="Arial" w:hAnsi="Arial"/>
          <w:sz w:val="18"/>
          <w:szCs w:val="18"/>
          <w:color w:val="464646"/>
        </w:rPr>
        <w:t>,</w:t>
      </w:r>
      <w:r>
        <w:rPr>
          <w:rFonts w:ascii="Arial" w:cs="Arial" w:eastAsia="Arial" w:hAnsi="Arial"/>
          <w:sz w:val="18"/>
          <w:szCs w:val="18"/>
          <w:color w:val="181818"/>
        </w:rPr>
        <w:t xml:space="preserv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81818"/>
        </w:rPr>
        <w:t>Richard G. Ghalie, MD</w:t>
      </w:r>
      <w:r>
        <w:rPr>
          <w:rFonts w:ascii="Arial" w:cs="Arial" w:eastAsia="Arial" w:hAnsi="Arial"/>
          <w:sz w:val="18"/>
          <w:szCs w:val="18"/>
          <w:color w:val="464646"/>
        </w:rPr>
        <w:t>,</w:t>
      </w:r>
      <w:r>
        <w:rPr>
          <w:rFonts w:ascii="Arial" w:cs="Arial" w:eastAsia="Arial" w:hAnsi="Arial"/>
          <w:sz w:val="18"/>
          <w:szCs w:val="18"/>
          <w:color w:val="181818"/>
        </w:rPr>
        <w:t xml:space="preserve"> MBA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4755 Natalie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San Diego, CA 92115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181818"/>
        </w:rPr>
        <w:t>Dear Richard</w:t>
      </w:r>
      <w:r>
        <w:rPr>
          <w:rFonts w:ascii="Arial" w:cs="Arial" w:eastAsia="Arial" w:hAnsi="Arial"/>
          <w:sz w:val="18"/>
          <w:szCs w:val="18"/>
          <w:color w:val="464646"/>
        </w:rPr>
        <w:t>,</w:t>
      </w:r>
    </w:p>
    <w:p>
      <w:pPr>
        <w:spacing w:after="0" w:line="252" w:lineRule="exact"/>
        <w:rPr>
          <w:sz w:val="20"/>
          <w:szCs w:val="20"/>
          <w:color w:val="auto"/>
        </w:rPr>
      </w:pPr>
    </w:p>
    <w:p>
      <w:pPr>
        <w:jc w:val="both"/>
        <w:ind w:right="320"/>
        <w:spacing w:after="0" w:line="279" w:lineRule="auto"/>
        <w:rPr>
          <w:sz w:val="20"/>
          <w:szCs w:val="20"/>
          <w:color w:val="auto"/>
        </w:rPr>
      </w:pPr>
      <w:r>
        <w:rPr>
          <w:rFonts w:ascii="Arial" w:cs="Arial" w:eastAsia="Arial" w:hAnsi="Arial"/>
          <w:sz w:val="18"/>
          <w:szCs w:val="18"/>
          <w:color w:val="181818"/>
        </w:rPr>
        <w:t xml:space="preserve">In </w:t>
      </w:r>
      <w:r>
        <w:rPr>
          <w:rFonts w:ascii="Arial" w:cs="Arial" w:eastAsia="Arial" w:hAnsi="Arial"/>
          <w:sz w:val="18"/>
          <w:szCs w:val="18"/>
          <w:color w:val="282828"/>
        </w:rPr>
        <w:t>connection</w:t>
      </w:r>
      <w:r>
        <w:rPr>
          <w:rFonts w:ascii="Arial" w:cs="Arial" w:eastAsia="Arial" w:hAnsi="Arial"/>
          <w:sz w:val="18"/>
          <w:szCs w:val="18"/>
          <w:color w:val="181818"/>
        </w:rPr>
        <w:t xml:space="preserve"> with </w:t>
      </w:r>
      <w:r>
        <w:rPr>
          <w:rFonts w:ascii="Arial" w:cs="Arial" w:eastAsia="Arial" w:hAnsi="Arial"/>
          <w:sz w:val="18"/>
          <w:szCs w:val="18"/>
          <w:color w:val="282828"/>
        </w:rPr>
        <w:t>your</w:t>
      </w:r>
      <w:r>
        <w:rPr>
          <w:rFonts w:ascii="Arial" w:cs="Arial" w:eastAsia="Arial" w:hAnsi="Arial"/>
          <w:sz w:val="18"/>
          <w:szCs w:val="18"/>
          <w:color w:val="181818"/>
        </w:rPr>
        <w:t xml:space="preserve"> promotion to Chief Medical Officer, this </w:t>
      </w:r>
      <w:r>
        <w:rPr>
          <w:rFonts w:ascii="Arial" w:cs="Arial" w:eastAsia="Arial" w:hAnsi="Arial"/>
          <w:sz w:val="18"/>
          <w:szCs w:val="18"/>
          <w:color w:val="282828"/>
        </w:rPr>
        <w:t>Amendment</w:t>
      </w:r>
      <w:r>
        <w:rPr>
          <w:rFonts w:ascii="Arial" w:cs="Arial" w:eastAsia="Arial" w:hAnsi="Arial"/>
          <w:sz w:val="18"/>
          <w:szCs w:val="18"/>
          <w:color w:val="181818"/>
        </w:rPr>
        <w:t xml:space="preserve"> 2021-1 to </w:t>
      </w:r>
      <w:r>
        <w:rPr>
          <w:rFonts w:ascii="Arial" w:cs="Arial" w:eastAsia="Arial" w:hAnsi="Arial"/>
          <w:sz w:val="18"/>
          <w:szCs w:val="18"/>
          <w:color w:val="282828"/>
        </w:rPr>
        <w:t>your February</w:t>
      </w:r>
      <w:r>
        <w:rPr>
          <w:rFonts w:ascii="Arial" w:cs="Arial" w:eastAsia="Arial" w:hAnsi="Arial"/>
          <w:sz w:val="18"/>
          <w:szCs w:val="18"/>
          <w:color w:val="181818"/>
        </w:rPr>
        <w:t xml:space="preserve"> 17, </w:t>
      </w:r>
      <w:r>
        <w:rPr>
          <w:rFonts w:ascii="Arial" w:cs="Arial" w:eastAsia="Arial" w:hAnsi="Arial"/>
          <w:sz w:val="18"/>
          <w:szCs w:val="18"/>
          <w:color w:val="282828"/>
        </w:rPr>
        <w:t>2016 employment</w:t>
      </w:r>
      <w:r>
        <w:rPr>
          <w:rFonts w:ascii="Arial" w:cs="Arial" w:eastAsia="Arial" w:hAnsi="Arial"/>
          <w:sz w:val="18"/>
          <w:szCs w:val="18"/>
          <w:color w:val="181818"/>
        </w:rPr>
        <w:t xml:space="preserve"> letter </w:t>
      </w:r>
      <w:r>
        <w:rPr>
          <w:rFonts w:ascii="Arial" w:cs="Arial" w:eastAsia="Arial" w:hAnsi="Arial"/>
          <w:sz w:val="18"/>
          <w:szCs w:val="18"/>
          <w:color w:val="282828"/>
        </w:rPr>
        <w:t>agreement</w:t>
      </w:r>
      <w:r>
        <w:rPr>
          <w:rFonts w:ascii="Arial" w:cs="Arial" w:eastAsia="Arial" w:hAnsi="Arial"/>
          <w:sz w:val="18"/>
          <w:szCs w:val="18"/>
          <w:color w:val="181818"/>
        </w:rPr>
        <w:t xml:space="preserve"> between MEI Pharm, Inc. (the </w:t>
      </w:r>
      <w:r>
        <w:rPr>
          <w:rFonts w:ascii="Arial" w:cs="Arial" w:eastAsia="Arial" w:hAnsi="Arial"/>
          <w:sz w:val="18"/>
          <w:szCs w:val="18"/>
          <w:color w:val="282828"/>
        </w:rPr>
        <w:t>"</w:t>
      </w:r>
      <w:r>
        <w:rPr>
          <w:rFonts w:ascii="Arial" w:cs="Arial" w:eastAsia="Arial" w:hAnsi="Arial"/>
          <w:sz w:val="18"/>
          <w:szCs w:val="18"/>
          <w:u w:val="single" w:color="auto"/>
          <w:color w:val="282828"/>
        </w:rPr>
        <w:t>MEI</w:t>
      </w:r>
      <w:r>
        <w:rPr>
          <w:rFonts w:ascii="Arial" w:cs="Arial" w:eastAsia="Arial" w:hAnsi="Arial"/>
          <w:sz w:val="18"/>
          <w:szCs w:val="18"/>
          <w:color w:val="282828"/>
        </w:rPr>
        <w:t>")</w:t>
      </w:r>
      <w:r>
        <w:rPr>
          <w:rFonts w:ascii="Arial" w:cs="Arial" w:eastAsia="Arial" w:hAnsi="Arial"/>
          <w:sz w:val="18"/>
          <w:szCs w:val="18"/>
          <w:color w:val="181818"/>
        </w:rPr>
        <w:t xml:space="preserve"> and you </w:t>
      </w:r>
      <w:r>
        <w:rPr>
          <w:rFonts w:ascii="Arial" w:cs="Arial" w:eastAsia="Arial" w:hAnsi="Arial"/>
          <w:sz w:val="18"/>
          <w:szCs w:val="18"/>
          <w:color w:val="282828"/>
        </w:rPr>
        <w:t>(the "</w:t>
      </w:r>
      <w:r>
        <w:rPr>
          <w:rFonts w:ascii="Arial" w:cs="Arial" w:eastAsia="Arial" w:hAnsi="Arial"/>
          <w:sz w:val="18"/>
          <w:szCs w:val="18"/>
          <w:u w:val="single" w:color="auto"/>
          <w:color w:val="282828"/>
        </w:rPr>
        <w:t>Employment Letter</w:t>
      </w:r>
      <w:r>
        <w:rPr>
          <w:rFonts w:ascii="Arial" w:cs="Arial" w:eastAsia="Arial" w:hAnsi="Arial"/>
          <w:sz w:val="18"/>
          <w:szCs w:val="18"/>
          <w:color w:val="282828"/>
        </w:rPr>
        <w:t>")</w:t>
      </w:r>
      <w:r>
        <w:rPr>
          <w:rFonts w:ascii="Arial" w:cs="Arial" w:eastAsia="Arial" w:hAnsi="Arial"/>
          <w:sz w:val="18"/>
          <w:szCs w:val="18"/>
          <w:color w:val="181818"/>
        </w:rPr>
        <w:t xml:space="preserve"> hereby amends certain of the terms of the </w:t>
      </w:r>
      <w:r>
        <w:rPr>
          <w:rFonts w:ascii="Arial" w:cs="Arial" w:eastAsia="Arial" w:hAnsi="Arial"/>
          <w:sz w:val="18"/>
          <w:szCs w:val="18"/>
          <w:color w:val="282828"/>
        </w:rPr>
        <w:t>Employment</w:t>
      </w:r>
      <w:r>
        <w:rPr>
          <w:rFonts w:ascii="Arial" w:cs="Arial" w:eastAsia="Arial" w:hAnsi="Arial"/>
          <w:sz w:val="18"/>
          <w:szCs w:val="18"/>
          <w:color w:val="181818"/>
        </w:rPr>
        <w:t xml:space="preserve"> Letter, </w:t>
      </w:r>
      <w:r>
        <w:rPr>
          <w:rFonts w:ascii="Arial" w:cs="Arial" w:eastAsia="Arial" w:hAnsi="Arial"/>
          <w:sz w:val="18"/>
          <w:szCs w:val="18"/>
          <w:color w:val="282828"/>
        </w:rPr>
        <w:t>effective</w:t>
      </w:r>
      <w:r>
        <w:rPr>
          <w:rFonts w:ascii="Arial" w:cs="Arial" w:eastAsia="Arial" w:hAnsi="Arial"/>
          <w:sz w:val="18"/>
          <w:szCs w:val="18"/>
          <w:color w:val="181818"/>
        </w:rPr>
        <w:t xml:space="preserve"> May 3</w:t>
      </w:r>
      <w:r>
        <w:rPr>
          <w:rFonts w:ascii="Arial" w:cs="Arial" w:eastAsia="Arial" w:hAnsi="Arial"/>
          <w:sz w:val="18"/>
          <w:szCs w:val="18"/>
          <w:color w:val="464646"/>
        </w:rPr>
        <w:t>,</w:t>
      </w:r>
      <w:r>
        <w:rPr>
          <w:rFonts w:ascii="Arial" w:cs="Arial" w:eastAsia="Arial" w:hAnsi="Arial"/>
          <w:sz w:val="18"/>
          <w:szCs w:val="18"/>
          <w:color w:val="181818"/>
        </w:rPr>
        <w:t xml:space="preserve"> 2021, unless otherwise noted below</w:t>
      </w:r>
      <w:r>
        <w:rPr>
          <w:rFonts w:ascii="Arial" w:cs="Arial" w:eastAsia="Arial" w:hAnsi="Arial"/>
          <w:sz w:val="18"/>
          <w:szCs w:val="18"/>
          <w:color w:val="464646"/>
        </w:rPr>
        <w:t>,</w:t>
      </w:r>
      <w:r>
        <w:rPr>
          <w:rFonts w:ascii="Arial" w:cs="Arial" w:eastAsia="Arial" w:hAnsi="Arial"/>
          <w:sz w:val="18"/>
          <w:szCs w:val="18"/>
          <w:color w:val="181818"/>
        </w:rPr>
        <w:t xml:space="preserve"> </w:t>
      </w:r>
      <w:r>
        <w:rPr>
          <w:rFonts w:ascii="Arial" w:cs="Arial" w:eastAsia="Arial" w:hAnsi="Arial"/>
          <w:sz w:val="18"/>
          <w:szCs w:val="18"/>
          <w:color w:val="282828"/>
        </w:rPr>
        <w:t>as</w:t>
      </w:r>
      <w:r>
        <w:rPr>
          <w:rFonts w:ascii="Arial" w:cs="Arial" w:eastAsia="Arial" w:hAnsi="Arial"/>
          <w:sz w:val="18"/>
          <w:szCs w:val="18"/>
          <w:color w:val="181818"/>
        </w:rPr>
        <w:t xml:space="preserve"> follows:</w:t>
      </w:r>
    </w:p>
    <w:p>
      <w:pPr>
        <w:spacing w:after="0" w:line="304" w:lineRule="exact"/>
        <w:rPr>
          <w:sz w:val="20"/>
          <w:szCs w:val="20"/>
          <w:color w:val="auto"/>
        </w:rPr>
      </w:pPr>
    </w:p>
    <w:p>
      <w:pPr>
        <w:ind w:left="960" w:hanging="443"/>
        <w:spacing w:after="0"/>
        <w:tabs>
          <w:tab w:leader="none" w:pos="960" w:val="left"/>
        </w:tabs>
        <w:numPr>
          <w:ilvl w:val="0"/>
          <w:numId w:val="13"/>
        </w:numPr>
        <w:rPr>
          <w:rFonts w:ascii="Arial" w:cs="Arial" w:eastAsia="Arial" w:hAnsi="Arial"/>
          <w:sz w:val="18"/>
          <w:szCs w:val="18"/>
          <w:color w:val="181818"/>
        </w:rPr>
      </w:pPr>
      <w:r>
        <w:rPr>
          <w:rFonts w:ascii="Arial" w:cs="Arial" w:eastAsia="Arial" w:hAnsi="Arial"/>
          <w:sz w:val="18"/>
          <w:szCs w:val="18"/>
          <w:color w:val="181818"/>
        </w:rPr>
        <w:t xml:space="preserve">Your title is </w:t>
      </w:r>
      <w:r>
        <w:rPr>
          <w:rFonts w:ascii="Arial" w:cs="Arial" w:eastAsia="Arial" w:hAnsi="Arial"/>
          <w:sz w:val="18"/>
          <w:szCs w:val="18"/>
          <w:color w:val="282828"/>
        </w:rPr>
        <w:t>Chief</w:t>
      </w:r>
      <w:r>
        <w:rPr>
          <w:rFonts w:ascii="Arial" w:cs="Arial" w:eastAsia="Arial" w:hAnsi="Arial"/>
          <w:sz w:val="18"/>
          <w:szCs w:val="18"/>
          <w:color w:val="181818"/>
        </w:rPr>
        <w:t xml:space="preserve"> Medical Officer.</w:t>
      </w:r>
    </w:p>
    <w:p>
      <w:pPr>
        <w:spacing w:after="0" w:line="130" w:lineRule="exact"/>
        <w:rPr>
          <w:rFonts w:ascii="Arial" w:cs="Arial" w:eastAsia="Arial" w:hAnsi="Arial"/>
          <w:sz w:val="18"/>
          <w:szCs w:val="18"/>
          <w:color w:val="181818"/>
        </w:rPr>
      </w:pPr>
    </w:p>
    <w:p>
      <w:pPr>
        <w:ind w:left="960" w:hanging="443"/>
        <w:spacing w:after="0"/>
        <w:tabs>
          <w:tab w:leader="none" w:pos="960" w:val="left"/>
        </w:tabs>
        <w:numPr>
          <w:ilvl w:val="0"/>
          <w:numId w:val="13"/>
        </w:numPr>
        <w:rPr>
          <w:rFonts w:ascii="Arial" w:cs="Arial" w:eastAsia="Arial" w:hAnsi="Arial"/>
          <w:sz w:val="18"/>
          <w:szCs w:val="18"/>
          <w:color w:val="181818"/>
        </w:rPr>
      </w:pPr>
      <w:r>
        <w:rPr>
          <w:rFonts w:ascii="Arial" w:cs="Arial" w:eastAsia="Arial" w:hAnsi="Arial"/>
          <w:sz w:val="18"/>
          <w:szCs w:val="18"/>
          <w:color w:val="181818"/>
        </w:rPr>
        <w:t xml:space="preserve">Your </w:t>
      </w:r>
      <w:r>
        <w:rPr>
          <w:rFonts w:ascii="Arial" w:cs="Arial" w:eastAsia="Arial" w:hAnsi="Arial"/>
          <w:sz w:val="18"/>
          <w:szCs w:val="18"/>
          <w:color w:val="282828"/>
        </w:rPr>
        <w:t>annual</w:t>
      </w:r>
      <w:r>
        <w:rPr>
          <w:rFonts w:ascii="Arial" w:cs="Arial" w:eastAsia="Arial" w:hAnsi="Arial"/>
          <w:sz w:val="18"/>
          <w:szCs w:val="18"/>
          <w:color w:val="181818"/>
        </w:rPr>
        <w:t xml:space="preserve"> base </w:t>
      </w:r>
      <w:r>
        <w:rPr>
          <w:rFonts w:ascii="Arial" w:cs="Arial" w:eastAsia="Arial" w:hAnsi="Arial"/>
          <w:sz w:val="18"/>
          <w:szCs w:val="18"/>
          <w:color w:val="282828"/>
        </w:rPr>
        <w:t>salary will</w:t>
      </w:r>
      <w:r>
        <w:rPr>
          <w:rFonts w:ascii="Arial" w:cs="Arial" w:eastAsia="Arial" w:hAnsi="Arial"/>
          <w:sz w:val="18"/>
          <w:szCs w:val="18"/>
          <w:color w:val="181818"/>
        </w:rPr>
        <w:t xml:space="preserve"> increase to $463,000 to be paid </w:t>
      </w:r>
      <w:r>
        <w:rPr>
          <w:rFonts w:ascii="Arial" w:cs="Arial" w:eastAsia="Arial" w:hAnsi="Arial"/>
          <w:sz w:val="18"/>
          <w:szCs w:val="18"/>
          <w:color w:val="282828"/>
        </w:rPr>
        <w:t>at</w:t>
      </w:r>
      <w:r>
        <w:rPr>
          <w:rFonts w:ascii="Arial" w:cs="Arial" w:eastAsia="Arial" w:hAnsi="Arial"/>
          <w:sz w:val="18"/>
          <w:szCs w:val="18"/>
          <w:color w:val="181818"/>
        </w:rPr>
        <w:t xml:space="preserve"> the rate of </w:t>
      </w:r>
      <w:r>
        <w:rPr>
          <w:rFonts w:ascii="Arial" w:cs="Arial" w:eastAsia="Arial" w:hAnsi="Arial"/>
          <w:sz w:val="18"/>
          <w:szCs w:val="18"/>
          <w:color w:val="282828"/>
        </w:rPr>
        <w:t>$38,583.33</w:t>
      </w:r>
      <w:r>
        <w:rPr>
          <w:rFonts w:ascii="Arial" w:cs="Arial" w:eastAsia="Arial" w:hAnsi="Arial"/>
          <w:sz w:val="18"/>
          <w:szCs w:val="18"/>
          <w:color w:val="181818"/>
        </w:rPr>
        <w:t xml:space="preserve"> per month.</w:t>
      </w:r>
    </w:p>
    <w:p>
      <w:pPr>
        <w:spacing w:after="0" w:line="130" w:lineRule="exact"/>
        <w:rPr>
          <w:rFonts w:ascii="Arial" w:cs="Arial" w:eastAsia="Arial" w:hAnsi="Arial"/>
          <w:sz w:val="18"/>
          <w:szCs w:val="18"/>
          <w:color w:val="181818"/>
        </w:rPr>
      </w:pPr>
    </w:p>
    <w:p>
      <w:pPr>
        <w:ind w:left="960" w:right="800" w:hanging="443"/>
        <w:spacing w:after="0" w:line="293" w:lineRule="auto"/>
        <w:tabs>
          <w:tab w:leader="none" w:pos="960" w:val="left"/>
        </w:tabs>
        <w:numPr>
          <w:ilvl w:val="0"/>
          <w:numId w:val="13"/>
        </w:numPr>
        <w:rPr>
          <w:rFonts w:ascii="Arial" w:cs="Arial" w:eastAsia="Arial" w:hAnsi="Arial"/>
          <w:sz w:val="18"/>
          <w:szCs w:val="18"/>
          <w:color w:val="181818"/>
        </w:rPr>
      </w:pPr>
      <w:r>
        <w:rPr>
          <w:rFonts w:ascii="Arial" w:cs="Arial" w:eastAsia="Arial" w:hAnsi="Arial"/>
          <w:sz w:val="18"/>
          <w:szCs w:val="18"/>
          <w:color w:val="181818"/>
        </w:rPr>
        <w:t xml:space="preserve">Your target bonus under MEI's discretionary annual bonus plan will increase to 40% </w:t>
      </w:r>
      <w:r>
        <w:rPr>
          <w:rFonts w:ascii="Arial" w:cs="Arial" w:eastAsia="Arial" w:hAnsi="Arial"/>
          <w:sz w:val="18"/>
          <w:szCs w:val="18"/>
          <w:color w:val="282828"/>
        </w:rPr>
        <w:t>of your</w:t>
      </w:r>
      <w:r>
        <w:rPr>
          <w:rFonts w:ascii="Arial" w:cs="Arial" w:eastAsia="Arial" w:hAnsi="Arial"/>
          <w:sz w:val="18"/>
          <w:szCs w:val="18"/>
          <w:color w:val="181818"/>
        </w:rPr>
        <w:t xml:space="preserve"> base </w:t>
      </w:r>
      <w:r>
        <w:rPr>
          <w:rFonts w:ascii="Arial" w:cs="Arial" w:eastAsia="Arial" w:hAnsi="Arial"/>
          <w:sz w:val="18"/>
          <w:szCs w:val="18"/>
          <w:color w:val="282828"/>
        </w:rPr>
        <w:t>salary, effective for</w:t>
      </w:r>
      <w:r>
        <w:rPr>
          <w:rFonts w:ascii="Arial" w:cs="Arial" w:eastAsia="Arial" w:hAnsi="Arial"/>
          <w:sz w:val="18"/>
          <w:szCs w:val="18"/>
          <w:color w:val="181818"/>
        </w:rPr>
        <w:t xml:space="preserve"> the fiscal year commencing on July 1, 2021.</w:t>
      </w:r>
    </w:p>
    <w:p>
      <w:pPr>
        <w:spacing w:after="0" w:line="61" w:lineRule="exact"/>
        <w:rPr>
          <w:rFonts w:ascii="Arial" w:cs="Arial" w:eastAsia="Arial" w:hAnsi="Arial"/>
          <w:sz w:val="18"/>
          <w:szCs w:val="18"/>
          <w:color w:val="181818"/>
        </w:rPr>
      </w:pPr>
    </w:p>
    <w:p>
      <w:pPr>
        <w:ind w:left="960" w:right="60" w:hanging="443"/>
        <w:spacing w:after="0" w:line="290" w:lineRule="auto"/>
        <w:tabs>
          <w:tab w:leader="none" w:pos="960" w:val="left"/>
        </w:tabs>
        <w:numPr>
          <w:ilvl w:val="0"/>
          <w:numId w:val="13"/>
        </w:numPr>
        <w:rPr>
          <w:rFonts w:ascii="Arial" w:cs="Arial" w:eastAsia="Arial" w:hAnsi="Arial"/>
          <w:sz w:val="17"/>
          <w:szCs w:val="17"/>
          <w:color w:val="181818"/>
        </w:rPr>
      </w:pPr>
      <w:r>
        <w:rPr>
          <w:rFonts w:ascii="Arial" w:cs="Arial" w:eastAsia="Arial" w:hAnsi="Arial"/>
          <w:sz w:val="17"/>
          <w:szCs w:val="17"/>
          <w:color w:val="181818"/>
        </w:rPr>
        <w:t>You will receive</w:t>
      </w:r>
      <w:r>
        <w:rPr>
          <w:rFonts w:ascii="Arial" w:cs="Arial" w:eastAsia="Arial" w:hAnsi="Arial"/>
          <w:sz w:val="17"/>
          <w:szCs w:val="17"/>
          <w:color w:val="464646"/>
        </w:rPr>
        <w:t>,</w:t>
      </w:r>
      <w:r>
        <w:rPr>
          <w:rFonts w:ascii="Arial" w:cs="Arial" w:eastAsia="Arial" w:hAnsi="Arial"/>
          <w:sz w:val="17"/>
          <w:szCs w:val="17"/>
          <w:color w:val="181818"/>
        </w:rPr>
        <w:t xml:space="preserve"> </w:t>
      </w:r>
      <w:r>
        <w:rPr>
          <w:rFonts w:ascii="Arial" w:cs="Arial" w:eastAsia="Arial" w:hAnsi="Arial"/>
          <w:sz w:val="17"/>
          <w:szCs w:val="17"/>
          <w:color w:val="282828"/>
        </w:rPr>
        <w:t>effective</w:t>
      </w:r>
      <w:r>
        <w:rPr>
          <w:rFonts w:ascii="Arial" w:cs="Arial" w:eastAsia="Arial" w:hAnsi="Arial"/>
          <w:sz w:val="17"/>
          <w:szCs w:val="17"/>
          <w:color w:val="181818"/>
        </w:rPr>
        <w:t xml:space="preserve"> May 3, 2021, a grant of </w:t>
      </w:r>
      <w:r>
        <w:rPr>
          <w:rFonts w:ascii="Arial" w:cs="Arial" w:eastAsia="Arial" w:hAnsi="Arial"/>
          <w:sz w:val="17"/>
          <w:szCs w:val="17"/>
          <w:color w:val="282828"/>
        </w:rPr>
        <w:t>a</w:t>
      </w:r>
      <w:r>
        <w:rPr>
          <w:rFonts w:ascii="Arial" w:cs="Arial" w:eastAsia="Arial" w:hAnsi="Arial"/>
          <w:sz w:val="17"/>
          <w:szCs w:val="17"/>
          <w:color w:val="181818"/>
        </w:rPr>
        <w:t xml:space="preserve"> nonqualified </w:t>
      </w:r>
      <w:r>
        <w:rPr>
          <w:rFonts w:ascii="Arial" w:cs="Arial" w:eastAsia="Arial" w:hAnsi="Arial"/>
          <w:sz w:val="17"/>
          <w:szCs w:val="17"/>
          <w:color w:val="282828"/>
        </w:rPr>
        <w:t>stock</w:t>
      </w:r>
      <w:r>
        <w:rPr>
          <w:rFonts w:ascii="Arial" w:cs="Arial" w:eastAsia="Arial" w:hAnsi="Arial"/>
          <w:sz w:val="17"/>
          <w:szCs w:val="17"/>
          <w:color w:val="181818"/>
        </w:rPr>
        <w:t xml:space="preserve"> option to purchase 75</w:t>
      </w:r>
      <w:r>
        <w:rPr>
          <w:rFonts w:ascii="Arial" w:cs="Arial" w:eastAsia="Arial" w:hAnsi="Arial"/>
          <w:sz w:val="17"/>
          <w:szCs w:val="17"/>
          <w:color w:val="464646"/>
        </w:rPr>
        <w:t>,</w:t>
      </w:r>
      <w:r>
        <w:rPr>
          <w:rFonts w:ascii="Arial" w:cs="Arial" w:eastAsia="Arial" w:hAnsi="Arial"/>
          <w:sz w:val="17"/>
          <w:szCs w:val="17"/>
          <w:color w:val="181818"/>
        </w:rPr>
        <w:t xml:space="preserve">000 shares of MEI's common stock, pursuant to the terms </w:t>
      </w:r>
      <w:r>
        <w:rPr>
          <w:rFonts w:ascii="Arial" w:cs="Arial" w:eastAsia="Arial" w:hAnsi="Arial"/>
          <w:sz w:val="17"/>
          <w:szCs w:val="17"/>
          <w:color w:val="282828"/>
        </w:rPr>
        <w:t>and conditions</w:t>
      </w:r>
      <w:r>
        <w:rPr>
          <w:rFonts w:ascii="Arial" w:cs="Arial" w:eastAsia="Arial" w:hAnsi="Arial"/>
          <w:sz w:val="17"/>
          <w:szCs w:val="17"/>
          <w:color w:val="181818"/>
        </w:rPr>
        <w:t xml:space="preserve"> of the Amended </w:t>
      </w:r>
      <w:r>
        <w:rPr>
          <w:rFonts w:ascii="Arial" w:cs="Arial" w:eastAsia="Arial" w:hAnsi="Arial"/>
          <w:sz w:val="17"/>
          <w:szCs w:val="17"/>
          <w:color w:val="282828"/>
        </w:rPr>
        <w:t>and</w:t>
      </w:r>
      <w:r>
        <w:rPr>
          <w:rFonts w:ascii="Arial" w:cs="Arial" w:eastAsia="Arial" w:hAnsi="Arial"/>
          <w:sz w:val="17"/>
          <w:szCs w:val="17"/>
          <w:color w:val="181818"/>
        </w:rPr>
        <w:t xml:space="preserve"> Restated MEI Pharma</w:t>
      </w:r>
      <w:r>
        <w:rPr>
          <w:rFonts w:ascii="Arial" w:cs="Arial" w:eastAsia="Arial" w:hAnsi="Arial"/>
          <w:sz w:val="17"/>
          <w:szCs w:val="17"/>
          <w:color w:val="464646"/>
        </w:rPr>
        <w:t>,</w:t>
      </w:r>
      <w:r>
        <w:rPr>
          <w:rFonts w:ascii="Arial" w:cs="Arial" w:eastAsia="Arial" w:hAnsi="Arial"/>
          <w:sz w:val="17"/>
          <w:szCs w:val="17"/>
          <w:color w:val="181818"/>
        </w:rPr>
        <w:t xml:space="preserve"> Inc. </w:t>
      </w:r>
      <w:r>
        <w:rPr>
          <w:rFonts w:ascii="Arial" w:cs="Arial" w:eastAsia="Arial" w:hAnsi="Arial"/>
          <w:sz w:val="17"/>
          <w:szCs w:val="17"/>
          <w:color w:val="282828"/>
        </w:rPr>
        <w:t>2008</w:t>
      </w:r>
      <w:r>
        <w:rPr>
          <w:rFonts w:ascii="Arial" w:cs="Arial" w:eastAsia="Arial" w:hAnsi="Arial"/>
          <w:sz w:val="17"/>
          <w:szCs w:val="17"/>
          <w:color w:val="181818"/>
        </w:rPr>
        <w:t xml:space="preserve"> Omnibus </w:t>
      </w:r>
      <w:r>
        <w:rPr>
          <w:rFonts w:ascii="Arial" w:cs="Arial" w:eastAsia="Arial" w:hAnsi="Arial"/>
          <w:sz w:val="17"/>
          <w:szCs w:val="17"/>
          <w:color w:val="282828"/>
        </w:rPr>
        <w:t>Equity Compensation</w:t>
      </w:r>
      <w:r>
        <w:rPr>
          <w:rFonts w:ascii="Arial" w:cs="Arial" w:eastAsia="Arial" w:hAnsi="Arial"/>
          <w:sz w:val="17"/>
          <w:szCs w:val="17"/>
          <w:color w:val="181818"/>
        </w:rPr>
        <w:t xml:space="preserve"> Plan </w:t>
      </w:r>
      <w:r>
        <w:rPr>
          <w:rFonts w:ascii="Arial" w:cs="Arial" w:eastAsia="Arial" w:hAnsi="Arial"/>
          <w:sz w:val="17"/>
          <w:szCs w:val="17"/>
          <w:color w:val="282828"/>
        </w:rPr>
        <w:t>and</w:t>
      </w:r>
      <w:r>
        <w:rPr>
          <w:rFonts w:ascii="Arial" w:cs="Arial" w:eastAsia="Arial" w:hAnsi="Arial"/>
          <w:sz w:val="17"/>
          <w:szCs w:val="17"/>
          <w:color w:val="181818"/>
        </w:rPr>
        <w:t xml:space="preserve"> MEI</w:t>
      </w:r>
      <w:r>
        <w:rPr>
          <w:rFonts w:ascii="Arial" w:cs="Arial" w:eastAsia="Arial" w:hAnsi="Arial"/>
          <w:sz w:val="17"/>
          <w:szCs w:val="17"/>
          <w:color w:val="464646"/>
        </w:rPr>
        <w:t>'</w:t>
      </w:r>
      <w:r>
        <w:rPr>
          <w:rFonts w:ascii="Arial" w:cs="Arial" w:eastAsia="Arial" w:hAnsi="Arial"/>
          <w:sz w:val="17"/>
          <w:szCs w:val="17"/>
          <w:color w:val="282828"/>
        </w:rPr>
        <w:t>s standard</w:t>
      </w:r>
      <w:r>
        <w:rPr>
          <w:rFonts w:ascii="Arial" w:cs="Arial" w:eastAsia="Arial" w:hAnsi="Arial"/>
          <w:sz w:val="17"/>
          <w:szCs w:val="17"/>
          <w:color w:val="181818"/>
        </w:rPr>
        <w:t xml:space="preserve"> form of nonqualified </w:t>
      </w:r>
      <w:r>
        <w:rPr>
          <w:rFonts w:ascii="Arial" w:cs="Arial" w:eastAsia="Arial" w:hAnsi="Arial"/>
          <w:sz w:val="17"/>
          <w:szCs w:val="17"/>
          <w:color w:val="282828"/>
        </w:rPr>
        <w:t>stock</w:t>
      </w:r>
      <w:r>
        <w:rPr>
          <w:rFonts w:ascii="Arial" w:cs="Arial" w:eastAsia="Arial" w:hAnsi="Arial"/>
          <w:sz w:val="17"/>
          <w:szCs w:val="17"/>
          <w:color w:val="181818"/>
        </w:rPr>
        <w:t xml:space="preserve"> option </w:t>
      </w:r>
      <w:r>
        <w:rPr>
          <w:rFonts w:ascii="Arial" w:cs="Arial" w:eastAsia="Arial" w:hAnsi="Arial"/>
          <w:sz w:val="17"/>
          <w:szCs w:val="17"/>
          <w:color w:val="282828"/>
        </w:rPr>
        <w:t>grant agreement (the "</w:t>
      </w:r>
      <w:r>
        <w:rPr>
          <w:rFonts w:ascii="Arial" w:cs="Arial" w:eastAsia="Arial" w:hAnsi="Arial"/>
          <w:sz w:val="17"/>
          <w:szCs w:val="17"/>
          <w:u w:val="single" w:color="auto"/>
          <w:color w:val="282828"/>
        </w:rPr>
        <w:t>Option</w:t>
      </w:r>
      <w:r>
        <w:rPr>
          <w:rFonts w:ascii="Arial" w:cs="Arial" w:eastAsia="Arial" w:hAnsi="Arial"/>
          <w:sz w:val="17"/>
          <w:szCs w:val="17"/>
          <w:color w:val="282828"/>
        </w:rPr>
        <w:t>")</w:t>
      </w:r>
      <w:r>
        <w:rPr>
          <w:rFonts w:ascii="Arial" w:cs="Arial" w:eastAsia="Arial" w:hAnsi="Arial"/>
          <w:sz w:val="17"/>
          <w:szCs w:val="17"/>
          <w:color w:val="464646"/>
        </w:rPr>
        <w:t>,</w:t>
      </w:r>
      <w:r>
        <w:rPr>
          <w:rFonts w:ascii="Arial" w:cs="Arial" w:eastAsia="Arial" w:hAnsi="Arial"/>
          <w:sz w:val="17"/>
          <w:szCs w:val="17"/>
          <w:color w:val="181818"/>
        </w:rPr>
        <w:t xml:space="preserve"> which </w:t>
      </w:r>
      <w:r>
        <w:rPr>
          <w:rFonts w:ascii="Arial" w:cs="Arial" w:eastAsia="Arial" w:hAnsi="Arial"/>
          <w:sz w:val="17"/>
          <w:szCs w:val="17"/>
          <w:color w:val="282828"/>
        </w:rPr>
        <w:t>provides,</w:t>
      </w:r>
      <w:r>
        <w:rPr>
          <w:rFonts w:ascii="Arial" w:cs="Arial" w:eastAsia="Arial" w:hAnsi="Arial"/>
          <w:sz w:val="17"/>
          <w:szCs w:val="17"/>
          <w:color w:val="181818"/>
        </w:rPr>
        <w:t xml:space="preserve"> in part, that the Option will vest </w:t>
      </w:r>
      <w:r>
        <w:rPr>
          <w:rFonts w:ascii="Arial" w:cs="Arial" w:eastAsia="Arial" w:hAnsi="Arial"/>
          <w:sz w:val="17"/>
          <w:szCs w:val="17"/>
          <w:color w:val="282828"/>
        </w:rPr>
        <w:t>and</w:t>
      </w:r>
      <w:r>
        <w:rPr>
          <w:rFonts w:ascii="Arial" w:cs="Arial" w:eastAsia="Arial" w:hAnsi="Arial"/>
          <w:sz w:val="17"/>
          <w:szCs w:val="17"/>
          <w:color w:val="181818"/>
        </w:rPr>
        <w:t xml:space="preserve"> become </w:t>
      </w:r>
      <w:r>
        <w:rPr>
          <w:rFonts w:ascii="Arial" w:cs="Arial" w:eastAsia="Arial" w:hAnsi="Arial"/>
          <w:sz w:val="17"/>
          <w:szCs w:val="17"/>
          <w:color w:val="282828"/>
        </w:rPr>
        <w:t>exercisable</w:t>
      </w:r>
      <w:r>
        <w:rPr>
          <w:rFonts w:ascii="Arial" w:cs="Arial" w:eastAsia="Arial" w:hAnsi="Arial"/>
          <w:sz w:val="17"/>
          <w:szCs w:val="17"/>
          <w:color w:val="181818"/>
        </w:rPr>
        <w:t xml:space="preserve"> as to 25% </w:t>
      </w:r>
      <w:r>
        <w:rPr>
          <w:rFonts w:ascii="Arial" w:cs="Arial" w:eastAsia="Arial" w:hAnsi="Arial"/>
          <w:sz w:val="17"/>
          <w:szCs w:val="17"/>
          <w:color w:val="282828"/>
        </w:rPr>
        <w:t>of</w:t>
      </w:r>
      <w:r>
        <w:rPr>
          <w:rFonts w:ascii="Arial" w:cs="Arial" w:eastAsia="Arial" w:hAnsi="Arial"/>
          <w:sz w:val="17"/>
          <w:szCs w:val="17"/>
          <w:color w:val="181818"/>
        </w:rPr>
        <w:t xml:space="preserve"> the </w:t>
      </w:r>
      <w:r>
        <w:rPr>
          <w:rFonts w:ascii="Arial" w:cs="Arial" w:eastAsia="Arial" w:hAnsi="Arial"/>
          <w:sz w:val="17"/>
          <w:szCs w:val="17"/>
          <w:color w:val="282828"/>
        </w:rPr>
        <w:t>shares subject</w:t>
      </w:r>
      <w:r>
        <w:rPr>
          <w:rFonts w:ascii="Arial" w:cs="Arial" w:eastAsia="Arial" w:hAnsi="Arial"/>
          <w:sz w:val="17"/>
          <w:szCs w:val="17"/>
          <w:color w:val="181818"/>
        </w:rPr>
        <w:t xml:space="preserve"> to the Option on the first anniversary </w:t>
      </w:r>
      <w:r>
        <w:rPr>
          <w:rFonts w:ascii="Arial" w:cs="Arial" w:eastAsia="Arial" w:hAnsi="Arial"/>
          <w:sz w:val="17"/>
          <w:szCs w:val="17"/>
          <w:color w:val="282828"/>
        </w:rPr>
        <w:t>of</w:t>
      </w:r>
      <w:r>
        <w:rPr>
          <w:rFonts w:ascii="Arial" w:cs="Arial" w:eastAsia="Arial" w:hAnsi="Arial"/>
          <w:sz w:val="17"/>
          <w:szCs w:val="17"/>
          <w:color w:val="181818"/>
        </w:rPr>
        <w:t xml:space="preserve"> the date of </w:t>
      </w:r>
      <w:r>
        <w:rPr>
          <w:rFonts w:ascii="Arial" w:cs="Arial" w:eastAsia="Arial" w:hAnsi="Arial"/>
          <w:sz w:val="17"/>
          <w:szCs w:val="17"/>
          <w:color w:val="282828"/>
        </w:rPr>
        <w:t>grant and</w:t>
      </w:r>
      <w:r>
        <w:rPr>
          <w:rFonts w:ascii="Arial" w:cs="Arial" w:eastAsia="Arial" w:hAnsi="Arial"/>
          <w:sz w:val="17"/>
          <w:szCs w:val="17"/>
          <w:color w:val="181818"/>
        </w:rPr>
        <w:t xml:space="preserve"> the remaining 75% of the shares </w:t>
      </w:r>
      <w:r>
        <w:rPr>
          <w:rFonts w:ascii="Arial" w:cs="Arial" w:eastAsia="Arial" w:hAnsi="Arial"/>
          <w:sz w:val="17"/>
          <w:szCs w:val="17"/>
          <w:color w:val="282828"/>
        </w:rPr>
        <w:t>subject</w:t>
      </w:r>
      <w:r>
        <w:rPr>
          <w:rFonts w:ascii="Arial" w:cs="Arial" w:eastAsia="Arial" w:hAnsi="Arial"/>
          <w:sz w:val="17"/>
          <w:szCs w:val="17"/>
          <w:color w:val="181818"/>
        </w:rPr>
        <w:t xml:space="preserve"> to the Option will </w:t>
      </w:r>
      <w:r>
        <w:rPr>
          <w:rFonts w:ascii="Arial" w:cs="Arial" w:eastAsia="Arial" w:hAnsi="Arial"/>
          <w:sz w:val="17"/>
          <w:szCs w:val="17"/>
          <w:color w:val="282828"/>
        </w:rPr>
        <w:t>vest and</w:t>
      </w:r>
      <w:r>
        <w:rPr>
          <w:rFonts w:ascii="Arial" w:cs="Arial" w:eastAsia="Arial" w:hAnsi="Arial"/>
          <w:sz w:val="17"/>
          <w:szCs w:val="17"/>
          <w:color w:val="181818"/>
        </w:rPr>
        <w:t xml:space="preserve"> become </w:t>
      </w:r>
      <w:r>
        <w:rPr>
          <w:rFonts w:ascii="Arial" w:cs="Arial" w:eastAsia="Arial" w:hAnsi="Arial"/>
          <w:sz w:val="17"/>
          <w:szCs w:val="17"/>
          <w:color w:val="282828"/>
        </w:rPr>
        <w:t>exercisable</w:t>
      </w:r>
      <w:r>
        <w:rPr>
          <w:rFonts w:ascii="Arial" w:cs="Arial" w:eastAsia="Arial" w:hAnsi="Arial"/>
          <w:sz w:val="17"/>
          <w:szCs w:val="17"/>
          <w:color w:val="181818"/>
        </w:rPr>
        <w:t xml:space="preserve"> in </w:t>
      </w:r>
      <w:r>
        <w:rPr>
          <w:rFonts w:ascii="Arial" w:cs="Arial" w:eastAsia="Arial" w:hAnsi="Arial"/>
          <w:sz w:val="17"/>
          <w:szCs w:val="17"/>
          <w:color w:val="282828"/>
        </w:rPr>
        <w:t>substantially equal</w:t>
      </w:r>
      <w:r>
        <w:rPr>
          <w:rFonts w:ascii="Arial" w:cs="Arial" w:eastAsia="Arial" w:hAnsi="Arial"/>
          <w:sz w:val="17"/>
          <w:szCs w:val="17"/>
          <w:color w:val="181818"/>
        </w:rPr>
        <w:t xml:space="preserve"> monthly installments for </w:t>
      </w:r>
      <w:r>
        <w:rPr>
          <w:rFonts w:ascii="Arial" w:cs="Arial" w:eastAsia="Arial" w:hAnsi="Arial"/>
          <w:sz w:val="17"/>
          <w:szCs w:val="17"/>
          <w:color w:val="282828"/>
        </w:rPr>
        <w:t>36</w:t>
      </w:r>
      <w:r>
        <w:rPr>
          <w:rFonts w:ascii="Arial" w:cs="Arial" w:eastAsia="Arial" w:hAnsi="Arial"/>
          <w:sz w:val="17"/>
          <w:szCs w:val="17"/>
          <w:color w:val="181818"/>
        </w:rPr>
        <w:t xml:space="preserve"> months thereafter, subject to your continued employment or </w:t>
      </w:r>
      <w:r>
        <w:rPr>
          <w:rFonts w:ascii="Arial" w:cs="Arial" w:eastAsia="Arial" w:hAnsi="Arial"/>
          <w:sz w:val="17"/>
          <w:szCs w:val="17"/>
          <w:color w:val="282828"/>
        </w:rPr>
        <w:t>service</w:t>
      </w:r>
      <w:r>
        <w:rPr>
          <w:rFonts w:ascii="Arial" w:cs="Arial" w:eastAsia="Arial" w:hAnsi="Arial"/>
          <w:sz w:val="17"/>
          <w:szCs w:val="17"/>
          <w:color w:val="181818"/>
        </w:rPr>
        <w:t xml:space="preserve"> through the applicable vesting dates.</w:t>
      </w:r>
    </w:p>
    <w:p>
      <w:pPr>
        <w:spacing w:after="0" w:line="67" w:lineRule="exact"/>
        <w:rPr>
          <w:rFonts w:ascii="Arial" w:cs="Arial" w:eastAsia="Arial" w:hAnsi="Arial"/>
          <w:sz w:val="17"/>
          <w:szCs w:val="17"/>
          <w:color w:val="181818"/>
        </w:rPr>
      </w:pPr>
    </w:p>
    <w:p>
      <w:pPr>
        <w:ind w:left="960" w:right="180" w:hanging="443"/>
        <w:spacing w:after="0" w:line="296" w:lineRule="auto"/>
        <w:tabs>
          <w:tab w:leader="none" w:pos="960" w:val="left"/>
        </w:tabs>
        <w:numPr>
          <w:ilvl w:val="0"/>
          <w:numId w:val="13"/>
        </w:numPr>
        <w:rPr>
          <w:rFonts w:ascii="Arial" w:cs="Arial" w:eastAsia="Arial" w:hAnsi="Arial"/>
          <w:sz w:val="17"/>
          <w:szCs w:val="17"/>
          <w:color w:val="181818"/>
        </w:rPr>
      </w:pPr>
      <w:r>
        <w:rPr>
          <w:rFonts w:ascii="Arial" w:cs="Arial" w:eastAsia="Arial" w:hAnsi="Arial"/>
          <w:sz w:val="17"/>
          <w:szCs w:val="17"/>
          <w:color w:val="181818"/>
        </w:rPr>
        <w:t xml:space="preserve">The provisions </w:t>
      </w:r>
      <w:r>
        <w:rPr>
          <w:rFonts w:ascii="Arial" w:cs="Arial" w:eastAsia="Arial" w:hAnsi="Arial"/>
          <w:sz w:val="17"/>
          <w:szCs w:val="17"/>
          <w:color w:val="282828"/>
        </w:rPr>
        <w:t>of</w:t>
      </w:r>
      <w:r>
        <w:rPr>
          <w:rFonts w:ascii="Arial" w:cs="Arial" w:eastAsia="Arial" w:hAnsi="Arial"/>
          <w:sz w:val="17"/>
          <w:szCs w:val="17"/>
          <w:color w:val="181818"/>
        </w:rPr>
        <w:t xml:space="preserve"> the </w:t>
      </w:r>
      <w:r>
        <w:rPr>
          <w:rFonts w:ascii="Arial" w:cs="Arial" w:eastAsia="Arial" w:hAnsi="Arial"/>
          <w:sz w:val="17"/>
          <w:szCs w:val="17"/>
          <w:color w:val="282828"/>
        </w:rPr>
        <w:t>Employment Letter entitled "Termination</w:t>
      </w:r>
      <w:r>
        <w:rPr>
          <w:rFonts w:ascii="Arial" w:cs="Arial" w:eastAsia="Arial" w:hAnsi="Arial"/>
          <w:sz w:val="17"/>
          <w:szCs w:val="17"/>
          <w:color w:val="181818"/>
        </w:rPr>
        <w:t xml:space="preserve"> by MEI Other than for </w:t>
      </w:r>
      <w:r>
        <w:rPr>
          <w:rFonts w:ascii="Arial" w:cs="Arial" w:eastAsia="Arial" w:hAnsi="Arial"/>
          <w:sz w:val="17"/>
          <w:szCs w:val="17"/>
          <w:color w:val="282828"/>
        </w:rPr>
        <w:t>Cause</w:t>
      </w:r>
      <w:r>
        <w:rPr>
          <w:rFonts w:ascii="Arial" w:cs="Arial" w:eastAsia="Arial" w:hAnsi="Arial"/>
          <w:sz w:val="17"/>
          <w:szCs w:val="17"/>
          <w:color w:val="464646"/>
        </w:rPr>
        <w:t>"</w:t>
      </w:r>
      <w:r>
        <w:rPr>
          <w:rFonts w:ascii="Arial" w:cs="Arial" w:eastAsia="Arial" w:hAnsi="Arial"/>
          <w:sz w:val="17"/>
          <w:szCs w:val="17"/>
          <w:color w:val="181818"/>
        </w:rPr>
        <w:t xml:space="preserve"> </w:t>
      </w:r>
      <w:r>
        <w:rPr>
          <w:rFonts w:ascii="Arial" w:cs="Arial" w:eastAsia="Arial" w:hAnsi="Arial"/>
          <w:sz w:val="17"/>
          <w:szCs w:val="17"/>
          <w:color w:val="282828"/>
        </w:rPr>
        <w:t>and "Your</w:t>
      </w:r>
      <w:r>
        <w:rPr>
          <w:rFonts w:ascii="Arial" w:cs="Arial" w:eastAsia="Arial" w:hAnsi="Arial"/>
          <w:sz w:val="17"/>
          <w:szCs w:val="17"/>
          <w:color w:val="181818"/>
        </w:rPr>
        <w:t xml:space="preserve"> Termination </w:t>
      </w:r>
      <w:r>
        <w:rPr>
          <w:rFonts w:ascii="Arial" w:cs="Arial" w:eastAsia="Arial" w:hAnsi="Arial"/>
          <w:sz w:val="17"/>
          <w:szCs w:val="17"/>
          <w:color w:val="282828"/>
        </w:rPr>
        <w:t>for</w:t>
      </w:r>
      <w:r>
        <w:rPr>
          <w:rFonts w:ascii="Arial" w:cs="Arial" w:eastAsia="Arial" w:hAnsi="Arial"/>
          <w:sz w:val="17"/>
          <w:szCs w:val="17"/>
          <w:color w:val="181818"/>
        </w:rPr>
        <w:t xml:space="preserve"> Good Reason" </w:t>
      </w:r>
      <w:r>
        <w:rPr>
          <w:rFonts w:ascii="Arial" w:cs="Arial" w:eastAsia="Arial" w:hAnsi="Arial"/>
          <w:sz w:val="17"/>
          <w:szCs w:val="17"/>
          <w:color w:val="282828"/>
        </w:rPr>
        <w:t>are</w:t>
      </w:r>
      <w:r>
        <w:rPr>
          <w:rFonts w:ascii="Arial" w:cs="Arial" w:eastAsia="Arial" w:hAnsi="Arial"/>
          <w:sz w:val="17"/>
          <w:szCs w:val="17"/>
          <w:color w:val="181818"/>
        </w:rPr>
        <w:t xml:space="preserve"> hereby </w:t>
      </w:r>
      <w:r>
        <w:rPr>
          <w:rFonts w:ascii="Arial" w:cs="Arial" w:eastAsia="Arial" w:hAnsi="Arial"/>
          <w:sz w:val="17"/>
          <w:szCs w:val="17"/>
          <w:color w:val="282828"/>
        </w:rPr>
        <w:t>amended</w:t>
      </w:r>
      <w:r>
        <w:rPr>
          <w:rFonts w:ascii="Arial" w:cs="Arial" w:eastAsia="Arial" w:hAnsi="Arial"/>
          <w:sz w:val="17"/>
          <w:szCs w:val="17"/>
          <w:color w:val="181818"/>
        </w:rPr>
        <w:t xml:space="preserve"> to provide that </w:t>
      </w:r>
      <w:r>
        <w:rPr>
          <w:rFonts w:ascii="Arial" w:cs="Arial" w:eastAsia="Arial" w:hAnsi="Arial"/>
          <w:sz w:val="17"/>
          <w:szCs w:val="17"/>
          <w:color w:val="282828"/>
        </w:rPr>
        <w:t>you shall</w:t>
      </w:r>
      <w:r>
        <w:rPr>
          <w:rFonts w:ascii="Arial" w:cs="Arial" w:eastAsia="Arial" w:hAnsi="Arial"/>
          <w:sz w:val="17"/>
          <w:szCs w:val="17"/>
          <w:color w:val="181818"/>
        </w:rPr>
        <w:t xml:space="preserve"> receive </w:t>
      </w:r>
      <w:r>
        <w:rPr>
          <w:rFonts w:ascii="Arial" w:cs="Arial" w:eastAsia="Arial" w:hAnsi="Arial"/>
          <w:sz w:val="17"/>
          <w:szCs w:val="17"/>
          <w:color w:val="282828"/>
        </w:rPr>
        <w:t>a</w:t>
      </w:r>
      <w:r>
        <w:rPr>
          <w:rFonts w:ascii="Arial" w:cs="Arial" w:eastAsia="Arial" w:hAnsi="Arial"/>
          <w:sz w:val="17"/>
          <w:szCs w:val="17"/>
          <w:color w:val="181818"/>
        </w:rPr>
        <w:t xml:space="preserve"> payment in an amount of 12 months of </w:t>
      </w:r>
      <w:r>
        <w:rPr>
          <w:rFonts w:ascii="Arial" w:cs="Arial" w:eastAsia="Arial" w:hAnsi="Arial"/>
          <w:sz w:val="17"/>
          <w:szCs w:val="17"/>
          <w:color w:val="282828"/>
        </w:rPr>
        <w:t>your</w:t>
      </w:r>
      <w:r>
        <w:rPr>
          <w:rFonts w:ascii="Arial" w:cs="Arial" w:eastAsia="Arial" w:hAnsi="Arial"/>
          <w:sz w:val="17"/>
          <w:szCs w:val="17"/>
          <w:color w:val="181818"/>
        </w:rPr>
        <w:t xml:space="preserve"> annual base </w:t>
      </w:r>
      <w:r>
        <w:rPr>
          <w:rFonts w:ascii="Arial" w:cs="Arial" w:eastAsia="Arial" w:hAnsi="Arial"/>
          <w:sz w:val="17"/>
          <w:szCs w:val="17"/>
          <w:color w:val="282828"/>
        </w:rPr>
        <w:t>salary</w:t>
      </w:r>
      <w:r>
        <w:rPr>
          <w:rFonts w:ascii="Arial" w:cs="Arial" w:eastAsia="Arial" w:hAnsi="Arial"/>
          <w:sz w:val="17"/>
          <w:szCs w:val="17"/>
          <w:color w:val="181818"/>
        </w:rPr>
        <w:t xml:space="preserve"> (in </w:t>
      </w:r>
      <w:r>
        <w:rPr>
          <w:rFonts w:ascii="Arial" w:cs="Arial" w:eastAsia="Arial" w:hAnsi="Arial"/>
          <w:sz w:val="17"/>
          <w:szCs w:val="17"/>
          <w:color w:val="282828"/>
        </w:rPr>
        <w:t>effect at</w:t>
      </w:r>
      <w:r>
        <w:rPr>
          <w:rFonts w:ascii="Arial" w:cs="Arial" w:eastAsia="Arial" w:hAnsi="Arial"/>
          <w:sz w:val="17"/>
          <w:szCs w:val="17"/>
          <w:color w:val="181818"/>
        </w:rPr>
        <w:t xml:space="preserve"> the time </w:t>
      </w:r>
      <w:r>
        <w:rPr>
          <w:rFonts w:ascii="Arial" w:cs="Arial" w:eastAsia="Arial" w:hAnsi="Arial"/>
          <w:sz w:val="17"/>
          <w:szCs w:val="17"/>
          <w:color w:val="282828"/>
        </w:rPr>
        <w:t>of</w:t>
      </w:r>
      <w:r>
        <w:rPr>
          <w:rFonts w:ascii="Arial" w:cs="Arial" w:eastAsia="Arial" w:hAnsi="Arial"/>
          <w:sz w:val="17"/>
          <w:szCs w:val="17"/>
          <w:color w:val="181818"/>
        </w:rPr>
        <w:t xml:space="preserve"> termination) </w:t>
      </w:r>
      <w:r>
        <w:rPr>
          <w:rFonts w:ascii="Arial" w:cs="Arial" w:eastAsia="Arial" w:hAnsi="Arial"/>
          <w:sz w:val="17"/>
          <w:szCs w:val="17"/>
          <w:color w:val="282828"/>
        </w:rPr>
        <w:t>and</w:t>
      </w:r>
      <w:r>
        <w:rPr>
          <w:rFonts w:ascii="Arial" w:cs="Arial" w:eastAsia="Arial" w:hAnsi="Arial"/>
          <w:sz w:val="17"/>
          <w:szCs w:val="17"/>
          <w:color w:val="181818"/>
        </w:rPr>
        <w:t xml:space="preserve"> accelerate the vesting of your stock </w:t>
      </w:r>
      <w:r>
        <w:rPr>
          <w:rFonts w:ascii="Arial" w:cs="Arial" w:eastAsia="Arial" w:hAnsi="Arial"/>
          <w:sz w:val="17"/>
          <w:szCs w:val="17"/>
          <w:color w:val="282828"/>
        </w:rPr>
        <w:t>options so</w:t>
      </w:r>
      <w:r>
        <w:rPr>
          <w:rFonts w:ascii="Arial" w:cs="Arial" w:eastAsia="Arial" w:hAnsi="Arial"/>
          <w:sz w:val="17"/>
          <w:szCs w:val="17"/>
          <w:color w:val="181818"/>
        </w:rPr>
        <w:t xml:space="preserve"> that </w:t>
      </w:r>
      <w:r>
        <w:rPr>
          <w:rFonts w:ascii="Arial" w:cs="Arial" w:eastAsia="Arial" w:hAnsi="Arial"/>
          <w:sz w:val="17"/>
          <w:szCs w:val="17"/>
          <w:color w:val="282828"/>
        </w:rPr>
        <w:t>you</w:t>
      </w:r>
      <w:r>
        <w:rPr>
          <w:rFonts w:ascii="Arial" w:cs="Arial" w:eastAsia="Arial" w:hAnsi="Arial"/>
          <w:sz w:val="17"/>
          <w:szCs w:val="17"/>
          <w:color w:val="181818"/>
        </w:rPr>
        <w:t xml:space="preserve"> will be vested in the same number of shares </w:t>
      </w:r>
      <w:r>
        <w:rPr>
          <w:rFonts w:ascii="Arial" w:cs="Arial" w:eastAsia="Arial" w:hAnsi="Arial"/>
          <w:sz w:val="17"/>
          <w:szCs w:val="17"/>
          <w:color w:val="282828"/>
        </w:rPr>
        <w:t>subject</w:t>
      </w:r>
      <w:r>
        <w:rPr>
          <w:rFonts w:ascii="Arial" w:cs="Arial" w:eastAsia="Arial" w:hAnsi="Arial"/>
          <w:sz w:val="17"/>
          <w:szCs w:val="17"/>
          <w:color w:val="181818"/>
        </w:rPr>
        <w:t xml:space="preserve"> to the </w:t>
      </w:r>
      <w:r>
        <w:rPr>
          <w:rFonts w:ascii="Arial" w:cs="Arial" w:eastAsia="Arial" w:hAnsi="Arial"/>
          <w:sz w:val="17"/>
          <w:szCs w:val="17"/>
          <w:color w:val="111113"/>
        </w:rPr>
        <w:t>stock</w:t>
      </w:r>
      <w:r>
        <w:rPr>
          <w:rFonts w:ascii="Arial" w:cs="Arial" w:eastAsia="Arial" w:hAnsi="Arial"/>
          <w:sz w:val="17"/>
          <w:szCs w:val="17"/>
          <w:color w:val="181818"/>
        </w:rPr>
        <w:t xml:space="preserve"> </w:t>
      </w:r>
      <w:r>
        <w:rPr>
          <w:rFonts w:ascii="Arial" w:cs="Arial" w:eastAsia="Arial" w:hAnsi="Arial"/>
          <w:sz w:val="17"/>
          <w:szCs w:val="17"/>
          <w:color w:val="111113"/>
        </w:rPr>
        <w:t>options as if you had continued to be employed by MEI for an additional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11113"/>
        </w:rPr>
        <w:t>All other terms of the Employment letter not amended as set forth above shall remain in full force and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Daniel P. 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P. Gold,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MEI Pharma, Inc.</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2020" w:val="left"/>
          <w:tab w:leader="none" w:pos="5080" w:val="left"/>
          <w:tab w:leader="none" w:pos="5740" w:val="left"/>
        </w:tabs>
        <w:rPr>
          <w:sz w:val="20"/>
          <w:szCs w:val="20"/>
          <w:color w:val="auto"/>
        </w:rPr>
      </w:pPr>
      <w:r>
        <w:rPr>
          <w:rFonts w:ascii="Arial" w:cs="Arial" w:eastAsia="Arial" w:hAnsi="Arial"/>
          <w:sz w:val="18"/>
          <w:szCs w:val="18"/>
          <w:color w:val="auto"/>
        </w:rPr>
        <w:t>Agreed and accepted:</w:t>
      </w:r>
      <w:r>
        <w:rPr>
          <w:sz w:val="20"/>
          <w:szCs w:val="20"/>
          <w:color w:val="auto"/>
        </w:rPr>
        <w:tab/>
      </w:r>
      <w:r>
        <w:rPr>
          <w:rFonts w:ascii="Arial" w:cs="Arial" w:eastAsia="Arial" w:hAnsi="Arial"/>
          <w:sz w:val="18"/>
          <w:szCs w:val="18"/>
          <w:color w:val="auto"/>
        </w:rPr>
        <w:t>/s/ Richard G. Ghalie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23495</wp:posOffset>
            </wp:positionV>
            <wp:extent cx="3703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Richard G. Ghalie, MD,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11113"/>
        </w:rPr>
        <w:t>11455 El Camino Real, Suite 250, San Diego, CA 92130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11113"/>
        </w:rPr>
        <w:t xml:space="preserve">Tel: 858 369 7100 Fax: 858 369 7101 Website: </w:t>
      </w:r>
      <w:r>
        <w:rPr>
          <w:rFonts w:ascii="Arial" w:cs="Arial" w:eastAsia="Arial" w:hAnsi="Arial"/>
          <w:sz w:val="18"/>
          <w:szCs w:val="18"/>
          <w:b w:val="1"/>
          <w:bCs w:val="1"/>
          <w:i w:val="1"/>
          <w:iCs w:val="1"/>
          <w:color w:val="030C8C"/>
        </w:rPr>
        <w:t>www.meipharma.com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MEI Pharma,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8"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333-238056, 333-225465, 333-186070, 333-184011, 333-174789, 333-146453, and 333-136440) and Form S-8 (File Nos. 333-255830, 333-251976, 333-229554, 333-216103, 333-213278, 333-201703, 333-179591, 333-174790, 333-169719, and 333-156985) of MEI Pharma, Inc. of our report dated September 2, 2021, relating to the financial statements, which appears in this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Daniel P. Gold, certify that: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Annual Report on Form 10-K for the year ended June 30, 2021 of MEI Pharma, Inc.;</w:t>
      </w:r>
    </w:p>
    <w:p>
      <w:pPr>
        <w:spacing w:after="0" w:line="131" w:lineRule="exact"/>
        <w:rPr>
          <w:sz w:val="20"/>
          <w:szCs w:val="20"/>
          <w:color w:val="auto"/>
        </w:rPr>
      </w:pPr>
    </w:p>
    <w:p>
      <w:pPr>
        <w:jc w:val="both"/>
        <w:ind w:left="440" w:right="32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120" w:hanging="443"/>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960" w:right="560" w:hanging="443"/>
        <w:spacing w:after="0" w:line="359"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Date: September 2, 2021</w:t>
            </w:r>
          </w:p>
        </w:tc>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P. Gold</w:t>
            </w:r>
          </w:p>
        </w:tc>
        <w:tc>
          <w:tcPr>
            <w:tcW w:w="20" w:type="dxa"/>
            <w:vAlign w:val="bottom"/>
          </w:tcPr>
          <w:p>
            <w:pPr>
              <w:spacing w:after="0"/>
              <w:rPr>
                <w:sz w:val="18"/>
                <w:szCs w:val="18"/>
                <w:color w:val="auto"/>
              </w:rPr>
            </w:pPr>
          </w:p>
        </w:tc>
      </w:tr>
      <w:tr>
        <w:trPr>
          <w:trHeight w:val="220"/>
        </w:trPr>
        <w:tc>
          <w:tcPr>
            <w:tcW w:w="57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Daniel P. Gold</w:t>
            </w:r>
          </w:p>
        </w:tc>
        <w:tc>
          <w:tcPr>
            <w:tcW w:w="20" w:type="dxa"/>
            <w:vAlign w:val="bottom"/>
          </w:tcPr>
          <w:p>
            <w:pPr>
              <w:spacing w:after="0"/>
              <w:rPr>
                <w:sz w:val="19"/>
                <w:szCs w:val="19"/>
                <w:color w:val="auto"/>
              </w:rPr>
            </w:pPr>
          </w:p>
        </w:tc>
      </w:tr>
      <w:tr>
        <w:trPr>
          <w:trHeight w:val="283"/>
        </w:trPr>
        <w:tc>
          <w:tcPr>
            <w:tcW w:w="57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24"/>
                <w:szCs w:val="24"/>
                <w:color w:val="auto"/>
              </w:rPr>
            </w:pPr>
          </w:p>
        </w:tc>
      </w:tr>
      <w:tr>
        <w:trPr>
          <w:trHeight w:val="283"/>
        </w:trPr>
        <w:tc>
          <w:tcPr>
            <w:tcW w:w="57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20" w:type="dxa"/>
            <w:vAlign w:val="bottom"/>
          </w:tcPr>
          <w:p>
            <w:pPr>
              <w:spacing w:after="0"/>
              <w:rPr>
                <w:sz w:val="24"/>
                <w:szCs w:val="24"/>
                <w:color w:val="auto"/>
              </w:rPr>
            </w:pPr>
          </w:p>
        </w:tc>
      </w:tr>
      <w:tr>
        <w:trPr>
          <w:trHeight w:val="432"/>
        </w:trPr>
        <w:tc>
          <w:tcPr>
            <w:tcW w:w="57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Brian G. Drazba, certify that:</w:t>
      </w:r>
    </w:p>
    <w:p>
      <w:pPr>
        <w:spacing w:after="0" w:line="131"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2021 of MEI Pharma,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120" w:hanging="443"/>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960" w:right="560" w:hanging="443"/>
        <w:spacing w:after="0" w:line="359"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Date: September 2, 2021</w:t>
            </w:r>
          </w:p>
        </w:tc>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Brian G. Drazba</w:t>
            </w:r>
          </w:p>
        </w:tc>
        <w:tc>
          <w:tcPr>
            <w:tcW w:w="20" w:type="dxa"/>
            <w:vAlign w:val="bottom"/>
          </w:tcPr>
          <w:p>
            <w:pPr>
              <w:spacing w:after="0"/>
              <w:rPr>
                <w:sz w:val="18"/>
                <w:szCs w:val="18"/>
                <w:color w:val="auto"/>
              </w:rPr>
            </w:pPr>
          </w:p>
        </w:tc>
      </w:tr>
      <w:tr>
        <w:trPr>
          <w:trHeight w:val="220"/>
        </w:trPr>
        <w:tc>
          <w:tcPr>
            <w:tcW w:w="57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Brian G. Drazba</w:t>
            </w:r>
          </w:p>
        </w:tc>
        <w:tc>
          <w:tcPr>
            <w:tcW w:w="20" w:type="dxa"/>
            <w:vAlign w:val="bottom"/>
          </w:tcPr>
          <w:p>
            <w:pPr>
              <w:spacing w:after="0"/>
              <w:rPr>
                <w:sz w:val="19"/>
                <w:szCs w:val="19"/>
                <w:color w:val="auto"/>
              </w:rPr>
            </w:pPr>
          </w:p>
        </w:tc>
      </w:tr>
      <w:tr>
        <w:trPr>
          <w:trHeight w:val="283"/>
        </w:trPr>
        <w:tc>
          <w:tcPr>
            <w:tcW w:w="57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0" w:type="dxa"/>
            <w:vAlign w:val="bottom"/>
          </w:tcPr>
          <w:p>
            <w:pPr>
              <w:spacing w:after="0"/>
              <w:rPr>
                <w:sz w:val="24"/>
                <w:szCs w:val="24"/>
                <w:color w:val="auto"/>
              </w:rPr>
            </w:pPr>
          </w:p>
        </w:tc>
      </w:tr>
      <w:tr>
        <w:trPr>
          <w:trHeight w:val="284"/>
        </w:trPr>
        <w:tc>
          <w:tcPr>
            <w:tcW w:w="57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(Principal Financial Officer)</w:t>
            </w:r>
          </w:p>
        </w:tc>
        <w:tc>
          <w:tcPr>
            <w:tcW w:w="20" w:type="dxa"/>
            <w:vAlign w:val="bottom"/>
          </w:tcPr>
          <w:p>
            <w:pPr>
              <w:spacing w:after="0"/>
              <w:rPr>
                <w:sz w:val="24"/>
                <w:szCs w:val="24"/>
                <w:color w:val="auto"/>
              </w:rPr>
            </w:pPr>
          </w:p>
        </w:tc>
      </w:tr>
      <w:tr>
        <w:trPr>
          <w:trHeight w:val="431"/>
        </w:trPr>
        <w:tc>
          <w:tcPr>
            <w:tcW w:w="57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Each of the undersigned hereby certifies, for the purposes of Section 1350 of Chapter 63 of Title 18 of the U.S. Code, as adopted pursuant to Section 906 of the Sarbanes-Oxley Act of 2002, in his capacity as an officer of MEI Pharma, Inc. (“MEI Pharma”) that, to his knowledge, this Annual Report on Form 10-K of MEI Pharma, for the year ended June 30, 2021,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P. Gold</w:t>
            </w:r>
          </w:p>
        </w:tc>
        <w:tc>
          <w:tcPr>
            <w:tcW w:w="740" w:type="dxa"/>
            <w:vAlign w:val="bottom"/>
          </w:tcPr>
          <w:p>
            <w:pPr>
              <w:spacing w:after="0"/>
              <w:rPr>
                <w:sz w:val="18"/>
                <w:szCs w:val="18"/>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Brian G. Drazba</w:t>
            </w:r>
          </w:p>
        </w:tc>
      </w:tr>
      <w:tr>
        <w:trPr>
          <w:trHeight w:val="260"/>
        </w:trPr>
        <w:tc>
          <w:tcPr>
            <w:tcW w:w="5240" w:type="dxa"/>
            <w:vAlign w:val="bottom"/>
          </w:tcPr>
          <w:p>
            <w:pPr>
              <w:spacing w:after="0"/>
              <w:rPr>
                <w:sz w:val="20"/>
                <w:szCs w:val="20"/>
                <w:color w:val="auto"/>
              </w:rPr>
            </w:pPr>
            <w:r>
              <w:rPr>
                <w:rFonts w:ascii="Arial" w:cs="Arial" w:eastAsia="Arial" w:hAnsi="Arial"/>
                <w:sz w:val="16"/>
                <w:szCs w:val="16"/>
                <w:color w:val="auto"/>
              </w:rPr>
              <w:t>Daniel P. Gold</w:t>
            </w:r>
          </w:p>
        </w:tc>
        <w:tc>
          <w:tcPr>
            <w:tcW w:w="74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Brian G. Drazba</w:t>
            </w:r>
          </w:p>
        </w:tc>
      </w:tr>
      <w:tr>
        <w:trPr>
          <w:trHeight w:val="283"/>
        </w:trPr>
        <w:tc>
          <w:tcPr>
            <w:tcW w:w="524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74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83"/>
        </w:trPr>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74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(Principal Financial Officer)</w:t>
            </w:r>
          </w:p>
        </w:tc>
      </w:tr>
    </w:tbl>
    <w:p>
      <w:pPr>
        <w:spacing w:after="0" w:line="316"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8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o"/>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84"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jpe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jpe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273" Type="http://schemas.openxmlformats.org/officeDocument/2006/relationships/hyperlink" Target="https://www.sec.gov/Archives/edgar/data/1262104/000119312519030835/d656704dex31.htm" TargetMode="External"/><Relationship Id="rId274" Type="http://schemas.openxmlformats.org/officeDocument/2006/relationships/hyperlink" Target="https://www.sec.gov/Archives/edgar/data/1262104/000119312511134658/dex31.htm" TargetMode="External"/><Relationship Id="rId275" Type="http://schemas.openxmlformats.org/officeDocument/2006/relationships/hyperlink" Target="https://www.sec.gov/Archives/edgar/data/1262104/000119312511070320/dex101.htm" TargetMode="External"/><Relationship Id="rId276" Type="http://schemas.openxmlformats.org/officeDocument/2006/relationships/hyperlink" Target="https://www.sec.gov/Archives/edgar/data/1262104/000119312520080639/d898951dex31.htm" TargetMode="External"/><Relationship Id="rId277" Type="http://schemas.openxmlformats.org/officeDocument/2006/relationships/hyperlink" Target="https://www.sec.gov/Archives/edgar/data/1262104/000095012303012005/y90124a1exv4w1.txt" TargetMode="External"/><Relationship Id="rId278" Type="http://schemas.openxmlformats.org/officeDocument/2006/relationships/hyperlink" Target="https://www.sec.gov/Archives/edgar/data/1262104/000119312518165462/d586784dex101.htm" TargetMode="External"/><Relationship Id="rId279" Type="http://schemas.openxmlformats.org/officeDocument/2006/relationships/hyperlink" Target="https://www.sec.gov/Archives/edgar/data/1262104/000119312520242169/d58841dex43.htm" TargetMode="External"/><Relationship Id="rId280" Type="http://schemas.openxmlformats.org/officeDocument/2006/relationships/hyperlink" Target="https://www.sec.gov/Archives/edgar/data/1262104/000095012310038170/y84082exv10w1.htm" TargetMode="External"/><Relationship Id="rId281" Type="http://schemas.openxmlformats.org/officeDocument/2006/relationships/hyperlink" Target="https://www.sec.gov/Archives/edgar/data/1262104/000119312514134627/d707755dex101.htm" TargetMode="External"/><Relationship Id="rId282" Type="http://schemas.openxmlformats.org/officeDocument/2006/relationships/hyperlink" Target="https://www.sec.gov/Archives/edgar/data/1262104/000119312518218802/d510012dex101.htm" TargetMode="External"/><Relationship Id="rId283" Type="http://schemas.openxmlformats.org/officeDocument/2006/relationships/hyperlink" Target="https://www.sec.gov/Archives/edgar/data/1262104/000119312517107676/d372036dex101.htm" TargetMode="External"/><Relationship Id="rId285" Type="http://schemas.openxmlformats.org/officeDocument/2006/relationships/hyperlink" Target="https://www.sec.gov/Archives/edgar/data/1262104/000119312511235271/dex101.htm" TargetMode="External"/><Relationship Id="rId286" Type="http://schemas.openxmlformats.org/officeDocument/2006/relationships/hyperlink" Target="https://www.sec.gov/Archives/edgar/data/1262104/000119312517336509/d445348dex101.htm" TargetMode="External"/><Relationship Id="rId287" Type="http://schemas.openxmlformats.org/officeDocument/2006/relationships/hyperlink" Target="https://www.sec.gov/Archives/edgar/data/1262104/000119312517336517/d489860dex11.htm" TargetMode="External"/><Relationship Id="rId288" Type="http://schemas.openxmlformats.org/officeDocument/2006/relationships/hyperlink" Target="https://www.sec.gov/Archives/edgar/data/1262104/000119312519030835/d656704dex101.htm" TargetMode="External"/><Relationship Id="rId289" Type="http://schemas.openxmlformats.org/officeDocument/2006/relationships/hyperlink" Target="https://www.sec.gov/Archives/edgar/data/1262104/000119312520242169/d58841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2021-09-02T15:05:35Z</dcterms:created>
  <dcterms:modified xsi:type="dcterms:W3CDTF">2021-09-02T15:05:35Z</dcterms:modified>
</cp:coreProperties>
</file>