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hyperlink w:anchor="toc_page">
        <w:bookmarkStart w:id="0" w:name="meip-20230331.htm"/>
        <w:bookmarkStart w:id="1" w:name="ksmeip20230331"/>
        <w:bookmarkEnd w:id="0"/>
        <w:bookmarkEnd w:id="1"/>
        <w:r>
          <w:rPr>
            <w:rStyle w:val="InternetLink"/>
            <w:rFonts w:ascii="Times New Roman;serif" w:hAnsi="Times New Roman;serif"/>
            <w:b w:val="false"/>
            <w:sz w:val="20"/>
            <w:u w:val="single"/>
          </w:rPr>
          <w:t>Table of Contents</w:t>
        </w:r>
      </w:hyperlink>
    </w:p>
    <w:p>
      <w:pPr>
        <w:pStyle w:val="TextBody"/>
        <w:spacing w:before="0" w:after="0"/>
        <w:jc w:val="left"/>
        <w:rPr>
          <w:rFonts w:ascii="Times New Roman;serif" w:hAnsi="Times New Roman;serif"/>
          <w:b w:val="false"/>
          <w:sz w:val="2"/>
        </w:rPr>
      </w:pPr>
      <w:r>
        <w:rPr>
          <w:rFonts w:ascii="Times New Roman;serif" w:hAnsi="Times New Roman;serif"/>
          <w:b w:val="false"/>
          <w:sz w:val="2"/>
        </w:rPr>
        <w:t>ROC</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40" w:after="10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40" w:after="100"/>
        <w:jc w:val="center"/>
        <w:rPr/>
      </w:pPr>
      <w:r>
        <w:rPr/>
        <w:t> </w:t>
      </w:r>
    </w:p>
    <w:p>
      <w:pPr>
        <w:pStyle w:val="TextBody"/>
        <w:spacing w:before="90" w:after="0"/>
        <w:jc w:val="left"/>
        <w:rPr>
          <w:rFonts w:ascii="Times New Roman;serif" w:hAnsi="Times New Roman;serif"/>
          <w:b/>
          <w:sz w:val="16"/>
        </w:rPr>
      </w:pPr>
      <w:r>
        <w:rPr>
          <w:rFonts w:ascii="Times New Roman;serif" w:hAnsi="Times New Roman;serif"/>
          <w:b/>
          <w:sz w:val="16"/>
        </w:rPr>
        <w:t>(Mark One)</w:t>
      </w:r>
    </w:p>
    <w:tbl>
      <w:tblPr>
        <w:tblW w:w="10337" w:type="dxa"/>
        <w:jc w:val="left"/>
        <w:tblInd w:w="0" w:type="dxa"/>
        <w:tblCellMar>
          <w:top w:w="28" w:type="dxa"/>
          <w:left w:w="28" w:type="dxa"/>
          <w:bottom w:w="28" w:type="dxa"/>
          <w:right w:w="28" w:type="dxa"/>
        </w:tblCellMar>
      </w:tblPr>
      <w:tblGrid>
        <w:gridCol w:w="331"/>
        <w:gridCol w:w="10006"/>
      </w:tblGrid>
      <w:tr>
        <w:trPr/>
        <w:tc>
          <w:tcPr>
            <w:tcW w:w="331" w:type="dxa"/>
            <w:tcBorders/>
            <w:shd w:fill="auto" w:val="clear"/>
            <w:vAlign w:val="center"/>
          </w:tcPr>
          <w:p>
            <w:pPr>
              <w:pStyle w:val="TableContents"/>
              <w:spacing w:before="0" w:after="283"/>
              <w:rPr>
                <w:sz w:val="4"/>
                <w:szCs w:val="4"/>
              </w:rPr>
            </w:pPr>
            <w:r>
              <w:rPr>
                <w:sz w:val="4"/>
                <w:szCs w:val="4"/>
              </w:rPr>
            </w:r>
          </w:p>
        </w:tc>
        <w:tc>
          <w:tcPr>
            <w:tcW w:w="1000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00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20" w:after="0"/>
        <w:jc w:val="center"/>
        <w:rPr>
          <w:rFonts w:ascii="Times New Roman;serif" w:hAnsi="Times New Roman;serif"/>
          <w:b/>
          <w:sz w:val="20"/>
        </w:rPr>
      </w:pPr>
      <w:r>
        <w:rPr>
          <w:rFonts w:ascii="Times New Roman;serif" w:hAnsi="Times New Roman;serif"/>
          <w:b/>
          <w:sz w:val="20"/>
        </w:rPr>
        <w:t>OR</w:t>
      </w:r>
    </w:p>
    <w:tbl>
      <w:tblPr>
        <w:tblW w:w="10322" w:type="dxa"/>
        <w:jc w:val="left"/>
        <w:tblInd w:w="0" w:type="dxa"/>
        <w:tblCellMar>
          <w:top w:w="28" w:type="dxa"/>
          <w:left w:w="28" w:type="dxa"/>
          <w:bottom w:w="28" w:type="dxa"/>
          <w:right w:w="28" w:type="dxa"/>
        </w:tblCellMar>
      </w:tblPr>
      <w:tblGrid>
        <w:gridCol w:w="331"/>
        <w:gridCol w:w="9991"/>
      </w:tblGrid>
      <w:tr>
        <w:trPr/>
        <w:tc>
          <w:tcPr>
            <w:tcW w:w="331" w:type="dxa"/>
            <w:tcBorders/>
            <w:shd w:fill="auto" w:val="clear"/>
            <w:vAlign w:val="center"/>
          </w:tcPr>
          <w:p>
            <w:pPr>
              <w:pStyle w:val="TableContents"/>
              <w:spacing w:before="0" w:after="283"/>
              <w:rPr>
                <w:sz w:val="4"/>
                <w:szCs w:val="4"/>
              </w:rPr>
            </w:pPr>
            <w:r>
              <w:rPr>
                <w:sz w:val="4"/>
                <w:szCs w:val="4"/>
              </w:rPr>
            </w:r>
          </w:p>
        </w:tc>
        <w:tc>
          <w:tcPr>
            <w:tcW w:w="9991"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991"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0" w:after="0"/>
        <w:jc w:val="center"/>
        <w:rPr/>
      </w:pPr>
      <w:r>
        <w:rPr/>
        <w:t> </w:t>
      </w:r>
    </w:p>
    <w:tbl>
      <w:tblPr>
        <w:tblW w:w="3571" w:type="dxa"/>
        <w:jc w:val="left"/>
        <w:tblInd w:w="0" w:type="dxa"/>
        <w:tblCellMar>
          <w:top w:w="28" w:type="dxa"/>
          <w:left w:w="28" w:type="dxa"/>
          <w:bottom w:w="28" w:type="dxa"/>
          <w:right w:w="28" w:type="dxa"/>
        </w:tblCellMar>
      </w:tblPr>
      <w:tblGrid>
        <w:gridCol w:w="161"/>
        <w:gridCol w:w="2656"/>
        <w:gridCol w:w="146"/>
        <w:gridCol w:w="271"/>
        <w:gridCol w:w="146"/>
        <w:gridCol w:w="191"/>
      </w:tblGrid>
      <w:tr>
        <w:trPr/>
        <w:tc>
          <w:tcPr>
            <w:tcW w:w="161" w:type="dxa"/>
            <w:tcBorders/>
            <w:shd w:fill="auto" w:val="clear"/>
            <w:vAlign w:val="center"/>
          </w:tcPr>
          <w:p>
            <w:pPr>
              <w:pStyle w:val="TableContents"/>
              <w:spacing w:before="0" w:after="283"/>
              <w:rPr>
                <w:sz w:val="4"/>
                <w:szCs w:val="4"/>
              </w:rPr>
            </w:pPr>
            <w:r>
              <w:rPr>
                <w:sz w:val="4"/>
                <w:szCs w:val="4"/>
              </w:rPr>
            </w:r>
          </w:p>
        </w:tc>
        <w:tc>
          <w:tcPr>
            <w:tcW w:w="26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6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For the transition period from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to</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Commission File Number: 000-50484</w:t>
      </w:r>
    </w:p>
    <w:p>
      <w:pPr>
        <w:pStyle w:val="TextBody"/>
        <w:pBdr>
          <w:bottom w:val="single" w:sz="4" w:space="1" w:color="000000"/>
        </w:pBdr>
        <w:spacing w:before="40" w:after="100"/>
        <w:jc w:val="center"/>
        <w:rPr/>
      </w:pPr>
      <w:r>
        <w:rPr/>
        <w:t> </w:t>
      </w:r>
    </w:p>
    <w:p>
      <w:pPr>
        <w:pStyle w:val="TextBody"/>
        <w:spacing w:before="216" w:after="0"/>
        <w:jc w:val="center"/>
        <w:rPr>
          <w:rFonts w:ascii="Times New Roman;serif" w:hAnsi="Times New Roman;serif"/>
          <w:b/>
          <w:sz w:val="44"/>
        </w:rPr>
      </w:pPr>
      <w:r>
        <w:rPr>
          <w:rFonts w:ascii="Times New Roman;serif" w:hAnsi="Times New Roman;serif"/>
          <w:b/>
          <w:sz w:val="44"/>
        </w:rPr>
        <w:t>MEI Pharma, Inc.</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40" w:after="0"/>
        <w:jc w:val="center"/>
        <w:rPr/>
      </w:pPr>
      <w:r>
        <w:rPr/>
        <w:t> </w:t>
      </w:r>
    </w:p>
    <w:p>
      <w:pPr>
        <w:pStyle w:val="TextBody"/>
        <w:spacing w:before="0" w:after="0"/>
        <w:jc w:val="left"/>
        <w:rPr/>
      </w:pPr>
      <w:r>
        <w:rPr/>
        <w:t> </w:t>
      </w:r>
    </w:p>
    <w:tbl>
      <w:tblPr>
        <w:tblW w:w="3405" w:type="dxa"/>
        <w:jc w:val="left"/>
        <w:tblInd w:w="0" w:type="dxa"/>
        <w:tblCellMar>
          <w:top w:w="28" w:type="dxa"/>
          <w:left w:w="28" w:type="dxa"/>
          <w:bottom w:w="28" w:type="dxa"/>
          <w:right w:w="28" w:type="dxa"/>
        </w:tblCellMar>
      </w:tblPr>
      <w:tblGrid>
        <w:gridCol w:w="1997"/>
        <w:gridCol w:w="146"/>
        <w:gridCol w:w="1262"/>
      </w:tblGrid>
      <w:tr>
        <w:trPr/>
        <w:tc>
          <w:tcPr>
            <w:tcW w:w="199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62" w:type="dxa"/>
            <w:tcBorders/>
            <w:shd w:fill="auto" w:val="clear"/>
            <w:vAlign w:val="center"/>
          </w:tcPr>
          <w:p>
            <w:pPr>
              <w:pStyle w:val="TableContents"/>
              <w:spacing w:before="0" w:after="283"/>
              <w:rPr>
                <w:sz w:val="4"/>
                <w:szCs w:val="4"/>
              </w:rPr>
            </w:pPr>
            <w:r>
              <w:rPr>
                <w:sz w:val="4"/>
                <w:szCs w:val="4"/>
              </w:rPr>
            </w:r>
          </w:p>
        </w:tc>
      </w:tr>
      <w:tr>
        <w:trPr/>
        <w:tc>
          <w:tcPr>
            <w:tcW w:w="199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2" w:type="dxa"/>
            <w:tcBorders/>
            <w:shd w:fill="auto" w:val="clear"/>
            <w:vAlign w:val="center"/>
          </w:tcPr>
          <w:p>
            <w:pPr>
              <w:pStyle w:val="TableContents"/>
              <w:spacing w:before="0" w:after="0"/>
              <w:ind w:left="0" w:right="0" w:hanging="0"/>
              <w:jc w:val="left"/>
              <w:rPr/>
            </w:pPr>
            <w:r>
              <w:rPr/>
              <w:t> </w:t>
            </w:r>
          </w:p>
        </w:tc>
      </w:tr>
      <w:tr>
        <w:trPr/>
        <w:tc>
          <w:tcPr>
            <w:tcW w:w="1997" w:type="dxa"/>
            <w:tcBorders/>
            <w:shd w:fill="auto" w:val="clear"/>
            <w:vAlign w:val="center"/>
          </w:tcPr>
          <w:p>
            <w:pPr>
              <w:pStyle w:val="TableContents"/>
              <w:spacing w:before="0" w:after="0"/>
              <w:ind w:left="0" w:right="16" w:hanging="0"/>
              <w:jc w:val="center"/>
              <w:rPr>
                <w:rFonts w:ascii="Times New Roman;serif" w:hAnsi="Times New Roman;serif"/>
                <w:b/>
                <w:sz w:val="18"/>
              </w:rPr>
            </w:pPr>
            <w:r>
              <w:rPr>
                <w:rFonts w:ascii="Times New Roman;serif" w:hAnsi="Times New Roman;serif"/>
                <w:b/>
                <w:sz w:val="18"/>
              </w:rPr>
              <w:t>DELAWARE</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1262" w:type="dxa"/>
            <w:tcBorders/>
            <w:shd w:fill="auto" w:val="clear"/>
            <w:vAlign w:val="center"/>
          </w:tcPr>
          <w:p>
            <w:pPr>
              <w:pStyle w:val="TableContents"/>
              <w:spacing w:before="0" w:after="0"/>
              <w:ind w:left="0" w:right="16" w:hanging="0"/>
              <w:jc w:val="center"/>
              <w:rPr>
                <w:rFonts w:ascii="Times New Roman;serif" w:hAnsi="Times New Roman;serif"/>
                <w:b/>
                <w:sz w:val="18"/>
              </w:rPr>
            </w:pPr>
            <w:r>
              <w:rPr>
                <w:rFonts w:ascii="Times New Roman;serif" w:hAnsi="Times New Roman;serif"/>
                <w:b/>
                <w:sz w:val="18"/>
              </w:rPr>
              <w:t>51-0407811</w:t>
            </w:r>
          </w:p>
        </w:tc>
      </w:tr>
      <w:tr>
        <w:trPr/>
        <w:tc>
          <w:tcPr>
            <w:tcW w:w="1997" w:type="dxa"/>
            <w:tcBorders/>
            <w:shd w:fill="auto" w:val="clear"/>
            <w:vAlign w:val="center"/>
          </w:tcPr>
          <w:p>
            <w:pPr>
              <w:pStyle w:val="TableContents"/>
              <w:spacing w:before="0" w:after="0"/>
              <w:ind w:left="0" w:right="16"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0"/>
              <w:ind w:left="0" w:right="16" w:hanging="0"/>
              <w:jc w:val="center"/>
              <w:rPr>
                <w:rFonts w:ascii="Times New Roman;serif" w:hAnsi="Times New Roman;serif"/>
                <w:b/>
                <w:sz w:val="14"/>
              </w:rPr>
            </w:pPr>
            <w:r>
              <w:rPr>
                <w:rFonts w:ascii="Times New Roman;serif" w:hAnsi="Times New Roman;serif"/>
                <w:b/>
                <w:sz w:val="14"/>
              </w:rPr>
              <w:t>incorporation or organization)</w:t>
            </w:r>
          </w:p>
        </w:tc>
        <w:tc>
          <w:tcPr>
            <w:tcW w:w="146" w:type="dxa"/>
            <w:tcBorders/>
            <w:shd w:fill="auto" w:val="clear"/>
            <w:vAlign w:val="center"/>
          </w:tcPr>
          <w:p>
            <w:pPr>
              <w:pStyle w:val="TableContents"/>
              <w:spacing w:before="0" w:after="283"/>
              <w:ind w:left="0" w:right="16" w:hanging="0"/>
              <w:rPr>
                <w:sz w:val="4"/>
                <w:szCs w:val="4"/>
              </w:rPr>
            </w:pPr>
            <w:r>
              <w:rPr>
                <w:sz w:val="4"/>
                <w:szCs w:val="4"/>
              </w:rPr>
            </w:r>
          </w:p>
        </w:tc>
        <w:tc>
          <w:tcPr>
            <w:tcW w:w="1262" w:type="dxa"/>
            <w:tcBorders/>
            <w:shd w:fill="auto" w:val="clear"/>
            <w:vAlign w:val="center"/>
          </w:tcPr>
          <w:p>
            <w:pPr>
              <w:pStyle w:val="TableContents"/>
              <w:spacing w:before="0" w:after="0"/>
              <w:ind w:left="0" w:right="16" w:hanging="0"/>
              <w:jc w:val="center"/>
              <w:rPr>
                <w:rFonts w:ascii="Times New Roman;serif" w:hAnsi="Times New Roman;serif"/>
                <w:b/>
                <w:sz w:val="14"/>
              </w:rPr>
            </w:pPr>
            <w:r>
              <w:rPr>
                <w:rFonts w:ascii="Times New Roman;serif" w:hAnsi="Times New Roman;serif"/>
                <w:b/>
                <w:sz w:val="14"/>
              </w:rPr>
              <w:t>(I.R.S. Employer</w:t>
            </w:r>
          </w:p>
          <w:p>
            <w:pPr>
              <w:pStyle w:val="TableContents"/>
              <w:spacing w:before="0" w:after="0"/>
              <w:ind w:left="0" w:right="16" w:hanging="0"/>
              <w:jc w:val="center"/>
              <w:rPr>
                <w:rFonts w:ascii="Times New Roman;serif" w:hAnsi="Times New Roman;serif"/>
                <w:b/>
                <w:sz w:val="14"/>
              </w:rPr>
            </w:pPr>
            <w:r>
              <w:rPr>
                <w:rFonts w:ascii="Times New Roman;serif" w:hAnsi="Times New Roman;serif"/>
                <w:b/>
                <w:sz w:val="14"/>
              </w:rPr>
              <w:t>Identification No.)</w:t>
            </w:r>
          </w:p>
        </w:tc>
      </w:tr>
    </w:tbl>
    <w:p>
      <w:pPr>
        <w:pStyle w:val="TextBody"/>
        <w:spacing w:before="216" w:after="0"/>
        <w:jc w:val="center"/>
        <w:rPr>
          <w:rFonts w:ascii="Times New Roman" w:hAnsi="Times New Roman"/>
          <w:sz w:val="20"/>
        </w:rPr>
      </w:pPr>
      <w:r>
        <w:rPr>
          <w:rFonts w:ascii="Times New Roman;serif" w:hAnsi="Times New Roman;serif"/>
          <w:b/>
          <w:sz w:val="18"/>
        </w:rPr>
        <w:t>11455 El Camino Real, San Diego, CA</w:t>
      </w:r>
      <w:r>
        <w:rPr>
          <w:rFonts w:ascii="Times New Roman" w:hAnsi="Times New Roman"/>
          <w:sz w:val="20"/>
        </w:rPr>
        <w:t xml:space="preserve"> </w:t>
      </w:r>
      <w:r>
        <w:rPr>
          <w:rFonts w:ascii="Times New Roman;serif" w:hAnsi="Times New Roman;serif"/>
          <w:b/>
          <w:sz w:val="18"/>
        </w:rPr>
        <w:t>92130</w:t>
      </w:r>
    </w:p>
    <w:p>
      <w:pPr>
        <w:pStyle w:val="TextBody"/>
        <w:spacing w:before="0" w:after="0"/>
        <w:jc w:val="center"/>
        <w:rPr>
          <w:rFonts w:ascii="Times New Roman;serif" w:hAnsi="Times New Roman;serif"/>
          <w:b/>
          <w:sz w:val="14"/>
        </w:rPr>
      </w:pPr>
      <w:r>
        <w:rPr>
          <w:rFonts w:ascii="Times New Roman;serif" w:hAnsi="Times New Roman;serif"/>
          <w:b/>
          <w:sz w:val="14"/>
        </w:rPr>
        <w:t>(Address of principal executive offices) (Zip Code)</w:t>
      </w:r>
    </w:p>
    <w:p>
      <w:pPr>
        <w:pStyle w:val="TextBody"/>
        <w:spacing w:before="120" w:after="0"/>
        <w:jc w:val="center"/>
        <w:rPr>
          <w:rFonts w:ascii="Times New Roman;serif" w:hAnsi="Times New Roman;serif"/>
          <w:b/>
          <w:sz w:val="18"/>
        </w:rPr>
      </w:pPr>
      <w:r>
        <w:rPr>
          <w:rFonts w:ascii="Times New Roman;serif" w:hAnsi="Times New Roman;serif"/>
          <w:b/>
          <w:sz w:val="18"/>
        </w:rPr>
        <w:t>(858) 369-7100</w:t>
      </w:r>
    </w:p>
    <w:p>
      <w:pPr>
        <w:pStyle w:val="TextBody"/>
        <w:spacing w:before="0" w:after="0"/>
        <w:jc w:val="center"/>
        <w:rPr>
          <w:rFonts w:ascii="Times New Roman;serif" w:hAnsi="Times New Roman;serif"/>
          <w:b/>
          <w:sz w:val="14"/>
        </w:rPr>
      </w:pPr>
      <w:r>
        <w:rPr>
          <w:rFonts w:ascii="Times New Roman;serif" w:hAnsi="Times New Roman;serif"/>
          <w:b/>
          <w:sz w:val="14"/>
        </w:rPr>
        <w:t>(Registrant’s telephone number, including area code)</w:t>
      </w:r>
    </w:p>
    <w:p>
      <w:pPr>
        <w:pStyle w:val="TextBody"/>
        <w:pBdr>
          <w:bottom w:val="single" w:sz="4" w:space="1" w:color="000000"/>
        </w:pBdr>
        <w:spacing w:before="40" w:after="0"/>
        <w:jc w:val="center"/>
        <w:rPr/>
      </w:pPr>
      <w:r>
        <w:rPr/>
        <w:t> </w:t>
      </w:r>
    </w:p>
    <w:p>
      <w:pPr>
        <w:pStyle w:val="TextBody"/>
        <w:spacing w:before="80" w:after="0"/>
        <w:jc w:val="center"/>
        <w:rPr>
          <w:rFonts w:ascii="Times New Roman;serif" w:hAnsi="Times New Roman;serif"/>
          <w:b/>
          <w:sz w:val="18"/>
        </w:rPr>
      </w:pPr>
      <w:r>
        <w:rPr>
          <w:rFonts w:ascii="Times New Roman;serif" w:hAnsi="Times New Roman;serif"/>
          <w:b/>
          <w:sz w:val="18"/>
        </w:rPr>
        <w:t>Securities registered pursuant to Section 12(b) of the Act:</w:t>
      </w:r>
    </w:p>
    <w:p>
      <w:pPr>
        <w:pStyle w:val="TextBody"/>
        <w:spacing w:before="0" w:after="0"/>
        <w:jc w:val="left"/>
        <w:rPr/>
      </w:pPr>
      <w:r>
        <w:rPr/>
        <w:t> </w:t>
      </w:r>
    </w:p>
    <w:tbl>
      <w:tblPr>
        <w:tblW w:w="7555" w:type="dxa"/>
        <w:jc w:val="left"/>
        <w:tblInd w:w="0" w:type="dxa"/>
        <w:tblCellMar>
          <w:top w:w="28" w:type="dxa"/>
          <w:left w:w="28" w:type="dxa"/>
          <w:bottom w:w="28" w:type="dxa"/>
          <w:right w:w="28" w:type="dxa"/>
        </w:tblCellMar>
      </w:tblPr>
      <w:tblGrid>
        <w:gridCol w:w="3121"/>
        <w:gridCol w:w="146"/>
        <w:gridCol w:w="826"/>
        <w:gridCol w:w="146"/>
        <w:gridCol w:w="3316"/>
      </w:tblGrid>
      <w:tr>
        <w:trPr/>
        <w:tc>
          <w:tcPr>
            <w:tcW w:w="31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1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12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Common Stock, $0.00000002 par value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MEIP</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18"/>
              </w:rPr>
              <w:t>The Nasdaq</w:t>
            </w:r>
            <w:r>
              <w:rPr>
                <w:rFonts w:ascii="Times New Roman" w:hAnsi="Times New Roman"/>
                <w:sz w:val="20"/>
              </w:rPr>
              <w:t> </w:t>
            </w:r>
            <w:r>
              <w:rPr>
                <w:rFonts w:ascii="Times New Roman;serif" w:hAnsi="Times New Roman;serif"/>
                <w:b/>
                <w:sz w:val="18"/>
              </w:rPr>
              <w:t>Stock Market LLC</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5197" w:type="dxa"/>
        <w:jc w:val="left"/>
        <w:tblInd w:w="0" w:type="dxa"/>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20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18"/>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w:t>
      </w:r>
      <w:r>
        <w:rPr>
          <w:rFonts w:ascii="Times New Roman" w:hAnsi="Times New Roman"/>
          <w:sz w:val="20"/>
        </w:rPr>
        <w:t xml:space="preserve">☐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sz w:val="20"/>
        </w:rPr>
        <w:t xml:space="preserve">☒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As of May 8, 2023, the number of shares outstanding of the issuer’s common stock, $0.00000002 par value, was 6,662,857.</w:t>
      </w:r>
    </w:p>
    <w:p>
      <w:pPr>
        <w:pStyle w:val="TextBody"/>
        <w:pBdr>
          <w:bottom w:val="double" w:sz="6" w:space="1" w:color="000000"/>
        </w:pBdr>
        <w:spacing w:before="0" w:after="0"/>
        <w:jc w:val="left"/>
        <w:rPr/>
      </w:pPr>
      <w:r>
        <w:rPr/>
        <w:t> </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10" w:after="0"/>
        <w:jc w:val="center"/>
        <w:rPr>
          <w:rFonts w:ascii="Times New Roman;serif" w:hAnsi="Times New Roman;serif"/>
          <w:b/>
          <w:sz w:val="20"/>
        </w:rPr>
      </w:pPr>
      <w:r>
        <w:rPr>
          <w:rFonts w:ascii="Times New Roman;serif" w:hAnsi="Times New Roman;serif"/>
          <w:b/>
          <w:sz w:val="20"/>
        </w:rPr>
        <w:t>MEI PHARMA, INC.</w:t>
      </w:r>
    </w:p>
    <w:p>
      <w:pPr>
        <w:pStyle w:val="TextBody"/>
        <w:spacing w:before="216" w:after="0"/>
        <w:jc w:val="center"/>
        <w:rPr>
          <w:rFonts w:ascii="Times New Roman" w:hAnsi="Times New Roman"/>
          <w:sz w:val="20"/>
        </w:rPr>
      </w:pPr>
      <w:bookmarkStart w:id="2" w:name="toc_page"/>
      <w:bookmarkEnd w:id="2"/>
      <w:r>
        <w:rPr>
          <w:rFonts w:ascii="Times New Roman;serif" w:hAnsi="Times New Roman;serif"/>
          <w:b/>
          <w:sz w:val="20"/>
        </w:rPr>
        <w:t>Table of</w:t>
      </w:r>
      <w:r>
        <w:rPr>
          <w:rFonts w:ascii="Times New Roman" w:hAnsi="Times New Roman"/>
          <w:sz w:val="20"/>
        </w:rPr>
        <w:t xml:space="preserve"> </w:t>
      </w:r>
      <w:r>
        <w:rPr>
          <w:rFonts w:ascii="Times New Roman;serif" w:hAnsi="Times New Roman;serif"/>
          <w:b/>
          <w:sz w:val="20"/>
        </w:rPr>
        <w:t>Contents</w:t>
      </w:r>
    </w:p>
    <w:tbl>
      <w:tblPr>
        <w:tblW w:w="10539" w:type="dxa"/>
        <w:jc w:val="left"/>
        <w:tblInd w:w="0" w:type="dxa"/>
        <w:tblCellMar>
          <w:top w:w="28" w:type="dxa"/>
          <w:left w:w="28" w:type="dxa"/>
          <w:bottom w:w="28" w:type="dxa"/>
          <w:right w:w="28" w:type="dxa"/>
        </w:tblCellMar>
      </w:tblPr>
      <w:tblGrid>
        <w:gridCol w:w="821"/>
        <w:gridCol w:w="162"/>
        <w:gridCol w:w="8624"/>
        <w:gridCol w:w="162"/>
        <w:gridCol w:w="184"/>
        <w:gridCol w:w="378"/>
        <w:gridCol w:w="208"/>
      </w:tblGrid>
      <w:tr>
        <w:trPr/>
        <w:tc>
          <w:tcPr>
            <w:tcW w:w="82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62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8624"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0" w:hanging="0"/>
              <w:jc w:val="left"/>
              <w:rPr/>
            </w:pPr>
            <w:r>
              <w:rPr/>
              <w:t> </w:t>
            </w:r>
          </w:p>
        </w:tc>
        <w:tc>
          <w:tcPr>
            <w:tcW w:w="184" w:type="dxa"/>
            <w:tcBorders/>
            <w:shd w:fill="auto" w:val="clear"/>
            <w:vAlign w:val="center"/>
          </w:tcPr>
          <w:p>
            <w:pPr>
              <w:pStyle w:val="TableContents"/>
              <w:spacing w:before="0" w:after="0"/>
              <w:ind w:left="0" w:right="0" w:hanging="0"/>
              <w:jc w:val="left"/>
              <w:rPr/>
            </w:pPr>
            <w:r>
              <w:rPr/>
              <w:t> </w:t>
            </w:r>
          </w:p>
        </w:tc>
        <w:tc>
          <w:tcPr>
            <w:tcW w:w="378" w:type="dxa"/>
            <w:tcBorders/>
            <w:shd w:fill="auto" w:val="clear"/>
            <w:vAlign w:val="center"/>
          </w:tcPr>
          <w:p>
            <w:pPr>
              <w:pStyle w:val="TableContents"/>
              <w:spacing w:before="0" w:after="0"/>
              <w:ind w:left="0" w:right="0" w:hanging="0"/>
              <w:jc w:val="left"/>
              <w:rPr/>
            </w:pPr>
            <w:r>
              <w:rPr/>
              <w:t> </w:t>
            </w:r>
          </w:p>
        </w:tc>
        <w:tc>
          <w:tcPr>
            <w:tcW w:w="208" w:type="dxa"/>
            <w:tcBorders/>
            <w:shd w:fill="auto" w:val="clear"/>
            <w:vAlign w:val="center"/>
          </w:tcPr>
          <w:p>
            <w:pPr>
              <w:pStyle w:val="TableContents"/>
              <w:spacing w:before="0" w:after="0"/>
              <w:ind w:left="0" w:right="0" w:hanging="0"/>
              <w:jc w:val="left"/>
              <w:rPr/>
            </w:pPr>
            <w:r>
              <w:rPr/>
              <w:t> </w:t>
            </w:r>
          </w:p>
        </w:tc>
      </w:tr>
      <w:tr>
        <w:trPr/>
        <w:tc>
          <w:tcPr>
            <w:tcW w:w="821" w:type="dxa"/>
            <w:tcBorders/>
            <w:shd w:fill="auto" w:val="clear"/>
            <w:vAlign w:val="center"/>
          </w:tcPr>
          <w:p>
            <w:pPr>
              <w:pStyle w:val="TableContents"/>
              <w:spacing w:before="0" w:after="283"/>
              <w:ind w:left="0" w:right="16" w:hanging="0"/>
              <w:rPr>
                <w:sz w:val="4"/>
                <w:szCs w:val="4"/>
              </w:rPr>
            </w:pPr>
            <w:r>
              <w:rPr>
                <w:sz w:val="4"/>
                <w:szCs w:val="4"/>
              </w:rPr>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283"/>
              <w:ind w:left="0" w:right="16" w:hanging="0"/>
              <w:rPr>
                <w:sz w:val="4"/>
                <w:szCs w:val="4"/>
              </w:rPr>
            </w:pPr>
            <w:r>
              <w:rPr>
                <w:sz w:val="4"/>
                <w:szCs w:val="4"/>
              </w:rPr>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562" w:type="dxa"/>
            <w:gridSpan w:val="2"/>
            <w:tcBorders/>
            <w:shd w:fill="auto" w:val="clear"/>
            <w:vAlign w:val="center"/>
          </w:tcPr>
          <w:p>
            <w:pPr>
              <w:pStyle w:val="TableContents"/>
              <w:spacing w:before="0" w:after="0"/>
              <w:ind w:left="0" w:right="36" w:hanging="0"/>
              <w:jc w:val="center"/>
              <w:rPr>
                <w:rFonts w:ascii="Times New Roman;serif" w:hAnsi="Times New Roman;serif"/>
                <w:b/>
                <w:sz w:val="20"/>
              </w:rPr>
            </w:pPr>
            <w:r>
              <w:rPr>
                <w:rFonts w:ascii="Times New Roman;serif" w:hAnsi="Times New Roman;serif"/>
                <w:b/>
                <w:sz w:val="20"/>
              </w:rPr>
              <w:t>Page</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8786" w:type="dxa"/>
            <w:gridSpan w:val="2"/>
            <w:tcBorders/>
            <w:shd w:fill="auto" w:val="clear"/>
            <w:vAlign w:val="center"/>
          </w:tcPr>
          <w:p>
            <w:pPr>
              <w:pStyle w:val="TableContents"/>
              <w:spacing w:before="0" w:after="0"/>
              <w:ind w:left="0" w:right="0" w:hanging="0"/>
              <w:jc w:val="left"/>
              <w:rPr/>
            </w:pPr>
            <w:r>
              <w:rPr/>
              <w:t> </w:t>
            </w:r>
          </w:p>
        </w:tc>
        <w:tc>
          <w:tcPr>
            <w:tcW w:w="932" w:type="dxa"/>
            <w:gridSpan w:val="4"/>
            <w:tcBorders/>
            <w:shd w:fill="auto" w:val="clear"/>
            <w:vAlign w:val="center"/>
          </w:tcPr>
          <w:p>
            <w:pPr>
              <w:pStyle w:val="TableContents"/>
              <w:spacing w:before="0" w:after="0"/>
              <w:ind w:left="0" w:right="0"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sz w:val="20"/>
              </w:rPr>
            </w:pPr>
            <w:r>
              <w:rPr>
                <w:rFonts w:ascii="Times New Roman;serif" w:hAnsi="Times New Roman;serif"/>
                <w:b/>
                <w:sz w:val="20"/>
              </w:rPr>
              <w:t>PART I</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part_i_financial_information">
              <w:r>
                <w:rPr>
                  <w:rStyle w:val="InternetLink"/>
                  <w:rFonts w:ascii="Times New Roman;serif" w:hAnsi="Times New Roman;serif"/>
                  <w:b/>
                  <w:sz w:val="20"/>
                  <w:u w:val="single"/>
                </w:rPr>
                <w:t>FINANCIAL INFORMATION</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8786" w:type="dxa"/>
            <w:gridSpan w:val="2"/>
            <w:tcBorders/>
            <w:shd w:fill="auto" w:val="clear"/>
            <w:vAlign w:val="center"/>
          </w:tcPr>
          <w:p>
            <w:pPr>
              <w:pStyle w:val="TableContents"/>
              <w:spacing w:before="0" w:after="0"/>
              <w:ind w:left="0" w:right="0" w:hanging="0"/>
              <w:jc w:val="left"/>
              <w:rPr/>
            </w:pPr>
            <w:r>
              <w:rPr/>
              <w:t> </w:t>
            </w:r>
          </w:p>
        </w:tc>
        <w:tc>
          <w:tcPr>
            <w:tcW w:w="932" w:type="dxa"/>
            <w:gridSpan w:val="4"/>
            <w:tcBorders/>
            <w:shd w:fill="auto" w:val="clear"/>
            <w:vAlign w:val="center"/>
          </w:tcPr>
          <w:p>
            <w:pPr>
              <w:pStyle w:val="TableContents"/>
              <w:spacing w:before="0" w:after="0"/>
              <w:ind w:left="0" w:right="0"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1.</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item_1_condensed_financial_statements_un">
              <w:r>
                <w:rPr>
                  <w:rStyle w:val="InternetLink"/>
                  <w:rFonts w:ascii="Times New Roman;serif" w:hAnsi="Times New Roman;serif"/>
                  <w:b w:val="false"/>
                  <w:sz w:val="20"/>
                  <w:u w:val="single"/>
                </w:rPr>
                <w:t>Condensed Consolidated Financial Statements (Unaudited)</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condensed_balance_sheets">
              <w:r>
                <w:rPr>
                  <w:rStyle w:val="InternetLink"/>
                  <w:rFonts w:ascii="Times New Roman;serif" w:hAnsi="Times New Roman;serif"/>
                  <w:b w:val="false"/>
                  <w:sz w:val="20"/>
                  <w:u w:val="single"/>
                </w:rPr>
                <w:t>Condensed Consolidated Balance Sheets as of March 31, 2023 and June 30, 2022</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condensed_statements_of_operations">
              <w:r>
                <w:rPr>
                  <w:rStyle w:val="InternetLink"/>
                  <w:rFonts w:ascii="Times New Roman;serif" w:hAnsi="Times New Roman;serif"/>
                  <w:b w:val="false"/>
                  <w:sz w:val="20"/>
                  <w:u w:val="single"/>
                </w:rPr>
                <w:t>Condensed Consolidated Statements of Operations for the three and nine months ended March 31, 2023 and 2022</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4</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condensed_statements_of_stockholders_eq">
              <w:r>
                <w:rPr>
                  <w:rStyle w:val="InternetLink"/>
                  <w:rFonts w:ascii="Times New Roman;serif" w:hAnsi="Times New Roman;serif"/>
                  <w:b w:val="false"/>
                  <w:sz w:val="20"/>
                  <w:u w:val="single"/>
                </w:rPr>
                <w:t>Condensed Consolidated Statements of Stockholders’ Equity for the three and nine months ended March 31, 2023 and 2022</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5</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condensed_statements_of_cash_flows">
              <w:r>
                <w:rPr>
                  <w:rStyle w:val="InternetLink"/>
                  <w:rFonts w:ascii="Times New Roman;serif" w:hAnsi="Times New Roman;serif"/>
                  <w:b w:val="false"/>
                  <w:sz w:val="20"/>
                  <w:u w:val="single"/>
                </w:rPr>
                <w:t>Condensed Consolidated Statements of Cash Flows for the nine months ended March 31, 2023 and 2022</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6</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0" w:hanging="0"/>
              <w:jc w:val="left"/>
              <w:rPr/>
            </w:pPr>
            <w:r>
              <w:rPr/>
              <w:t> </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notes_to_condensed_financial_statements">
              <w:r>
                <w:rPr>
                  <w:rStyle w:val="InternetLink"/>
                  <w:rFonts w:ascii="Times New Roman;serif" w:hAnsi="Times New Roman;serif"/>
                  <w:b w:val="false"/>
                  <w:sz w:val="20"/>
                  <w:u w:val="single"/>
                </w:rPr>
                <w:t>Notes to Condensed Consolidated Financial Statements</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7</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2.</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item_2_managements_discussion_and_analys">
              <w:r>
                <w:rPr>
                  <w:rStyle w:val="InternetLink"/>
                  <w:rFonts w:ascii="Times New Roman;serif" w:hAnsi="Times New Roman;serif"/>
                  <w:b w:val="false"/>
                  <w:sz w:val="20"/>
                  <w:u w:val="single"/>
                </w:rPr>
                <w:t>Management’s Discussion and Analysis of Financial Condition and Results of Operations</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20</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3.</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item_3_quantitative_and_qualitative_disc">
              <w:r>
                <w:rPr>
                  <w:rStyle w:val="InternetLink"/>
                  <w:rFonts w:ascii="Times New Roman;serif" w:hAnsi="Times New Roman;serif"/>
                  <w:b w:val="false"/>
                  <w:sz w:val="20"/>
                  <w:u w:val="single"/>
                </w:rPr>
                <w:t>Quantitative and Qualitative Disclosures about Market Risk</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29</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4.</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30</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0" w:hanging="0"/>
              <w:jc w:val="left"/>
              <w:rPr/>
            </w:pPr>
            <w:r>
              <w:rPr/>
              <w:t> </w:t>
            </w:r>
          </w:p>
        </w:tc>
        <w:tc>
          <w:tcPr>
            <w:tcW w:w="8786" w:type="dxa"/>
            <w:gridSpan w:val="2"/>
            <w:tcBorders/>
            <w:shd w:fill="auto" w:val="clear"/>
            <w:vAlign w:val="center"/>
          </w:tcPr>
          <w:p>
            <w:pPr>
              <w:pStyle w:val="TableContents"/>
              <w:spacing w:before="0" w:after="0"/>
              <w:ind w:left="0" w:right="0" w:hanging="0"/>
              <w:jc w:val="left"/>
              <w:rPr/>
            </w:pPr>
            <w:r>
              <w:rPr/>
              <w:t> </w:t>
            </w:r>
          </w:p>
        </w:tc>
        <w:tc>
          <w:tcPr>
            <w:tcW w:w="932" w:type="dxa"/>
            <w:gridSpan w:val="4"/>
            <w:tcBorders/>
            <w:shd w:fill="auto" w:val="clear"/>
            <w:vAlign w:val="center"/>
          </w:tcPr>
          <w:p>
            <w:pPr>
              <w:pStyle w:val="TableContents"/>
              <w:spacing w:before="0" w:after="0"/>
              <w:ind w:left="0" w:right="0"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sz w:val="20"/>
              </w:rPr>
            </w:pPr>
            <w:r>
              <w:rPr>
                <w:rFonts w:ascii="Times New Roman;serif" w:hAnsi="Times New Roman;serif"/>
                <w:b/>
                <w:sz w:val="20"/>
              </w:rPr>
              <w:t>PART II</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part_ii_other_information">
              <w:r>
                <w:rPr>
                  <w:rStyle w:val="InternetLink"/>
                  <w:rFonts w:ascii="Times New Roman;serif" w:hAnsi="Times New Roman;serif"/>
                  <w:b/>
                  <w:sz w:val="20"/>
                  <w:u w:val="single"/>
                </w:rPr>
                <w:t>OTHER INFORMATION</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31</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1.</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hyperlink w:anchor="item_1_legal_proceedings">
              <w:r>
                <w:rPr>
                  <w:rStyle w:val="InternetLink"/>
                  <w:rFonts w:ascii="Times New Roman;serif" w:hAnsi="Times New Roman;serif"/>
                  <w:b w:val="false"/>
                  <w:sz w:val="20"/>
                  <w:u w:val="single"/>
                </w:rPr>
                <w:t>Legal Proceedings</w:t>
              </w:r>
            </w:hyperlink>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31</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1A.</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item_1a_risk_factors">
              <w:r>
                <w:rPr>
                  <w:rStyle w:val="InternetLink"/>
                  <w:rFonts w:ascii="Times New Roman;serif" w:hAnsi="Times New Roman;serif"/>
                  <w:b w:val="false"/>
                  <w:sz w:val="20"/>
                  <w:u w:val="single"/>
                </w:rPr>
                <w:t>Risk Factors</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31</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2.</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hyperlink w:anchor="item_2_unregistered_sales">
              <w:r>
                <w:rPr>
                  <w:rStyle w:val="InternetLink"/>
                  <w:rFonts w:ascii="Times New Roman;serif" w:hAnsi="Times New Roman;serif"/>
                  <w:b w:val="false"/>
                  <w:sz w:val="20"/>
                  <w:u w:val="single"/>
                </w:rPr>
                <w:t>Unregistered Sales of Equity Securities and Use of Proceeds</w:t>
              </w:r>
            </w:hyperlink>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35</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3.</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hyperlink w:anchor="item_3_defaults">
              <w:r>
                <w:rPr>
                  <w:rStyle w:val="InternetLink"/>
                  <w:rFonts w:ascii="Times New Roman;serif" w:hAnsi="Times New Roman;serif"/>
                  <w:b w:val="false"/>
                  <w:sz w:val="20"/>
                  <w:u w:val="single"/>
                </w:rPr>
                <w:t>Defaults upon Senior Securities</w:t>
              </w:r>
            </w:hyperlink>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36</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4.</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hyperlink w:anchor="item_4_mine_safety">
              <w:r>
                <w:rPr>
                  <w:rStyle w:val="InternetLink"/>
                  <w:rFonts w:ascii="Times New Roman;serif" w:hAnsi="Times New Roman;serif"/>
                  <w:b w:val="false"/>
                  <w:sz w:val="20"/>
                  <w:u w:val="single"/>
                </w:rPr>
                <w:t>Mine Safety Disclosures</w:t>
              </w:r>
            </w:hyperlink>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36</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5.</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hyperlink w:anchor="item_5_other_info">
              <w:r>
                <w:rPr>
                  <w:rStyle w:val="InternetLink"/>
                  <w:rFonts w:ascii="Times New Roman;serif" w:hAnsi="Times New Roman;serif"/>
                  <w:b w:val="false"/>
                  <w:sz w:val="20"/>
                  <w:u w:val="single"/>
                </w:rPr>
                <w:t>Other Information</w:t>
              </w:r>
            </w:hyperlink>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36</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8624" w:type="dxa"/>
            <w:tcBorders/>
            <w:shd w:fill="auto" w:val="clear"/>
            <w:vAlign w:val="center"/>
          </w:tcPr>
          <w:p>
            <w:pPr>
              <w:pStyle w:val="TableContents"/>
              <w:spacing w:before="0" w:after="0"/>
              <w:ind w:left="0" w:right="16" w:hanging="0"/>
              <w:jc w:val="left"/>
              <w:rPr/>
            </w:pPr>
            <w:r>
              <w:rPr/>
              <w:t> </w:t>
            </w:r>
          </w:p>
        </w:tc>
        <w:tc>
          <w:tcPr>
            <w:tcW w:w="162" w:type="dxa"/>
            <w:tcBorders/>
            <w:shd w:fill="auto" w:val="clear"/>
            <w:vAlign w:val="center"/>
          </w:tcPr>
          <w:p>
            <w:pPr>
              <w:pStyle w:val="TableContents"/>
              <w:spacing w:before="0" w:after="0"/>
              <w:ind w:left="0" w:right="16" w:hanging="0"/>
              <w:jc w:val="left"/>
              <w:rPr/>
            </w:pPr>
            <w:r>
              <w:rPr/>
              <w:t> </w:t>
            </w:r>
          </w:p>
        </w:tc>
        <w:tc>
          <w:tcPr>
            <w:tcW w:w="184" w:type="dxa"/>
            <w:tcBorders/>
            <w:shd w:fill="auto" w:val="clear"/>
            <w:vAlign w:val="center"/>
          </w:tcPr>
          <w:p>
            <w:pPr>
              <w:pStyle w:val="TableContents"/>
              <w:spacing w:before="0" w:after="0"/>
              <w:ind w:left="0" w:right="16" w:hanging="0"/>
              <w:jc w:val="left"/>
              <w:rPr/>
            </w:pPr>
            <w:r>
              <w:rPr/>
              <w:t> </w:t>
            </w:r>
          </w:p>
        </w:tc>
        <w:tc>
          <w:tcPr>
            <w:tcW w:w="378" w:type="dxa"/>
            <w:tcBorders/>
            <w:shd w:fill="auto" w:val="clear"/>
            <w:vAlign w:val="center"/>
          </w:tcPr>
          <w:p>
            <w:pPr>
              <w:pStyle w:val="TableContents"/>
              <w:spacing w:before="0" w:after="0"/>
              <w:ind w:left="0" w:right="16" w:hanging="0"/>
              <w:jc w:val="right"/>
              <w:rPr/>
            </w:pPr>
            <w:r>
              <w:rPr/>
              <w:t> </w:t>
            </w:r>
          </w:p>
        </w:tc>
        <w:tc>
          <w:tcPr>
            <w:tcW w:w="208" w:type="dxa"/>
            <w:tcBorders/>
            <w:shd w:fill="auto" w:val="clear"/>
            <w:vAlign w:val="center"/>
          </w:tcPr>
          <w:p>
            <w:pPr>
              <w:pStyle w:val="TableContents"/>
              <w:spacing w:before="0" w:after="0"/>
              <w:ind w:left="0" w:right="16" w:hanging="0"/>
              <w:jc w:val="left"/>
              <w:rPr/>
            </w:pPr>
            <w:r>
              <w:rPr/>
              <w:t> </w:t>
            </w:r>
          </w:p>
        </w:tc>
      </w:tr>
      <w:tr>
        <w:trPr/>
        <w:tc>
          <w:tcPr>
            <w:tcW w:w="821" w:type="dxa"/>
            <w:tcBorders/>
            <w:shd w:fill="auto" w:val="clear"/>
            <w:vAlign w:val="center"/>
          </w:tcPr>
          <w:p>
            <w:pPr>
              <w:pStyle w:val="TableContents"/>
              <w:spacing w:before="0" w:after="0"/>
              <w:ind w:left="0" w:right="16" w:hanging="0"/>
              <w:jc w:val="left"/>
              <w:rPr>
                <w:rFonts w:ascii="Times New Roman;serif" w:hAnsi="Times New Roman;serif"/>
                <w:b w:val="false"/>
                <w:sz w:val="20"/>
              </w:rPr>
            </w:pPr>
            <w:r>
              <w:rPr>
                <w:rFonts w:ascii="Times New Roman;serif" w:hAnsi="Times New Roman;serif"/>
                <w:b w:val="false"/>
                <w:sz w:val="20"/>
              </w:rPr>
              <w:t>Item 6.</w:t>
            </w:r>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8624" w:type="dxa"/>
            <w:tcBorders/>
            <w:shd w:fill="auto" w:val="clear"/>
            <w:vAlign w:val="center"/>
          </w:tcPr>
          <w:p>
            <w:pPr>
              <w:pStyle w:val="TableContents"/>
              <w:spacing w:before="0" w:after="0"/>
              <w:ind w:left="0" w:right="16" w:hanging="0"/>
              <w:jc w:val="left"/>
              <w:rPr/>
            </w:pPr>
            <w:hyperlink w:anchor="item_6_exhibits">
              <w:r>
                <w:rPr>
                  <w:rStyle w:val="InternetLink"/>
                  <w:rFonts w:ascii="Times New Roman;serif" w:hAnsi="Times New Roman;serif"/>
                  <w:b w:val="false"/>
                  <w:sz w:val="20"/>
                  <w:u w:val="single"/>
                </w:rPr>
                <w:t>Exhibits</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37</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r>
        <w:trPr/>
        <w:tc>
          <w:tcPr>
            <w:tcW w:w="9607" w:type="dxa"/>
            <w:gridSpan w:val="3"/>
            <w:tcBorders/>
            <w:shd w:fill="auto" w:val="clear"/>
            <w:vAlign w:val="center"/>
          </w:tcPr>
          <w:p>
            <w:pPr>
              <w:pStyle w:val="TableContents"/>
              <w:spacing w:before="0" w:after="0"/>
              <w:ind w:left="0" w:right="0" w:hanging="0"/>
              <w:jc w:val="left"/>
              <w:rPr/>
            </w:pPr>
            <w:r>
              <w:rPr/>
              <w:t> </w:t>
            </w:r>
          </w:p>
        </w:tc>
        <w:tc>
          <w:tcPr>
            <w:tcW w:w="932" w:type="dxa"/>
            <w:gridSpan w:val="4"/>
            <w:tcBorders/>
            <w:shd w:fill="auto" w:val="clear"/>
            <w:vAlign w:val="center"/>
          </w:tcPr>
          <w:p>
            <w:pPr>
              <w:pStyle w:val="TableContents"/>
              <w:spacing w:before="0" w:after="0"/>
              <w:ind w:left="0" w:right="0" w:hanging="0"/>
              <w:jc w:val="left"/>
              <w:rPr/>
            </w:pPr>
            <w:r>
              <w:rPr/>
              <w:t> </w:t>
            </w:r>
          </w:p>
        </w:tc>
      </w:tr>
      <w:tr>
        <w:trPr/>
        <w:tc>
          <w:tcPr>
            <w:tcW w:w="9607" w:type="dxa"/>
            <w:gridSpan w:val="3"/>
            <w:tcBorders/>
            <w:shd w:fill="auto" w:val="clear"/>
            <w:vAlign w:val="center"/>
          </w:tcPr>
          <w:p>
            <w:pPr>
              <w:pStyle w:val="TableContents"/>
              <w:spacing w:before="0" w:after="0"/>
              <w:ind w:left="0" w:right="56" w:hanging="0"/>
              <w:jc w:val="left"/>
              <w:rPr/>
            </w:pPr>
            <w:hyperlink w:anchor="signatures">
              <w:r>
                <w:rPr>
                  <w:rStyle w:val="InternetLink"/>
                  <w:rFonts w:ascii="Times New Roman;serif" w:hAnsi="Times New Roman;serif"/>
                  <w:b/>
                  <w:sz w:val="20"/>
                  <w:u w:val="single"/>
                </w:rPr>
                <w:t>SIGNATURES</w:t>
              </w:r>
            </w:hyperlink>
          </w:p>
        </w:tc>
        <w:tc>
          <w:tcPr>
            <w:tcW w:w="162" w:type="dxa"/>
            <w:tcBorders/>
            <w:shd w:fill="auto" w:val="clear"/>
            <w:vAlign w:val="center"/>
          </w:tcPr>
          <w:p>
            <w:pPr>
              <w:pStyle w:val="TableContents"/>
              <w:spacing w:before="0" w:after="283"/>
              <w:ind w:left="0" w:right="16" w:hanging="0"/>
              <w:rPr>
                <w:sz w:val="4"/>
                <w:szCs w:val="4"/>
              </w:rPr>
            </w:pPr>
            <w:r>
              <w:rPr>
                <w:sz w:val="4"/>
                <w:szCs w:val="4"/>
              </w:rPr>
            </w:r>
          </w:p>
        </w:tc>
        <w:tc>
          <w:tcPr>
            <w:tcW w:w="184" w:type="dxa"/>
            <w:tcBorders/>
            <w:shd w:fill="auto" w:val="clear"/>
            <w:vAlign w:val="center"/>
          </w:tcPr>
          <w:p>
            <w:pPr>
              <w:pStyle w:val="TableContents"/>
              <w:spacing w:before="0" w:after="283"/>
              <w:ind w:left="0" w:right="16" w:hanging="0"/>
              <w:rPr>
                <w:sz w:val="4"/>
                <w:szCs w:val="4"/>
              </w:rPr>
            </w:pPr>
            <w:r>
              <w:rPr>
                <w:sz w:val="4"/>
                <w:szCs w:val="4"/>
              </w:rPr>
            </w:r>
          </w:p>
        </w:tc>
        <w:tc>
          <w:tcPr>
            <w:tcW w:w="378" w:type="dxa"/>
            <w:tcBorders/>
            <w:shd w:fill="auto" w:val="clear"/>
            <w:vAlign w:val="center"/>
          </w:tcPr>
          <w:p>
            <w:pPr>
              <w:pStyle w:val="TableContents"/>
              <w:spacing w:before="0" w:after="0"/>
              <w:ind w:left="0" w:right="16" w:hanging="0"/>
              <w:jc w:val="right"/>
              <w:rPr>
                <w:rFonts w:ascii="Times New Roman;serif" w:hAnsi="Times New Roman;serif"/>
                <w:b w:val="false"/>
                <w:sz w:val="20"/>
              </w:rPr>
            </w:pPr>
            <w:r>
              <w:rPr>
                <w:rFonts w:ascii="Times New Roman;serif" w:hAnsi="Times New Roman;serif"/>
                <w:b w:val="false"/>
                <w:sz w:val="20"/>
              </w:rPr>
              <w:t>38</w:t>
            </w:r>
          </w:p>
        </w:tc>
        <w:tc>
          <w:tcPr>
            <w:tcW w:w="208" w:type="dxa"/>
            <w:tcBorders/>
            <w:shd w:fill="auto" w:val="clear"/>
            <w:vAlign w:val="center"/>
          </w:tcPr>
          <w:p>
            <w:pPr>
              <w:pStyle w:val="TableContents"/>
              <w:spacing w:before="0" w:after="283"/>
              <w:ind w:left="0" w:right="16" w:hanging="0"/>
              <w:rPr>
                <w:sz w:val="4"/>
                <w:szCs w:val="4"/>
              </w:rPr>
            </w:pPr>
            <w:r>
              <w:rPr>
                <w:sz w:val="4"/>
                <w:szCs w:val="4"/>
              </w:rPr>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0" w:after="0"/>
        <w:jc w:val="left"/>
        <w:rPr>
          <w:rFonts w:ascii="Times New Roman;serif" w:hAnsi="Times New Roman;serif"/>
          <w:b/>
          <w:sz w:val="20"/>
        </w:rPr>
      </w:pPr>
      <w:bookmarkStart w:id="3" w:name="part_i_financial_information"/>
      <w:bookmarkEnd w:id="3"/>
      <w:r>
        <w:rPr>
          <w:rFonts w:ascii="Times New Roman;serif" w:hAnsi="Times New Roman;serif"/>
          <w:b/>
          <w:sz w:val="20"/>
        </w:rPr>
        <w:t>PART I FINANCIAL INFORMATION</w:t>
      </w:r>
    </w:p>
    <w:p>
      <w:pPr>
        <w:pStyle w:val="TextBody"/>
        <w:spacing w:before="120" w:after="0"/>
        <w:jc w:val="left"/>
        <w:rPr>
          <w:rFonts w:ascii="Times New Roman;serif" w:hAnsi="Times New Roman;serif"/>
          <w:b/>
          <w:sz w:val="20"/>
        </w:rPr>
      </w:pPr>
      <w:bookmarkStart w:id="4" w:name="item_1_condensed_financial_statements_un"/>
      <w:bookmarkEnd w:id="4"/>
      <w:r>
        <w:rPr>
          <w:rFonts w:ascii="Times New Roman;serif" w:hAnsi="Times New Roman;serif"/>
          <w:b/>
          <w:sz w:val="20"/>
        </w:rPr>
        <w:t>Item 1. Condensed Consolidated Financial Statements</w:t>
      </w:r>
    </w:p>
    <w:p>
      <w:pPr>
        <w:pStyle w:val="TextBody"/>
        <w:spacing w:before="240" w:after="0"/>
        <w:jc w:val="center"/>
        <w:rPr>
          <w:rFonts w:ascii="Times New Roman;serif" w:hAnsi="Times New Roman;serif"/>
          <w:b/>
          <w:sz w:val="20"/>
        </w:rPr>
      </w:pPr>
      <w:r>
        <w:rPr>
          <w:rFonts w:ascii="Times New Roman;serif" w:hAnsi="Times New Roman;serif"/>
          <w:b/>
          <w:sz w:val="20"/>
        </w:rPr>
        <w:t>MEI PHARMA, INC.</w:t>
      </w:r>
    </w:p>
    <w:p>
      <w:pPr>
        <w:pStyle w:val="TextBody"/>
        <w:spacing w:before="0" w:after="0"/>
        <w:jc w:val="center"/>
        <w:rPr>
          <w:rFonts w:ascii="Times New Roman;serif" w:hAnsi="Times New Roman;serif"/>
          <w:b/>
          <w:sz w:val="20"/>
        </w:rPr>
      </w:pPr>
      <w:bookmarkStart w:id="5" w:name="condensed_balance_sheets"/>
      <w:bookmarkEnd w:id="5"/>
      <w:r>
        <w:rPr>
          <w:rFonts w:ascii="Times New Roman;serif" w:hAnsi="Times New Roman;serif"/>
          <w:b/>
          <w:sz w:val="20"/>
        </w:rPr>
        <w:t>CONDENSED CONSOLIDATED BALANCE SHEETS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par value data)</w:t>
      </w:r>
    </w:p>
    <w:p>
      <w:pPr>
        <w:pStyle w:val="TextBody"/>
        <w:spacing w:before="0" w:after="0"/>
        <w:jc w:val="left"/>
        <w:rPr/>
      </w:pPr>
      <w:r>
        <w:rPr/>
        <w:t> </w:t>
      </w:r>
    </w:p>
    <w:tbl>
      <w:tblPr>
        <w:tblW w:w="9654" w:type="dxa"/>
        <w:jc w:val="left"/>
        <w:tblInd w:w="0" w:type="dxa"/>
        <w:tblCellMar>
          <w:top w:w="28" w:type="dxa"/>
          <w:left w:w="28" w:type="dxa"/>
          <w:bottom w:w="28" w:type="dxa"/>
          <w:right w:w="28" w:type="dxa"/>
        </w:tblCellMar>
      </w:tblPr>
      <w:tblGrid>
        <w:gridCol w:w="6481"/>
        <w:gridCol w:w="146"/>
        <w:gridCol w:w="211"/>
        <w:gridCol w:w="841"/>
        <w:gridCol w:w="166"/>
        <w:gridCol w:w="146"/>
        <w:gridCol w:w="211"/>
        <w:gridCol w:w="841"/>
        <w:gridCol w:w="611"/>
      </w:tblGrid>
      <w:tr>
        <w:trPr/>
        <w:tc>
          <w:tcPr>
            <w:tcW w:w="6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June 30,</w:t>
              <w:b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5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center"/>
              <w:rPr/>
            </w:pPr>
            <w:r>
              <w:rPr/>
              <w:t> </w:t>
            </w:r>
          </w:p>
        </w:tc>
        <w:tc>
          <w:tcPr>
            <w:tcW w:w="611" w:type="dxa"/>
            <w:tcBorders/>
            <w:shd w:fill="auto" w:val="clear"/>
            <w:vAlign w:val="center"/>
          </w:tcPr>
          <w:p>
            <w:pPr>
              <w:pStyle w:val="TableContents"/>
              <w:spacing w:before="0" w:after="0"/>
              <w:ind w:left="0" w:right="0" w:hanging="0"/>
              <w:jc w:val="center"/>
              <w:rPr/>
            </w:pPr>
            <w:r>
              <w:rPr/>
              <w:t> </w:t>
            </w:r>
          </w:p>
        </w:tc>
      </w:tr>
      <w:tr>
        <w:trPr/>
        <w:tc>
          <w:tcPr>
            <w:tcW w:w="648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ASSETS</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15,740</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Short-term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103,224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137,512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cash, cash equivalents and short-term investments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112,036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153,252</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Unbilled receivables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10,044</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3,867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120,483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167,126</w:t>
            </w:r>
          </w:p>
        </w:tc>
        <w:tc>
          <w:tcPr>
            <w:tcW w:w="611" w:type="dxa"/>
            <w:tcBorders/>
            <w:shd w:fill="auto" w:val="cle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9,054</w:t>
            </w:r>
          </w:p>
        </w:tc>
        <w:tc>
          <w:tcPr>
            <w:tcW w:w="611" w:type="dxa"/>
            <w:tcBorders/>
            <w:shd w:fill="auto" w:val="cle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134,187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177,840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left"/>
              <w:rPr/>
            </w:pPr>
            <w:r>
              <w:rPr/>
              <w:t> </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7,918</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16,264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10,820</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4,834</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23,621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24,443</w:t>
            </w:r>
          </w:p>
        </w:tc>
        <w:tc>
          <w:tcPr>
            <w:tcW w:w="611" w:type="dxa"/>
            <w:tcBorders/>
            <w:shd w:fill="auto" w:val="cle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 long-term</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64,545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90,610</w:t>
            </w:r>
          </w:p>
        </w:tc>
        <w:tc>
          <w:tcPr>
            <w:tcW w:w="611" w:type="dxa"/>
            <w:tcBorders/>
            <w:shd w:fill="auto" w:val="cle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liability, long-term</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11,667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8,771</w:t>
            </w:r>
          </w:p>
        </w:tc>
        <w:tc>
          <w:tcPr>
            <w:tcW w:w="611" w:type="dxa"/>
            <w:tcBorders/>
            <w:shd w:fill="auto" w:val="cle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 liability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99,833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125,427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(Note 7)</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4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shd w:fill="auto" w:val="clear"/>
            <w:vAlign w:val="center"/>
          </w:tcPr>
          <w:p>
            <w:pPr>
              <w:pStyle w:val="TableContents"/>
              <w:spacing w:before="0" w:after="0"/>
              <w:ind w:left="0" w:right="0" w:hanging="0"/>
              <w:jc w:val="righ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Preferred stock, $0.01</w:t>
            </w:r>
            <w:r>
              <w:rPr>
                <w:rFonts w:ascii="Times New Roman" w:hAnsi="Times New Roman"/>
                <w:sz w:val="20"/>
              </w:rPr>
              <w:t> </w:t>
            </w:r>
            <w:r>
              <w:rPr>
                <w:rFonts w:ascii="Times New Roman;serif" w:hAnsi="Times New Roman;serif"/>
                <w:b w:val="false"/>
                <w:sz w:val="20"/>
              </w:rPr>
              <w:t>par value; 100</w:t>
            </w:r>
            <w:r>
              <w:rPr>
                <w:rFonts w:ascii="Times New Roman" w:hAnsi="Times New Roman"/>
                <w:sz w:val="20"/>
              </w:rPr>
              <w:t> </w:t>
            </w:r>
            <w:r>
              <w:rPr>
                <w:rFonts w:ascii="Times New Roman;serif" w:hAnsi="Times New Roman;serif"/>
                <w:b w:val="false"/>
                <w:sz w:val="20"/>
              </w:rPr>
              <w:t>shares authorized; none</w:t>
            </w:r>
            <w:r>
              <w:rPr>
                <w:rFonts w:ascii="Times New Roman" w:hAnsi="Times New Roman"/>
                <w:sz w:val="20"/>
              </w:rPr>
              <w:t> </w:t>
            </w:r>
            <w:r>
              <w:rPr>
                <w:rFonts w:ascii="Times New Roman;serif" w:hAnsi="Times New Roman;serif"/>
                <w:b w:val="false"/>
                <w:sz w:val="20"/>
              </w:rPr>
              <w:t>outstanding</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 w:hAnsi="Times New Roman"/>
                <w:sz w:val="20"/>
              </w:rPr>
            </w:pPr>
            <w:r>
              <w:rPr>
                <w:rFonts w:ascii="Times New Roman;serif" w:hAnsi="Times New Roman;serif"/>
                <w:b w:val="false"/>
                <w:sz w:val="20"/>
              </w:rPr>
              <w:t>Common stock, $0.00000002</w:t>
            </w:r>
            <w:r>
              <w:rPr>
                <w:rFonts w:ascii="Times New Roman" w:hAnsi="Times New Roman"/>
                <w:sz w:val="20"/>
              </w:rPr>
              <w:t> </w:t>
            </w:r>
            <w:r>
              <w:rPr>
                <w:rFonts w:ascii="Times New Roman;serif" w:hAnsi="Times New Roman;serif"/>
                <w:b w:val="false"/>
                <w:sz w:val="20"/>
              </w:rPr>
              <w:t>par value; 226,000</w:t>
            </w:r>
            <w:r>
              <w:rPr>
                <w:rFonts w:ascii="Times New Roman" w:hAnsi="Times New Roman"/>
                <w:sz w:val="20"/>
              </w:rPr>
              <w:t> </w:t>
            </w:r>
            <w:r>
              <w:rPr>
                <w:rFonts w:ascii="Times New Roman;serif" w:hAnsi="Times New Roman;serif"/>
                <w:b w:val="false"/>
                <w:sz w:val="20"/>
              </w:rPr>
              <w:t>shares authorized; 6,663</w:t>
            </w:r>
            <w:r>
              <w:rPr>
                <w:rFonts w:ascii="Times New Roman" w:hAnsi="Times New Roman"/>
                <w:sz w:val="20"/>
              </w:rPr>
              <w:t> </w:t>
            </w:r>
            <w:r>
              <w:rPr>
                <w:rFonts w:ascii="Times New Roman;serif" w:hAnsi="Times New Roman;serif"/>
                <w:b w:val="false"/>
                <w:sz w:val="20"/>
              </w:rPr>
              <w:t>and</w:t>
              <w:br/>
              <w:t>   6,658</w:t>
            </w:r>
            <w:r>
              <w:rPr>
                <w:rFonts w:ascii="Times New Roman" w:hAnsi="Times New Roman"/>
                <w:sz w:val="20"/>
              </w:rPr>
              <w:t> </w:t>
            </w:r>
            <w:r>
              <w:rPr>
                <w:rFonts w:ascii="Times New Roman;serif" w:hAnsi="Times New Roman;serif"/>
                <w:b w:val="false"/>
                <w:sz w:val="20"/>
              </w:rPr>
              <w:t>shares issued and outstanding at March 31, 2023 and June 30, 2022,</w:t>
              <w:br/>
              <w:t>   respectively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430,322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426,572</w:t>
            </w:r>
          </w:p>
        </w:tc>
        <w:tc>
          <w:tcPr>
            <w:tcW w:w="611" w:type="dxa"/>
            <w:tcBorders/>
            <w:shd w:fill="auto" w:val="clear"/>
            <w:vAlign w:val="center"/>
          </w:tcPr>
          <w:p>
            <w:pPr>
              <w:pStyle w:val="TableContents"/>
              <w:spacing w:before="0" w:after="0"/>
              <w:ind w:left="0" w:right="0" w:firstLine="200"/>
              <w:jc w:val="left"/>
              <w:rPr/>
            </w:pPr>
            <w:r>
              <w:rPr/>
              <w:t> </w:t>
            </w:r>
          </w:p>
        </w:tc>
      </w:tr>
      <w:tr>
        <w:trPr/>
        <w:tc>
          <w:tcPr>
            <w:tcW w:w="64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(395,968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(374,159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34,354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52,413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48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134,187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177,840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10" w:after="0"/>
        <w:jc w:val="center"/>
        <w:rPr>
          <w:rFonts w:ascii="Times New Roman;serif" w:hAnsi="Times New Roman;serif"/>
          <w:b/>
          <w:sz w:val="20"/>
        </w:rPr>
      </w:pPr>
      <w:r>
        <w:rPr>
          <w:rFonts w:ascii="Times New Roman;serif" w:hAnsi="Times New Roman;serif"/>
          <w:b/>
          <w:sz w:val="20"/>
        </w:rPr>
        <w:t>MEI PHARMA, INC.</w:t>
      </w:r>
    </w:p>
    <w:p>
      <w:pPr>
        <w:pStyle w:val="TextBody"/>
        <w:spacing w:before="0" w:after="0"/>
        <w:jc w:val="center"/>
        <w:rPr>
          <w:rFonts w:ascii="Times New Roman;serif" w:hAnsi="Times New Roman;serif"/>
          <w:b/>
          <w:sz w:val="20"/>
        </w:rPr>
      </w:pPr>
      <w:bookmarkStart w:id="6" w:name="condensed_statements_of_operations"/>
      <w:bookmarkEnd w:id="6"/>
      <w:r>
        <w:rPr>
          <w:rFonts w:ascii="Times New Roman;serif" w:hAnsi="Times New Roman;serif"/>
          <w:b/>
          <w:sz w:val="20"/>
        </w:rPr>
        <w:t>CONDENSED CONSOLIDATED STATEMENTS OF OPERATIONS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 except per share amounts)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tbl>
      <w:tblPr>
        <w:tblW w:w="9172" w:type="dxa"/>
        <w:jc w:val="left"/>
        <w:tblInd w:w="0" w:type="dxa"/>
        <w:tblCellMar>
          <w:top w:w="28" w:type="dxa"/>
          <w:left w:w="28" w:type="dxa"/>
          <w:bottom w:w="28" w:type="dxa"/>
          <w:right w:w="28" w:type="dxa"/>
        </w:tblCellMar>
      </w:tblPr>
      <w:tblGrid>
        <w:gridCol w:w="3691"/>
        <w:gridCol w:w="146"/>
        <w:gridCol w:w="211"/>
        <w:gridCol w:w="736"/>
        <w:gridCol w:w="166"/>
        <w:gridCol w:w="146"/>
        <w:gridCol w:w="211"/>
        <w:gridCol w:w="736"/>
        <w:gridCol w:w="166"/>
        <w:gridCol w:w="146"/>
        <w:gridCol w:w="211"/>
        <w:gridCol w:w="736"/>
        <w:gridCol w:w="166"/>
        <w:gridCol w:w="146"/>
        <w:gridCol w:w="211"/>
        <w:gridCol w:w="736"/>
        <w:gridCol w:w="611"/>
      </w:tblGrid>
      <w:tr>
        <w:trPr/>
        <w:tc>
          <w:tcPr>
            <w:tcW w:w="3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xml:space="preserve">Three Months Ended </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29,283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49,880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63,802</w:t>
            </w:r>
          </w:p>
        </w:tc>
        <w:tc>
          <w:tcPr>
            <w:tcW w:w="611" w:type="dxa"/>
            <w:tcBorders/>
            <w:shd w:fill="auto" w:val="clear"/>
            <w:vAlign w:val="center"/>
          </w:tcPr>
          <w:p>
            <w:pPr>
              <w:pStyle w:val="TableContents"/>
              <w:spacing w:before="0" w:after="0"/>
              <w:ind w:left="0" w:right="0" w:firstLine="200"/>
              <w:jc w:val="lef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7,181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8,934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23,163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24,769</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22,285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31,252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73,043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88,571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(16,391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(59,288</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20,819</w:t>
            </w:r>
          </w:p>
        </w:tc>
        <w:tc>
          <w:tcPr>
            <w:tcW w:w="611" w:type="dxa"/>
            <w:tcBorders/>
            <w:shd w:fill="auto" w:val="clear"/>
            <w:vAlign w:val="center"/>
          </w:tcPr>
          <w:p>
            <w:pPr>
              <w:pStyle w:val="TableContents"/>
              <w:spacing w:before="0" w:after="0"/>
              <w:ind w:left="0" w:right="0" w:firstLine="200"/>
              <w:jc w:val="lef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and dividend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957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2,282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611" w:type="dxa"/>
            <w:tcBorders/>
            <w:shd w:fill="auto" w:val="clear"/>
            <w:vAlign w:val="center"/>
          </w:tcPr>
          <w:p>
            <w:pPr>
              <w:pStyle w:val="TableContents"/>
              <w:spacing w:before="0" w:after="0"/>
              <w:ind w:left="0" w:right="0" w:firstLine="200"/>
              <w:jc w:val="left"/>
              <w:rPr/>
            </w:pPr>
            <w:r>
              <w:rPr/>
              <w:t> </w:t>
            </w:r>
          </w:p>
        </w:tc>
      </w:tr>
      <w:tr>
        <w:trPr/>
        <w:tc>
          <w:tcPr>
            <w:tcW w:w="369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400"/>
              <w:jc w:val="left"/>
              <w:rPr/>
            </w:pPr>
            <w:r>
              <w:rPr/>
              <w:t> </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(21,809</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(38,391</w:t>
            </w:r>
          </w:p>
        </w:tc>
        <w:tc>
          <w:tcPr>
            <w:tcW w:w="6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(38,391</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(46,437</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(6.31</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6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used in computing net loss per share:</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6,080</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369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6,124</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18"/>
        </w:rPr>
      </w:pPr>
      <w:r>
        <w:rPr>
          <w:rFonts w:ascii="Times New Roman;serif" w:hAnsi="Times New Roman;serif"/>
          <w:b w:val="false"/>
          <w:i/>
          <w:sz w:val="18"/>
        </w:rPr>
        <w:t>See accompanying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10" w:after="0"/>
        <w:jc w:val="center"/>
        <w:rPr>
          <w:rFonts w:ascii="Times New Roman;serif" w:hAnsi="Times New Roman;serif"/>
          <w:b/>
          <w:sz w:val="20"/>
        </w:rPr>
      </w:pPr>
      <w:r>
        <w:rPr>
          <w:rFonts w:ascii="Times New Roman;serif" w:hAnsi="Times New Roman;serif"/>
          <w:b/>
          <w:sz w:val="20"/>
        </w:rPr>
        <w:t>MEI PHARMA, INC.</w:t>
      </w:r>
    </w:p>
    <w:p>
      <w:pPr>
        <w:pStyle w:val="TextBody"/>
        <w:spacing w:before="0" w:after="0"/>
        <w:jc w:val="center"/>
        <w:rPr>
          <w:rFonts w:ascii="Times New Roman;serif" w:hAnsi="Times New Roman;serif"/>
          <w:b/>
          <w:sz w:val="20"/>
        </w:rPr>
      </w:pPr>
      <w:bookmarkStart w:id="7" w:name="condensed_statements_of_stockholders_eq"/>
      <w:bookmarkEnd w:id="7"/>
      <w:r>
        <w:rPr>
          <w:rFonts w:ascii="Times New Roman;serif" w:hAnsi="Times New Roman;serif"/>
          <w:b/>
          <w:sz w:val="20"/>
        </w:rPr>
        <w:t>CONDENSED CONSOLIDATED STATEMENTS OF STOCKHOLDERS’ EQUITY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3651"/>
        <w:gridCol w:w="146"/>
        <w:gridCol w:w="226"/>
        <w:gridCol w:w="892"/>
        <w:gridCol w:w="146"/>
        <w:gridCol w:w="146"/>
        <w:gridCol w:w="244"/>
        <w:gridCol w:w="907"/>
        <w:gridCol w:w="166"/>
        <w:gridCol w:w="146"/>
        <w:gridCol w:w="281"/>
        <w:gridCol w:w="1122"/>
        <w:gridCol w:w="166"/>
        <w:gridCol w:w="146"/>
        <w:gridCol w:w="387"/>
        <w:gridCol w:w="1353"/>
        <w:gridCol w:w="414"/>
      </w:tblGrid>
      <w:tr>
        <w:trPr/>
        <w:tc>
          <w:tcPr>
            <w:tcW w:w="3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r>
      <w:tr>
        <w:trPr/>
        <w:tc>
          <w:tcPr>
            <w:tcW w:w="3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Stockholders’ Equity</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June 30, 2022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426,572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(374,159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52,413</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(16,624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(16,624</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for vested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1,559</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September 30, 2022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428,091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(390,783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37,308</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income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10,253</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428,904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(380,530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48,374</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(15,438</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warrants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430,322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(395,968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34,354</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3651"/>
        <w:gridCol w:w="146"/>
        <w:gridCol w:w="226"/>
        <w:gridCol w:w="892"/>
        <w:gridCol w:w="146"/>
        <w:gridCol w:w="146"/>
        <w:gridCol w:w="244"/>
        <w:gridCol w:w="907"/>
        <w:gridCol w:w="166"/>
        <w:gridCol w:w="146"/>
        <w:gridCol w:w="281"/>
        <w:gridCol w:w="1122"/>
        <w:gridCol w:w="166"/>
        <w:gridCol w:w="146"/>
        <w:gridCol w:w="387"/>
        <w:gridCol w:w="1353"/>
        <w:gridCol w:w="414"/>
      </w:tblGrid>
      <w:tr>
        <w:trPr/>
        <w:tc>
          <w:tcPr>
            <w:tcW w:w="3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353"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r>
      <w:tr>
        <w:trPr/>
        <w:tc>
          <w:tcPr>
            <w:tcW w:w="3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br/>
              <w:t>Paid-In Capital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0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Accumulated Deficit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Stockholders’ Equity</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June 30, 2021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369,171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(319,705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49,466</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(17,510</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for vested 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2,539</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September 30, 2021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371,516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(337,215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34,301</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(12,156</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common stock, net of issuance costs of $3,672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48,653</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212</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2,324</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422,705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(349,371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73,334</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(8,725</w:t>
            </w:r>
          </w:p>
        </w:tc>
        <w:tc>
          <w:tcPr>
            <w:tcW w:w="4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shd w:fill="auto" w:val="clear"/>
            <w:vAlign w:val="center"/>
          </w:tcPr>
          <w:p>
            <w:pPr>
              <w:pStyle w:val="TableContents"/>
              <w:spacing w:before="0" w:after="0"/>
              <w:ind w:left="0" w:right="0" w:hanging="0"/>
              <w:jc w:val="left"/>
              <w:rPr/>
            </w:pPr>
            <w:r>
              <w:rPr/>
              <w:t> </w:t>
            </w:r>
          </w:p>
        </w:tc>
        <w:tc>
          <w:tcPr>
            <w:tcW w:w="90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shd w:fill="auto" w:val="clear"/>
            <w:vAlign w:val="center"/>
          </w:tcPr>
          <w:p>
            <w:pPr>
              <w:pStyle w:val="TableContents"/>
              <w:spacing w:before="0" w:after="0"/>
              <w:ind w:left="0" w:right="0" w:hanging="0"/>
              <w:jc w:val="left"/>
              <w:rPr/>
            </w:pPr>
            <w:r>
              <w:rPr/>
              <w:t> </w:t>
            </w:r>
          </w:p>
        </w:tc>
        <w:tc>
          <w:tcPr>
            <w:tcW w:w="1122"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shd w:fill="auto" w:val="clear"/>
            <w:vAlign w:val="center"/>
          </w:tcPr>
          <w:p>
            <w:pPr>
              <w:pStyle w:val="TableContents"/>
              <w:spacing w:before="0" w:after="0"/>
              <w:ind w:left="0" w:right="0" w:hanging="0"/>
              <w:jc w:val="left"/>
              <w:rPr/>
            </w:pPr>
            <w:r>
              <w:rPr/>
              <w:t> </w:t>
            </w:r>
          </w:p>
        </w:tc>
        <w:tc>
          <w:tcPr>
            <w:tcW w:w="135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w:t>
            </w:r>
          </w:p>
        </w:tc>
        <w:tc>
          <w:tcPr>
            <w:tcW w:w="414" w:type="dxa"/>
            <w:tcBorders/>
            <w:shd w:fill="auto" w:val="clear"/>
            <w:vAlign w:val="center"/>
          </w:tcPr>
          <w:p>
            <w:pPr>
              <w:pStyle w:val="TableContents"/>
              <w:spacing w:before="0" w:after="0"/>
              <w:ind w:left="0" w:right="0" w:firstLine="200"/>
              <w:jc w:val="left"/>
              <w:rPr/>
            </w:pPr>
            <w:r>
              <w:rPr/>
              <w:t> </w:t>
            </w:r>
          </w:p>
        </w:tc>
      </w:tr>
      <w:tr>
        <w:trPr/>
        <w:tc>
          <w:tcPr>
            <w:tcW w:w="36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3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2,837</w:t>
            </w:r>
          </w:p>
        </w:tc>
        <w:tc>
          <w:tcPr>
            <w:tcW w:w="4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425,902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(358,096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3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67,806</w:t>
            </w:r>
          </w:p>
        </w:tc>
        <w:tc>
          <w:tcPr>
            <w:tcW w:w="41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r>
        <w:rPr>
          <w:rFonts w:ascii="Times New Roman;serif" w:hAnsi="Times New Roman;serif"/>
          <w:b/>
          <w:sz w:val="20"/>
        </w:rPr>
        <w:t>MEI PHARMA, INC.</w:t>
      </w:r>
    </w:p>
    <w:p>
      <w:pPr>
        <w:pStyle w:val="TextBody"/>
        <w:spacing w:before="0" w:after="0"/>
        <w:jc w:val="center"/>
        <w:rPr>
          <w:rFonts w:ascii="Times New Roman;serif" w:hAnsi="Times New Roman;serif"/>
          <w:b/>
          <w:sz w:val="20"/>
        </w:rPr>
      </w:pPr>
      <w:bookmarkStart w:id="8" w:name="condensed_statements_of_cash_flows"/>
      <w:bookmarkEnd w:id="8"/>
      <w:r>
        <w:rPr>
          <w:rFonts w:ascii="Times New Roman;serif" w:hAnsi="Times New Roman;serif"/>
          <w:b/>
          <w:sz w:val="20"/>
        </w:rPr>
        <w:t>CONDENSED CONSOLIDATED STATEMENTS OF CASH FLOWS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(In thousands)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7426"/>
        <w:gridCol w:w="146"/>
        <w:gridCol w:w="211"/>
        <w:gridCol w:w="781"/>
        <w:gridCol w:w="166"/>
        <w:gridCol w:w="146"/>
        <w:gridCol w:w="211"/>
        <w:gridCol w:w="841"/>
        <w:gridCol w:w="611"/>
      </w:tblGrid>
      <w:tr>
        <w:trPr/>
        <w:tc>
          <w:tcPr>
            <w:tcW w:w="7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7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(38,391</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(20,819</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7,700</w:t>
            </w:r>
          </w:p>
        </w:tc>
        <w:tc>
          <w:tcPr>
            <w:tcW w:w="611" w:type="dxa"/>
            <w:tcBorders/>
            <w:shd w:fill="auto" w:val="clear"/>
            <w:vAlign w:val="center"/>
          </w:tcPr>
          <w:p>
            <w:pPr>
              <w:pStyle w:val="TableContents"/>
              <w:spacing w:before="0" w:after="0"/>
              <w:ind w:left="0" w:right="0" w:firstLine="200"/>
              <w:jc w:val="lef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Issuance of warrants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pPr>
            <w:r>
              <w:rPr/>
              <w:t>—</w:t>
            </w:r>
          </w:p>
        </w:tc>
        <w:tc>
          <w:tcPr>
            <w:tcW w:w="611" w:type="dxa"/>
            <w:tcBorders/>
            <w:shd w:fill="auto" w:val="clear"/>
            <w:vAlign w:val="center"/>
          </w:tcPr>
          <w:p>
            <w:pPr>
              <w:pStyle w:val="TableContents"/>
              <w:spacing w:before="0" w:after="0"/>
              <w:ind w:left="0" w:right="0" w:firstLine="200"/>
              <w:jc w:val="lef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241</w:t>
            </w:r>
          </w:p>
        </w:tc>
        <w:tc>
          <w:tcPr>
            <w:tcW w:w="611" w:type="dxa"/>
            <w:tcBorders/>
            <w:shd w:fill="auto" w:val="clear"/>
            <w:vAlign w:val="center"/>
          </w:tcPr>
          <w:p>
            <w:pPr>
              <w:pStyle w:val="TableContents"/>
              <w:spacing w:before="0" w:after="0"/>
              <w:ind w:left="0" w:right="0" w:firstLine="200"/>
              <w:jc w:val="lef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636</w:t>
            </w:r>
          </w:p>
        </w:tc>
        <w:tc>
          <w:tcPr>
            <w:tcW w:w="611" w:type="dxa"/>
            <w:tcBorders/>
            <w:shd w:fill="auto" w:val="clear"/>
            <w:vAlign w:val="center"/>
          </w:tcPr>
          <w:p>
            <w:pPr>
              <w:pStyle w:val="TableContents"/>
              <w:spacing w:before="0" w:after="0"/>
              <w:ind w:left="0" w:right="0" w:firstLine="200"/>
              <w:jc w:val="lef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400"/>
              <w:jc w:val="right"/>
              <w:rPr/>
            </w:pPr>
            <w:r>
              <w:rPr/>
              <w:t> </w:t>
            </w:r>
          </w:p>
        </w:tc>
      </w:tr>
      <w:tr>
        <w:trPr/>
        <w:tc>
          <w:tcPr>
            <w:tcW w:w="74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Unbilled receivables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5,464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(864</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(2,169</w:t>
            </w:r>
          </w:p>
        </w:tc>
        <w:tc>
          <w:tcPr>
            <w:tcW w:w="611"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(3,529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1,902</w:t>
            </w:r>
          </w:p>
        </w:tc>
        <w:tc>
          <w:tcPr>
            <w:tcW w:w="611" w:type="dxa"/>
            <w:tcBorders/>
            <w:shd w:fill="auto" w:val="clear"/>
            <w:vAlign w:val="center"/>
          </w:tcPr>
          <w:p>
            <w:pPr>
              <w:pStyle w:val="TableContents"/>
              <w:spacing w:before="0" w:after="0"/>
              <w:ind w:left="0" w:right="0" w:firstLine="400"/>
              <w:jc w:val="left"/>
              <w:rPr/>
            </w:pPr>
            <w:r>
              <w:rPr/>
              <w:t> </w:t>
            </w:r>
          </w:p>
        </w:tc>
      </w:tr>
      <w:tr>
        <w:trPr/>
        <w:tc>
          <w:tcPr>
            <w:tcW w:w="74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1,680</w:t>
            </w:r>
          </w:p>
        </w:tc>
        <w:tc>
          <w:tcPr>
            <w:tcW w:w="611" w:type="dxa"/>
            <w:tcBorders/>
            <w:shd w:fill="auto" w:val="clear"/>
            <w:vAlign w:val="center"/>
          </w:tcPr>
          <w:p>
            <w:pPr>
              <w:pStyle w:val="TableContents"/>
              <w:spacing w:before="0" w:after="0"/>
              <w:ind w:left="0" w:right="0" w:firstLine="400"/>
              <w:jc w:val="left"/>
              <w:rPr/>
            </w:pPr>
            <w:r>
              <w:rPr/>
              <w:t> </w:t>
            </w:r>
          </w:p>
        </w:tc>
      </w:tr>
      <w:tr>
        <w:trPr/>
        <w:tc>
          <w:tcPr>
            <w:tcW w:w="74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(29,316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17,487</w:t>
            </w:r>
          </w:p>
        </w:tc>
        <w:tc>
          <w:tcPr>
            <w:tcW w:w="611" w:type="dxa"/>
            <w:tcBorders/>
            <w:shd w:fill="auto" w:val="clear"/>
            <w:vAlign w:val="center"/>
          </w:tcPr>
          <w:p>
            <w:pPr>
              <w:pStyle w:val="TableContents"/>
              <w:spacing w:before="0" w:after="0"/>
              <w:ind w:left="0" w:right="0" w:firstLine="400"/>
              <w:jc w:val="left"/>
              <w:rPr/>
            </w:pPr>
            <w:r>
              <w:rPr/>
              <w:t> </w:t>
            </w:r>
          </w:p>
        </w:tc>
      </w:tr>
      <w:tr>
        <w:trPr/>
        <w:tc>
          <w:tcPr>
            <w:tcW w:w="742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(41,182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(33,242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(92,098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(218,164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maturity of short-term investments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126,386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205,117</w:t>
            </w:r>
          </w:p>
        </w:tc>
        <w:tc>
          <w:tcPr>
            <w:tcW w:w="611" w:type="dxa"/>
            <w:tcBorders/>
            <w:shd w:fill="auto" w:val="clear"/>
            <w:vAlign w:val="center"/>
          </w:tcPr>
          <w:p>
            <w:pPr>
              <w:pStyle w:val="TableContents"/>
              <w:spacing w:before="0" w:after="0"/>
              <w:ind w:left="0" w:right="0" w:firstLine="200"/>
              <w:jc w:val="lef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34,294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(13,220</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RSU tax withholdings in exchange for common shares surrendered by RSU 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w:t>
            </w:r>
          </w:p>
        </w:tc>
        <w:tc>
          <w:tcPr>
            <w:tcW w:w="6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w:t>
            </w:r>
          </w:p>
        </w:tc>
        <w:tc>
          <w:tcPr>
            <w:tcW w:w="611" w:type="dxa"/>
            <w:tcBorders/>
            <w:shd w:fill="auto" w:val="clear"/>
            <w:vAlign w:val="center"/>
          </w:tcPr>
          <w:p>
            <w:pPr>
              <w:pStyle w:val="TableContents"/>
              <w:spacing w:before="0" w:after="0"/>
              <w:ind w:left="0" w:right="0" w:firstLine="200"/>
              <w:jc w:val="lef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gross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52,325</w:t>
            </w:r>
          </w:p>
        </w:tc>
        <w:tc>
          <w:tcPr>
            <w:tcW w:w="611" w:type="dxa"/>
            <w:tcBorders/>
            <w:shd w:fill="auto" w:val="clear"/>
            <w:vAlign w:val="center"/>
          </w:tcPr>
          <w:p>
            <w:pPr>
              <w:pStyle w:val="TableContents"/>
              <w:spacing w:before="0" w:after="0"/>
              <w:ind w:left="0" w:right="0" w:firstLine="200"/>
              <w:jc w:val="left"/>
              <w:rPr/>
            </w:pPr>
            <w:r>
              <w:rPr/>
              <w:t> </w:t>
            </w:r>
          </w:p>
        </w:tc>
      </w:tr>
      <w:tr>
        <w:trPr/>
        <w:tc>
          <w:tcPr>
            <w:tcW w:w="742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issuance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(3,672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increase in 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84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2,569</w:t>
            </w:r>
          </w:p>
        </w:tc>
        <w:tc>
          <w:tcPr>
            <w:tcW w:w="611" w:type="dxa"/>
            <w:tcBorders/>
            <w:shd w:fill="auto" w:val="clear"/>
            <w:vAlign w:val="center"/>
          </w:tcPr>
          <w:p>
            <w:pPr>
              <w:pStyle w:val="TableContents"/>
              <w:spacing w:before="0" w:after="0"/>
              <w:ind w:left="0" w:right="0" w:hanging="0"/>
              <w:jc w:val="left"/>
              <w:rPr/>
            </w:pPr>
            <w:r>
              <w:rPr/>
              <w:t> </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8,543</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end of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11,112</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52"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74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 obtained in exchange for 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4,347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2,386</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accompanying notes to condensed consolidated financial statements.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0" w:after="0"/>
        <w:jc w:val="center"/>
        <w:rPr>
          <w:rFonts w:ascii="Times New Roman;serif" w:hAnsi="Times New Roman;serif"/>
          <w:b/>
          <w:sz w:val="20"/>
        </w:rPr>
      </w:pPr>
      <w:r>
        <w:rPr>
          <w:rFonts w:ascii="Times New Roman;serif" w:hAnsi="Times New Roman;serif"/>
          <w:b/>
          <w:sz w:val="20"/>
        </w:rPr>
        <w:t>MEI PHARMA, INC.</w:t>
      </w:r>
    </w:p>
    <w:p>
      <w:pPr>
        <w:pStyle w:val="TextBody"/>
        <w:spacing w:before="0" w:after="0"/>
        <w:jc w:val="center"/>
        <w:rPr>
          <w:rFonts w:ascii="Times New Roman;serif" w:hAnsi="Times New Roman;serif"/>
          <w:b/>
          <w:sz w:val="20"/>
        </w:rPr>
      </w:pPr>
      <w:bookmarkStart w:id="9" w:name="notes_to_condensed_financial_statements"/>
      <w:bookmarkEnd w:id="9"/>
      <w:r>
        <w:rPr>
          <w:rFonts w:ascii="Times New Roman;serif" w:hAnsi="Times New Roman;serif"/>
          <w:b/>
          <w:sz w:val="20"/>
        </w:rPr>
        <w:t>NOTES TO CONDENSED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(Unaudited)</w:t>
      </w:r>
    </w:p>
    <w:p>
      <w:pPr>
        <w:pStyle w:val="TextBody"/>
        <w:spacing w:before="240" w:after="0"/>
        <w:jc w:val="left"/>
        <w:rPr>
          <w:rFonts w:ascii="Times New Roman;serif" w:hAnsi="Times New Roman;serif"/>
          <w:b/>
          <w:sz w:val="20"/>
        </w:rPr>
      </w:pPr>
      <w:r>
        <w:rPr>
          <w:rFonts w:ascii="Times New Roman;serif" w:hAnsi="Times New Roman;serif"/>
          <w:b/>
          <w:sz w:val="20"/>
        </w:rPr>
        <w:t>Note 1. The Company and Summary of Significant Accounting Policies</w:t>
      </w:r>
    </w:p>
    <w:p>
      <w:pPr>
        <w:pStyle w:val="TextBody"/>
        <w:spacing w:before="120" w:after="0"/>
        <w:jc w:val="left"/>
        <w:rPr>
          <w:rFonts w:ascii="Times New Roman;serif" w:hAnsi="Times New Roman;serif"/>
          <w:b/>
          <w:sz w:val="20"/>
        </w:rPr>
      </w:pPr>
      <w:r>
        <w:rPr>
          <w:rFonts w:ascii="Times New Roman;serif" w:hAnsi="Times New Roman;serif"/>
          <w:b/>
          <w:sz w:val="20"/>
        </w:rPr>
        <w:t>The Company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MEI Pharma, Inc. (Nasdaq: MEIP) is a clinical stage pharmaceutical company focused on developing potential new therapies for cancer. MEI Pharma's portfolio of drug candidates includes drug candidates with differentiated or novel mechanisms of action intended to address unmet medical needs and deliver improved benefit to patients, either as standalone treatments or in combination with other therapeutic options. Our common stock is listed on the Nasdaq Capital Market under the symbol “MEIP.”</w:t>
      </w:r>
    </w:p>
    <w:p>
      <w:pPr>
        <w:pStyle w:val="TextBody"/>
        <w:spacing w:before="120" w:after="0"/>
        <w:jc w:val="left"/>
        <w:rPr>
          <w:rFonts w:ascii="Times New Roman" w:hAnsi="Times New Roman"/>
          <w:sz w:val="20"/>
        </w:rPr>
      </w:pPr>
      <w:r>
        <w:rPr>
          <w:rFonts w:ascii="Times New Roman;serif" w:hAnsi="Times New Roman;serif"/>
          <w:b w:val="false"/>
          <w:sz w:val="20"/>
        </w:rPr>
        <w:t>In February 2023, we, Infinity Pharmaceuticals, Inc. (“Infinity”), and Meadow Merger Sub, Inc., our wholly owned subsidiary (“Merger Sub”) entered into an agreement and plan of merger (“Merger Agreement”). The Merger Agreement provides that Merger Sub will merge with and into Infinity, with Infinity being the surviving entity as a wholly-owned subsidiary of us (transaction referred to as the "Merger"). If the Merger is consummated (the "Closing"), each share of Infinity’s common stock issued and outstanding immediately prior will be automatically converted into the right to receive 0.052245</w:t>
      </w:r>
      <w:r>
        <w:rPr>
          <w:rFonts w:ascii="Times New Roman" w:hAnsi="Times New Roman"/>
          <w:sz w:val="20"/>
        </w:rPr>
        <w:t xml:space="preserve"> </w:t>
      </w:r>
      <w:r>
        <w:rPr>
          <w:rFonts w:ascii="Times New Roman;serif" w:hAnsi="Times New Roman;serif"/>
          <w:b w:val="false"/>
          <w:sz w:val="20"/>
        </w:rPr>
        <w:t>shares (the “Exchange Ratio”) of our common stock. Subject to stockholder approval and the subsequent closing of the merger, the combined company will be renamed "Kimbrx Therapeutics, Inc." and trade on the Nasdaq Stock Market under the symbol "KMBX". The combined company would be headquartered in San Diego, California. The Merger Agreement has been approved by the Boards of Directors of both companies. The Merger is subject to approvals by our and Infinity's stockholders, respectively.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On April 14, 2023, we amended our Certificate of Incorporation to affect a combination of our issued and outstanding common stock at a ratio of one-for-twenty (“Reverse Stock Split”). The par value and authorized shares of our common stock were not adjusted as a result of the Reverse Stock Split. The Reverse Stock Split was effective on April 14, 2023, with a market effective date of April 17, 2023. All historical share and per share amounts have been adjusted to reflect the Reverse Stock Split for all periods presented. All stock options, restricted stock units and warrants outstanding were ratably adjusted to give effect to the Reverse Stock Split.</w:t>
      </w:r>
    </w:p>
    <w:p>
      <w:pPr>
        <w:pStyle w:val="TextBody"/>
        <w:spacing w:before="240" w:after="0"/>
        <w:jc w:val="left"/>
        <w:rPr>
          <w:rFonts w:ascii="Times New Roman;serif" w:hAnsi="Times New Roman;serif"/>
          <w:b/>
          <w:sz w:val="20"/>
        </w:rPr>
      </w:pPr>
      <w:r>
        <w:rPr>
          <w:rFonts w:ascii="Times New Roman;serif" w:hAnsi="Times New Roman;serif"/>
          <w:b/>
          <w:sz w:val="20"/>
        </w:rPr>
        <w:t>Clinical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build our pipeline by licensing or acquiring promising cancer agents and creating value in programs through development, commercialization and strategic partnerships, as appropriate. Our objective is to leverage the mechanisms and properties of our pipeline drug candidates to optimize the balance between efficacy and tolerability to meet the needs of patients with cancer. Our drug candidate pipeline includes: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Voruciclib, an oral cyclin-dependent kinase (“CDK”) inhibitor;</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ME-344, an intravenous small molecule targeting the oxidative phosphorylation pathway;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Zandelisib, an oral phosphatidylinositol 3-kinase delta (“PI3Kδ”) inhibitor.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results of pre-clinical studies and completed clinical trials are not necessarily predictive of future results, and our current drug candidates may not have favorable results in later studies or trials. The commercial opportunity will be reduced or eliminated if competitors develop and market products that are more effective, have fewer side effects or are less expensive than our drug candidates. We will need substantial additional funds to progress the clinical trial programs for the drug candidates voruciclib and ME-344 and to develop new compounds we might license or acquire. The actual amount of funds that will be needed are determined by a number of factors, some of which are beyond our control. Negative U.S. and global economic conditions may pose challenges to our business strategy, which relies on funding from the financial markets or collaborators.</w:t>
      </w:r>
    </w:p>
    <w:p>
      <w:pPr>
        <w:pStyle w:val="TextBody"/>
        <w:spacing w:before="240" w:after="0"/>
        <w:jc w:val="left"/>
        <w:rPr>
          <w:rFonts w:ascii="Times New Roman;serif" w:hAnsi="Times New Roman;serif"/>
          <w:b/>
          <w:sz w:val="20"/>
        </w:rPr>
      </w:pPr>
      <w:r>
        <w:rPr>
          <w:rFonts w:ascii="Times New Roman;serif" w:hAnsi="Times New Roman;serif"/>
          <w:b/>
          <w:sz w:val="20"/>
        </w:rPr>
        <w:t>Reduction in Force and Current Events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November 2022, we and Kyowa Kirin Co., Ltd. ("Kyowa Kirin") met with the U.S. Food and Drug Administration ("FDA") in a follow-up meeting to the March 2022 end of Phase 2 meeting related to zandelisib. At this meeting, the FDA provided further guidance regarding the design and statistical analysis for the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Kyowa Kirin jointly decided to discontinue global development of zandelisib for indolent forms of non-Hodgkin lymphoma outside of Japan.</w:t>
      </w:r>
    </w:p>
    <w:p>
      <w:pPr>
        <w:pStyle w:val="TextBody"/>
        <w:spacing w:before="120" w:after="0"/>
        <w:jc w:val="left"/>
        <w:rPr>
          <w:rFonts w:ascii="Times New Roman" w:hAnsi="Times New Roman"/>
          <w:sz w:val="20"/>
        </w:rPr>
      </w:pPr>
      <w:r>
        <w:rPr>
          <w:rFonts w:ascii="Times New Roman;serif" w:hAnsi="Times New Roman;serif"/>
          <w:b w:val="false"/>
          <w:sz w:val="20"/>
        </w:rPr>
        <w:t>The discontinuation of zandelisib development outside of Japan was a business decision based on the most recent regulatory guidance from the FDA and is not related to the zandelisib clinical data generated to date. Kyowa Kirin is continuing certain ongoing Japanese clinical trials, including the Phase 2 MIRAGE trial evaluating Japanese patients with relapsed or refractory indolent B-cell non-Hodgkin lymphomas, and will explore submitting the MIRAGE and TIDAL trials for marketing authorization in Japan. MIRAGE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is a Phase 2 trial, similar in design to the global Phase 2, single-arm, TIDAL trial. In November 2022, we and Kyowa Kirin announced positive topline data from the Phase 2 MIRAGE trial. Kyowa Kirin has been evaluating whether to continue developing zandelisib in Japan and after meeting with the Pharmaceuticals and Medical Devices Agency ("PMDA") has concluded that conducting a randomized study consistent with agency guidance to support a marketing application would likely not be feasible to complete within a time period that would support further investment. As a result, in May 2023, Kyowa Kirin decided to discontinue development of zandelisib in Japan. The discontinuation of zandelisib in Japan was a business decision by Kyowa Kirin based on the most recent regulatory guidance from the PMDA and is not related to the zandelisib clinical data generated to date.</w:t>
      </w:r>
    </w:p>
    <w:p>
      <w:pPr>
        <w:pStyle w:val="TextBody"/>
        <w:spacing w:before="120" w:after="0"/>
        <w:jc w:val="left"/>
        <w:rPr>
          <w:rFonts w:ascii="Times New Roman" w:hAnsi="Times New Roman"/>
          <w:sz w:val="20"/>
        </w:rPr>
      </w:pPr>
      <w:r>
        <w:rPr>
          <w:rFonts w:ascii="Times New Roman;serif" w:hAnsi="Times New Roman;serif"/>
          <w:b w:val="false"/>
          <w:sz w:val="20"/>
        </w:rPr>
        <w:t>In light of Kyowa Kirin’s decision to discontinue development of zandelisib in Japan, the parties intend to terminate the global license, development and commercialization agreement executed in April 2020.</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and Kyowa Kirin have begun closing all ongoing zandelisib clinical studies outside of Japan, including the Phase 3 COASTAL trial, the Phase 2 TIDAL trial, and the Phase 2 CORAL trial. Depending on the achievement of certain regulatory and commercial milestones in Japan, we may be eligible for additional payments from Kyowa Kirin under the current agreement.</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December 2022, we announced a plan to streamline our organization towards the continued clinical development of voruciclib and ME-344. As a result, we initiated a staggered workforce reduction, initially affecting 28 employees in December 2022 (representing approximately 27% of our workforce) and an additional 14 employees in April 2023. In connection with the reduction in force, we incurred termination costs, which include severance, benefits, and related costs of approximately $2.4</w:t>
      </w:r>
      <w:r>
        <w:rPr>
          <w:rFonts w:ascii="Times New Roman" w:hAnsi="Times New Roman"/>
          <w:sz w:val="20"/>
        </w:rPr>
        <w:t xml:space="preserve"> </w:t>
      </w:r>
      <w:r>
        <w:rPr>
          <w:rFonts w:ascii="Times New Roman;serif" w:hAnsi="Times New Roman;serif"/>
          <w:b w:val="false"/>
          <w:sz w:val="20"/>
        </w:rPr>
        <w:t>million, of which $1.8</w:t>
      </w:r>
      <w:r>
        <w:rPr>
          <w:rFonts w:ascii="Times New Roman" w:hAnsi="Times New Roman"/>
          <w:sz w:val="20"/>
        </w:rPr>
        <w:t xml:space="preserve"> </w:t>
      </w:r>
      <w:r>
        <w:rPr>
          <w:rFonts w:ascii="Times New Roman;serif" w:hAnsi="Times New Roman;serif"/>
          <w:b w:val="false"/>
          <w:sz w:val="20"/>
        </w:rPr>
        <w:t>million was research and development expense and $0.6</w:t>
      </w:r>
      <w:r>
        <w:rPr>
          <w:rFonts w:ascii="Times New Roman" w:hAnsi="Times New Roman"/>
          <w:sz w:val="20"/>
        </w:rPr>
        <w:t xml:space="preserve"> </w:t>
      </w:r>
      <w:r>
        <w:rPr>
          <w:rFonts w:ascii="Times New Roman;serif" w:hAnsi="Times New Roman;serif"/>
          <w:b w:val="false"/>
          <w:sz w:val="20"/>
        </w:rPr>
        <w:t>million was general and administrative expense.</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Liquidity</w:t>
      </w:r>
    </w:p>
    <w:p>
      <w:pPr>
        <w:pStyle w:val="TextBody"/>
        <w:spacing w:before="120" w:after="0"/>
        <w:jc w:val="left"/>
        <w:rPr>
          <w:rFonts w:ascii="Times New Roman" w:hAnsi="Times New Roman"/>
          <w:sz w:val="20"/>
        </w:rPr>
      </w:pPr>
      <w:r>
        <w:rPr>
          <w:rFonts w:ascii="Times New Roman;serif" w:hAnsi="Times New Roman;serif"/>
          <w:b w:val="false"/>
          <w:sz w:val="20"/>
        </w:rPr>
        <w:t>We have accumulated losses of $396.0</w:t>
      </w:r>
      <w:r>
        <w:rPr>
          <w:rFonts w:ascii="Times New Roman" w:hAnsi="Times New Roman"/>
          <w:sz w:val="20"/>
        </w:rPr>
        <w:t xml:space="preserve"> </w:t>
      </w:r>
      <w:r>
        <w:rPr>
          <w:rFonts w:ascii="Times New Roman;serif" w:hAnsi="Times New Roman;serif"/>
          <w:b w:val="false"/>
          <w:sz w:val="20"/>
        </w:rPr>
        <w:t>million since inception and expect to incur operating losses and generate negative cash flows from operations for the foreseeable future. As of March 31, 2023, we had $112.0</w:t>
      </w:r>
      <w:r>
        <w:rPr>
          <w:rFonts w:ascii="Times New Roman" w:hAnsi="Times New Roman"/>
          <w:sz w:val="20"/>
        </w:rPr>
        <w:t xml:space="preserve"> </w:t>
      </w:r>
      <w:r>
        <w:rPr>
          <w:rFonts w:ascii="Times New Roman;serif" w:hAnsi="Times New Roman;serif"/>
          <w:b w:val="false"/>
          <w:sz w:val="20"/>
        </w:rPr>
        <w:t>million in cash and cash equivalents and short-term investments. We believe that these resources will be sufficient to meet our obligations and fund our liquidity and capital expenditure requirements for at least the next 12 months from the issuance of these financial statements. Our current business operations are focused on continuing the clinical development of our drug candidates. Changes to our research and development plans or other changes affecting our operations and operating expenses may affect actual future use of existing cash resources.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pStyle w:val="TextBody"/>
        <w:spacing w:before="240" w:after="0"/>
        <w:jc w:val="left"/>
        <w:rPr>
          <w:rFonts w:ascii="Times New Roman;serif" w:hAnsi="Times New Roman;serif"/>
          <w:b/>
          <w:sz w:val="20"/>
        </w:rPr>
      </w:pPr>
      <w:r>
        <w:rPr>
          <w:rFonts w:ascii="Times New Roman;serif" w:hAnsi="Times New Roman;serif"/>
          <w:b/>
          <w:sz w:val="20"/>
        </w:rPr>
        <w:t>Basis of Presentation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include the accounts of MEI Pharma, Inc. and our wholly owned subsidiary, Meadow Merger Sub, Inc. We have eliminated all significant intercompany accounts and transactions in consolidation. The condensed consolidated financial statements have been prepared in accordance with accounting principles generally accepted in the U.S. (“U.S. GAAP”) for interim financial information and in accordance with the instructions to Form 10-Q and Article 10 of Regulation S-X. Accordingly, the accompanying financial statements do not include all of the information and notes required by U.S. GAAP for complete financial statements. In the opinion of management, the accompanying consolidated financial statements reflect all adjustments (consisting of normal recurring adjustments) that are necessary for a fair statement of the financial position, results of operations and cash flows for the periods presented.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for the quarterly period ended March 31, 2023 should be read in conjunction with the audited financial statements and notes thereto as of and for the fiscal year ended June 30, 2022, included in our Annual Report on Form 10-K filed with the Securities and Exchange Commission on September 8, 2022 ("2022 Annual Report"). Interim results are not necessarily indicative of results for a full year.</w:t>
      </w:r>
    </w:p>
    <w:p>
      <w:pPr>
        <w:pStyle w:val="TextBody"/>
        <w:spacing w:before="240" w:after="0"/>
        <w:jc w:val="left"/>
        <w:rPr>
          <w:rFonts w:ascii="Times New Roman;serif" w:hAnsi="Times New Roman;serif"/>
          <w:b/>
          <w:sz w:val="20"/>
        </w:rPr>
      </w:pPr>
      <w:r>
        <w:rPr>
          <w:rFonts w:ascii="Times New Roman;serif" w:hAnsi="Times New Roman;serif"/>
          <w:b/>
          <w:sz w:val="20"/>
        </w:rPr>
        <w:t>Use of Estimates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preparation of consolidated financial statements in conformity with U.S. GAAP requires management to make estimates and assumptions that affect the amounts reported in the consolidated financial statements and disclosures made in the accompanying notes to the consolidated financial statements. We use estimates that affect the reported amounts (including assets, liabilities, revenues and expenses) and related disclosures. Actual results could materially differ from those estimates.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sz w:val="20"/>
        </w:rPr>
      </w:pPr>
      <w:r>
        <w:rPr>
          <w:rFonts w:ascii="Times New Roman;serif" w:hAnsi="Times New Roman;serif"/>
          <w:b/>
          <w:sz w:val="20"/>
        </w:rPr>
        <w:t>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1 – Observable inputs such as quoted prices in active markets for identical assets or liabilities.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Level 3 – Unobservable inputs that are supported by little or no market activity and that are significant to the fair value of the assets or liabilities.</w:t>
      </w:r>
    </w:p>
    <w:p>
      <w:pPr>
        <w:pStyle w:val="TextBody"/>
        <w:spacing w:before="240" w:after="0"/>
        <w:jc w:val="left"/>
        <w:rPr>
          <w:rFonts w:ascii="Times New Roman;serif" w:hAnsi="Times New Roman;serif"/>
          <w:b/>
          <w:sz w:val="20"/>
        </w:rPr>
      </w:pPr>
      <w:r>
        <w:rPr>
          <w:rFonts w:ascii="Times New Roman;serif" w:hAnsi="Times New Roman;serif"/>
          <w:b/>
          <w:sz w:val="20"/>
        </w:rPr>
        <w:t>Revenue Recognition</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Revenues from Customers</w:t>
      </w:r>
    </w:p>
    <w:p>
      <w:pPr>
        <w:pStyle w:val="TextBody"/>
        <w:spacing w:before="120" w:after="0"/>
        <w:jc w:val="left"/>
        <w:rPr>
          <w:rFonts w:ascii="Times New Roman" w:hAnsi="Times New Roman"/>
          <w:sz w:val="20"/>
        </w:rPr>
      </w:pPr>
      <w:r>
        <w:rPr>
          <w:rFonts w:ascii="Times New Roman;serif" w:hAnsi="Times New Roman;serif"/>
          <w:b w:val="false"/>
          <w:sz w:val="20"/>
        </w:rPr>
        <w:t xml:space="preserve">In accordance with Accounting Standards Codification ("ASC") Topic 606, </w:t>
      </w:r>
      <w:r>
        <w:rPr>
          <w:rFonts w:ascii="Times New Roman;serif" w:hAnsi="Times New Roman;serif"/>
          <w:b w:val="false"/>
          <w:i/>
          <w:sz w:val="20"/>
        </w:rPr>
        <w:t xml:space="preserve">Revenue from Contracts with Customers </w:t>
      </w:r>
      <w:r>
        <w:rPr>
          <w:rFonts w:ascii="Times New Roman;serif" w:hAnsi="Times New Roman;serif"/>
          <w:b w:val="false"/>
          <w:sz w:val="20"/>
        </w:rPr>
        <w:t>("Topic 606"),</w:t>
      </w:r>
      <w:r>
        <w:rPr>
          <w:rFonts w:ascii="Times New Roman" w:hAnsi="Times New Roman"/>
          <w:sz w:val="20"/>
        </w:rPr>
        <w:t xml:space="preserve"> </w:t>
      </w:r>
      <w:r>
        <w:rPr>
          <w:rFonts w:ascii="Times New Roman;serif" w:hAnsi="Times New Roman;serif"/>
          <w:b w:val="false"/>
          <w:sz w:val="20"/>
        </w:rPr>
        <w:t>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pStyle w:val="TextBody"/>
        <w:spacing w:before="120" w:after="0"/>
        <w:jc w:val="left"/>
        <w:rPr>
          <w:rFonts w:ascii="Times New Roman" w:hAnsi="Times New Roman"/>
          <w:sz w:val="20"/>
        </w:rPr>
      </w:pPr>
      <w:r>
        <w:rPr>
          <w:rFonts w:ascii="Times New Roman;serif" w:hAnsi="Times New Roman;serif"/>
          <w:b w:val="false"/>
          <w:sz w:val="20"/>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connection with our License, Development and Commercialization Agreement (the "Kyowa Kirin Commercialization Agreement") with Kyowa Kirin, we perform development services related to our 50-50 cost sharing arrangement for which revenue is recognized over time. Additionally, we perform services for Kyowa Kirin at their request, the costs of which are fully reimbursed to us. We record the reimbursement for such pass through services as revenue at 100% of reimbursed costs, as control of the additional services for Kyowa Kirin is transferred at the time we incur such costs. The costs of these services are recognized in the Condensed Consolidated Statements of Operations as research and development expense.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recognized revenue associated with the Kyowa Kirin Commercialization Agreement for the periods presented (in thousands):</w:t>
      </w:r>
    </w:p>
    <w:p>
      <w:pPr>
        <w:pStyle w:val="TextBody"/>
        <w:spacing w:before="0" w:after="0"/>
        <w:jc w:val="left"/>
        <w:rPr/>
      </w:pPr>
      <w:r>
        <w:rPr/>
        <w:t> </w:t>
      </w:r>
    </w:p>
    <w:tbl>
      <w:tblPr>
        <w:tblW w:w="8022" w:type="dxa"/>
        <w:jc w:val="left"/>
        <w:tblInd w:w="0" w:type="dxa"/>
        <w:tblCellMar>
          <w:top w:w="28" w:type="dxa"/>
          <w:left w:w="28" w:type="dxa"/>
          <w:bottom w:w="28" w:type="dxa"/>
          <w:right w:w="28" w:type="dxa"/>
        </w:tblCellMar>
      </w:tblPr>
      <w:tblGrid>
        <w:gridCol w:w="3271"/>
        <w:gridCol w:w="146"/>
        <w:gridCol w:w="211"/>
        <w:gridCol w:w="571"/>
        <w:gridCol w:w="146"/>
        <w:gridCol w:w="146"/>
        <w:gridCol w:w="211"/>
        <w:gridCol w:w="571"/>
        <w:gridCol w:w="146"/>
        <w:gridCol w:w="146"/>
        <w:gridCol w:w="211"/>
        <w:gridCol w:w="676"/>
        <w:gridCol w:w="146"/>
        <w:gridCol w:w="146"/>
        <w:gridCol w:w="211"/>
        <w:gridCol w:w="676"/>
        <w:gridCol w:w="391"/>
      </w:tblGrid>
      <w:tr>
        <w:trPr/>
        <w:tc>
          <w:tcPr>
            <w:tcW w:w="3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29,283</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Timing of Revenue Recognition:</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2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Services performed over time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5,598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26,970</w:t>
            </w:r>
          </w:p>
        </w:tc>
        <w:tc>
          <w:tcPr>
            <w:tcW w:w="391" w:type="dxa"/>
            <w:tcBorders/>
            <w:shd w:fill="auto" w:val="clear"/>
            <w:vAlign w:val="center"/>
          </w:tcPr>
          <w:p>
            <w:pPr>
              <w:pStyle w:val="TableContents"/>
              <w:spacing w:before="0" w:after="0"/>
              <w:ind w:left="0" w:right="0" w:firstLine="200"/>
              <w:jc w:val="left"/>
              <w:rPr/>
            </w:pPr>
            <w:r>
              <w:rPr/>
              <w:t> </w:t>
            </w:r>
          </w:p>
        </w:tc>
      </w:tr>
      <w:tr>
        <w:trPr/>
        <w:tc>
          <w:tcPr>
            <w:tcW w:w="327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Pass through services at a point in time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2,313</w:t>
            </w:r>
          </w:p>
        </w:tc>
        <w:tc>
          <w:tcPr>
            <w:tcW w:w="391" w:type="dxa"/>
            <w:tcBorders/>
            <w:shd w:fill="auto" w:val="clear"/>
            <w:vAlign w:val="center"/>
          </w:tcPr>
          <w:p>
            <w:pPr>
              <w:pStyle w:val="TableContents"/>
              <w:spacing w:before="0" w:after="0"/>
              <w:ind w:left="0" w:right="0" w:hanging="0"/>
              <w:jc w:val="left"/>
              <w:rPr/>
            </w:pPr>
            <w:r>
              <w:rPr/>
              <w:t> </w:t>
            </w:r>
          </w:p>
        </w:tc>
      </w:tr>
      <w:tr>
        <w:trPr/>
        <w:tc>
          <w:tcPr>
            <w:tcW w:w="327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5,894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9,694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47,359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29,283</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Contract Balances</w:t>
      </w:r>
    </w:p>
    <w:p>
      <w:pPr>
        <w:pStyle w:val="TextBody"/>
        <w:spacing w:before="120" w:after="0"/>
        <w:jc w:val="left"/>
        <w:rPr>
          <w:rFonts w:ascii="Times New Roman" w:hAnsi="Times New Roman"/>
          <w:sz w:val="20"/>
        </w:rPr>
      </w:pPr>
      <w:r>
        <w:rPr>
          <w:rFonts w:ascii="Times New Roman;serif" w:hAnsi="Times New Roman;serif"/>
          <w:b w:val="false"/>
          <w:sz w:val="20"/>
        </w:rPr>
        <w:t>Accounts receivable are included in “Prepaid expenses and other current assets”, and contract liabilities are included in “Deferred revenue" and "Deferred revenue, long-term” on our Condensed Consolidated Balance Sheets.</w:t>
      </w:r>
      <w:r>
        <w:rPr>
          <w:rFonts w:ascii="Times New Roman" w:hAnsi="Times New Roman"/>
          <w:sz w:val="20"/>
        </w:rPr>
        <w:t xml:space="preserve"> </w:t>
      </w:r>
      <w:r>
        <w:rPr>
          <w:rFonts w:ascii="Times New Roman;serif" w:hAnsi="Times New Roman;serif"/>
          <w:b w:val="false"/>
          <w:sz w:val="20"/>
        </w:rPr>
        <w:t xml:space="preserve">The following table presents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changes in accounts receivable, unbilled receivables and contract liabilities accounted for under Topic 606 for the periods presented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7776"/>
        <w:gridCol w:w="146"/>
        <w:gridCol w:w="211"/>
        <w:gridCol w:w="736"/>
        <w:gridCol w:w="166"/>
        <w:gridCol w:w="146"/>
        <w:gridCol w:w="211"/>
        <w:gridCol w:w="736"/>
        <w:gridCol w:w="411"/>
      </w:tblGrid>
      <w:tr>
        <w:trPr/>
        <w:tc>
          <w:tcPr>
            <w:tcW w:w="77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7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7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beginning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Amounts billed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45,927</w:t>
            </w:r>
          </w:p>
        </w:tc>
        <w:tc>
          <w:tcPr>
            <w:tcW w:w="411" w:type="dxa"/>
            <w:tcBorders/>
            <w:shd w:fill="auto" w:val="clear"/>
            <w:vAlign w:val="center"/>
          </w:tcPr>
          <w:p>
            <w:pPr>
              <w:pStyle w:val="TableContents"/>
              <w:spacing w:before="0" w:after="0"/>
              <w:ind w:left="0" w:right="0" w:firstLine="200"/>
              <w:jc w:val="lef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received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(45,927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receivable, end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Unbilled receivables</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Unbilled receivables, beginning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7,582</w:t>
            </w:r>
          </w:p>
        </w:tc>
        <w:tc>
          <w:tcPr>
            <w:tcW w:w="411" w:type="dxa"/>
            <w:tcBorders/>
            <w:shd w:fill="auto" w:val="clear"/>
            <w:vAlign w:val="center"/>
          </w:tcPr>
          <w:p>
            <w:pPr>
              <w:pStyle w:val="TableContents"/>
              <w:spacing w:before="0" w:after="0"/>
              <w:ind w:left="0" w:right="0" w:firstLine="200"/>
              <w:jc w:val="lef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Billable amounts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18,043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46,791</w:t>
            </w:r>
          </w:p>
        </w:tc>
        <w:tc>
          <w:tcPr>
            <w:tcW w:w="411" w:type="dxa"/>
            <w:tcBorders/>
            <w:shd w:fill="auto" w:val="clear"/>
            <w:vAlign w:val="center"/>
          </w:tcPr>
          <w:p>
            <w:pPr>
              <w:pStyle w:val="TableContents"/>
              <w:spacing w:before="0" w:after="0"/>
              <w:ind w:left="0" w:right="0" w:firstLine="200"/>
              <w:jc w:val="lef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Amounts billed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(23,507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(45,927</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Unbilled receivables, end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8,446</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7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Contract liabilities</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411" w:type="dxa"/>
            <w:tcBorders/>
            <w:shd w:fill="auto" w:val="clear"/>
            <w:vAlign w:val="center"/>
          </w:tcPr>
          <w:p>
            <w:pPr>
              <w:pStyle w:val="TableContents"/>
              <w:spacing w:before="0" w:after="0"/>
              <w:ind w:left="0" w:right="0" w:firstLine="200"/>
              <w:jc w:val="righ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Contract liabilities, beginning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14,677</w:t>
            </w:r>
          </w:p>
        </w:tc>
        <w:tc>
          <w:tcPr>
            <w:tcW w:w="411" w:type="dxa"/>
            <w:tcBorders/>
            <w:shd w:fill="auto" w:val="clear"/>
            <w:vAlign w:val="center"/>
          </w:tcPr>
          <w:p>
            <w:pPr>
              <w:pStyle w:val="TableContents"/>
              <w:spacing w:before="0" w:after="0"/>
              <w:ind w:left="0" w:right="0" w:firstLine="200"/>
              <w:jc w:val="lef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Payments received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20,000</w:t>
            </w:r>
          </w:p>
        </w:tc>
        <w:tc>
          <w:tcPr>
            <w:tcW w:w="411" w:type="dxa"/>
            <w:tcBorders/>
            <w:shd w:fill="auto" w:val="clear"/>
            <w:vAlign w:val="center"/>
          </w:tcPr>
          <w:p>
            <w:pPr>
              <w:pStyle w:val="TableContents"/>
              <w:spacing w:before="0" w:after="0"/>
              <w:ind w:left="0" w:right="0" w:firstLine="200"/>
              <w:jc w:val="lef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recognized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(4,145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(2,513</w:t>
            </w:r>
          </w:p>
        </w:tc>
        <w:tc>
          <w:tcPr>
            <w:tcW w:w="411"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recognized from change in estimate for performance obligations that are being closed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pPr>
            <w:r>
              <w:rPr/>
              <w:t>—</w:t>
            </w:r>
          </w:p>
        </w:tc>
        <w:tc>
          <w:tcPr>
            <w:tcW w:w="411" w:type="dxa"/>
            <w:tcBorders/>
            <w:shd w:fill="auto" w:val="clear"/>
            <w:vAlign w:val="center"/>
          </w:tcPr>
          <w:p>
            <w:pPr>
              <w:pStyle w:val="TableContents"/>
              <w:spacing w:before="0" w:after="0"/>
              <w:ind w:left="0" w:right="0" w:firstLine="200"/>
              <w:jc w:val="lef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Revenue recognized for performance obligations that will no longer commence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(8,607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777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Contract liabilities, end of period</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1,583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32,164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timing of revenue recognition, invoicing and cash collections results in billed accounts receivable and unbilled receivables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Condensed Consolidated Balance Sheets relate to the Kyowa Kirin Commercialization Agreement.</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June 30, 2022, we had $66.1</w:t>
      </w:r>
      <w:r>
        <w:rPr>
          <w:rFonts w:ascii="Times New Roman" w:hAnsi="Times New Roman"/>
          <w:sz w:val="20"/>
        </w:rPr>
        <w:t xml:space="preserve"> </w:t>
      </w:r>
      <w:r>
        <w:rPr>
          <w:rFonts w:ascii="Times New Roman;serif" w:hAnsi="Times New Roman;serif"/>
          <w:b w:val="false"/>
          <w:sz w:val="20"/>
        </w:rPr>
        <w:t>million and $95.4</w:t>
      </w:r>
      <w:r>
        <w:rPr>
          <w:rFonts w:ascii="Times New Roman" w:hAnsi="Times New Roman"/>
          <w:sz w:val="20"/>
        </w:rPr>
        <w:t xml:space="preserve"> </w:t>
      </w:r>
      <w:r>
        <w:rPr>
          <w:rFonts w:ascii="Times New Roman;serif" w:hAnsi="Times New Roman;serif"/>
          <w:b w:val="false"/>
          <w:sz w:val="20"/>
        </w:rPr>
        <w:t>million, respectively, of deferred revenue associated with the Kyowa Kirin Commercialization Agreement, of which $64.5</w:t>
      </w:r>
      <w:r>
        <w:rPr>
          <w:rFonts w:ascii="Times New Roman" w:hAnsi="Times New Roman"/>
          <w:sz w:val="20"/>
        </w:rPr>
        <w:t xml:space="preserve"> </w:t>
      </w:r>
      <w:r>
        <w:rPr>
          <w:rFonts w:ascii="Times New Roman;serif" w:hAnsi="Times New Roman;serif"/>
          <w:b w:val="false"/>
          <w:sz w:val="20"/>
        </w:rPr>
        <w:t xml:space="preserve">million relates to the U.S. license which is a unit of account under the scope of ASC Topic 808, </w:t>
      </w:r>
      <w:r>
        <w:rPr>
          <w:rFonts w:ascii="Times New Roman;serif" w:hAnsi="Times New Roman;serif"/>
          <w:b w:val="false"/>
          <w:i/>
          <w:sz w:val="20"/>
        </w:rPr>
        <w:t>Collaborative Arrangements</w:t>
      </w:r>
      <w:r>
        <w:rPr>
          <w:rFonts w:ascii="Times New Roman" w:hAnsi="Times New Roman"/>
          <w:sz w:val="20"/>
        </w:rPr>
        <w:t xml:space="preserve"> </w:t>
      </w:r>
      <w:r>
        <w:rPr>
          <w:rFonts w:ascii="Times New Roman;serif" w:hAnsi="Times New Roman;serif"/>
          <w:b w:val="false"/>
          <w:sz w:val="20"/>
        </w:rPr>
        <w:t>("Topic 808") and is not a performance obligation under Topic 606. The remaining balance of deferred revenue as of March 31, 2023 and June 30, 2022</w:t>
      </w:r>
      <w:r>
        <w:rPr>
          <w:rFonts w:ascii="Times New Roman" w:hAnsi="Times New Roman"/>
          <w:sz w:val="20"/>
        </w:rPr>
        <w:t xml:space="preserve"> </w:t>
      </w:r>
      <w:r>
        <w:rPr>
          <w:rFonts w:ascii="Times New Roman;serif" w:hAnsi="Times New Roman;serif"/>
          <w:b w:val="false"/>
          <w:sz w:val="20"/>
        </w:rPr>
        <w:t>of $1.6</w:t>
      </w:r>
      <w:r>
        <w:rPr>
          <w:rFonts w:ascii="Times New Roman" w:hAnsi="Times New Roman"/>
          <w:sz w:val="20"/>
        </w:rPr>
        <w:t xml:space="preserve"> </w:t>
      </w:r>
      <w:r>
        <w:rPr>
          <w:rFonts w:ascii="Times New Roman;serif" w:hAnsi="Times New Roman;serif"/>
          <w:b w:val="false"/>
          <w:sz w:val="20"/>
        </w:rPr>
        <w:t>million and $30.9</w:t>
      </w:r>
      <w:r>
        <w:rPr>
          <w:rFonts w:ascii="Times New Roman" w:hAnsi="Times New Roman"/>
          <w:sz w:val="20"/>
        </w:rPr>
        <w:t xml:space="preserve"> </w:t>
      </w:r>
      <w:r>
        <w:rPr>
          <w:rFonts w:ascii="Times New Roman;serif" w:hAnsi="Times New Roman;serif"/>
          <w:b w:val="false"/>
          <w:sz w:val="20"/>
        </w:rPr>
        <w:t>million, respectively, relates to the development services performance obligations which are under the scope of Topic 606. The decrease in deferred revenue comes as a result of our winding down of all zandelisib studies outside of Japan. We updated our estimated costs to complete each of the performance obligations, resulting in a higher progress towards completion based on the ratio of costs incurred to date to the total estimated costs. Additionally, during the three months ended December 31, 2022, we recognized revenue related to non-refundable payments for performance obligations that have not commenced and will no longer be initiated.</w:t>
      </w:r>
    </w:p>
    <w:p>
      <w:pPr>
        <w:pStyle w:val="TextBody"/>
        <w:spacing w:before="120" w:after="0"/>
        <w:jc w:val="left"/>
        <w:rPr>
          <w:rFonts w:ascii="Times New Roman" w:hAnsi="Times New Roman"/>
          <w:sz w:val="20"/>
        </w:rPr>
      </w:pPr>
      <w:r>
        <w:rPr>
          <w:rFonts w:ascii="Times New Roman;serif" w:hAnsi="Times New Roman;serif"/>
          <w:b w:val="false"/>
          <w:sz w:val="20"/>
        </w:rPr>
        <w:t>Our contract liabilities accounted for under Topic 606 relate to the amount of initial upfront consideration that was allocated to the development services performance obligations. Contract liabilities are recognized over the duration of the performance obligations based on the costs incurred relative to total expected costs.</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Revenues from Collaborators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contract inception, we assess whether the collaboration arrangements are within the scope of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Condensed Consolidated Balance Sheets, classified as either short-term or long-term deferred revenue based on our best estimate of when such amounts will be recognized.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sz w:val="20"/>
        </w:rPr>
      </w:pPr>
      <w:r>
        <w:rPr>
          <w:rFonts w:ascii="Times New Roman;serif" w:hAnsi="Times New Roman;serif"/>
          <w:b/>
          <w:sz w:val="20"/>
        </w:rPr>
        <w:t>Research and Development Costs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pStyle w:val="TextBody"/>
        <w:spacing w:before="240" w:after="0"/>
        <w:jc w:val="left"/>
        <w:rPr>
          <w:rFonts w:ascii="Times New Roman;serif" w:hAnsi="Times New Roman;serif"/>
          <w:b/>
          <w:sz w:val="20"/>
        </w:rPr>
      </w:pPr>
      <w:r>
        <w:rPr>
          <w:rFonts w:ascii="Times New Roman;serif" w:hAnsi="Times New Roman;serif"/>
          <w:b/>
          <w:sz w:val="20"/>
        </w:rPr>
        <w:t>Leases</w:t>
      </w:r>
    </w:p>
    <w:p>
      <w:pPr>
        <w:pStyle w:val="TextBody"/>
        <w:spacing w:before="120" w:after="0"/>
        <w:jc w:val="left"/>
        <w:rPr>
          <w:rFonts w:ascii="Times New Roman" w:hAnsi="Times New Roman"/>
          <w:sz w:val="20"/>
        </w:rPr>
      </w:pPr>
      <w:r>
        <w:rPr>
          <w:rFonts w:ascii="Times New Roman;serif" w:hAnsi="Times New Roman;serif"/>
          <w:b w:val="false"/>
          <w:sz w:val="20"/>
        </w:rPr>
        <w:t xml:space="preserve">We account for our leases under ASC Topic 842, </w:t>
      </w:r>
      <w:r>
        <w:rPr>
          <w:rFonts w:ascii="Times New Roman;serif" w:hAnsi="Times New Roman;serif"/>
          <w:b w:val="false"/>
          <w:i/>
          <w:sz w:val="20"/>
        </w:rPr>
        <w:t>Leases</w:t>
      </w:r>
      <w:r>
        <w:rPr>
          <w:rFonts w:ascii="Times New Roman" w:hAnsi="Times New Roman"/>
          <w:sz w:val="20"/>
        </w:rPr>
        <w:t xml:space="preserve"> </w:t>
      </w:r>
      <w:r>
        <w:rPr>
          <w:rFonts w:ascii="Times New Roman;serif" w:hAnsi="Times New Roman;serif"/>
          <w:b w:val="false"/>
          <w:sz w:val="20"/>
        </w:rPr>
        <w:t>(“Topic 842”). Leases which are identified within the scope of Topic 842 and which have a term greater than one year are recognized on our Condensed Consolidated Balance Sheets as right-of-use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Operating lease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operating lease expense when incurred.</w:t>
      </w:r>
    </w:p>
    <w:p>
      <w:pPr>
        <w:pStyle w:val="TextBody"/>
        <w:spacing w:before="240" w:after="0"/>
        <w:jc w:val="left"/>
        <w:rPr>
          <w:rFonts w:ascii="Times New Roman;serif" w:hAnsi="Times New Roman;serif"/>
          <w:b/>
          <w:sz w:val="20"/>
        </w:rPr>
      </w:pPr>
      <w:r>
        <w:rPr>
          <w:rFonts w:ascii="Times New Roman;serif" w:hAnsi="Times New Roman;serif"/>
          <w:b/>
          <w:sz w:val="20"/>
        </w:rPr>
        <w:t>Share-Based Compensation</w:t>
      </w:r>
    </w:p>
    <w:p>
      <w:pPr>
        <w:pStyle w:val="TextBody"/>
        <w:spacing w:before="120" w:after="0"/>
        <w:jc w:val="left"/>
        <w:rPr>
          <w:rFonts w:ascii="Times New Roman" w:hAnsi="Times New Roman"/>
          <w:sz w:val="20"/>
        </w:rPr>
      </w:pPr>
      <w:r>
        <w:rPr>
          <w:rFonts w:ascii="Times New Roman;serif" w:hAnsi="Times New Roman;serif"/>
          <w:b w:val="false"/>
          <w:sz w:val="20"/>
        </w:rPr>
        <w:t xml:space="preserve">Share-based compensation expense stock options and restricted stock units ("RSUs") granted to employees and directors is recognized in the Condensed Consolidated Statements of Operations based on estimated amounts. The cost of stock options is measured at the grant date, based on the estimated fair value of the stock option using the Black-Scholes valuation model, which incorporates various assumptions, including expected volatility, risk-free interest rate, the expected term of the award and the dividend yield on the underlying stock. Expected volatility is calculated based on the historical volatility of our stock over the expected option life and other appropriate factors. The expected option term is computed using the "simplified" method as permitted under the provisions of ASC Topic 718, </w:t>
      </w:r>
      <w:r>
        <w:rPr>
          <w:rFonts w:ascii="Times New Roman;serif" w:hAnsi="Times New Roman;serif"/>
          <w:b w:val="false"/>
          <w:i/>
          <w:sz w:val="20"/>
        </w:rPr>
        <w:t>Compensation - Stock Compensation</w:t>
      </w:r>
      <w:r>
        <w:rPr>
          <w:rFonts w:ascii="Times New Roman;serif" w:hAnsi="Times New Roman;serif"/>
          <w:b w:val="false"/>
          <w:sz w:val="20"/>
        </w:rPr>
        <w:t>. We use the simplified method to calculate the expected term of stock options and similar instruments, as we do not have sufficient historical exercise data to provide a reasonable basis upon which to estimate the expected term. Risk-free interest rates are calculated based on continuously compounded risk-free rates for the appropriate term. The dividend yield is assumed to be zero as we have never paid or declared any cash dividends and do not intend to do so in the foreseeable future. For RSUs, we estimate the grant date fair value using our closing stock price on the date of grant. The estimated fair value of stock options and RSUs is amortized on a straight-line basis over the requisite service period, adjusted for actual forfeitures at the time they occur. The requisite service period is generally the time over which our share-based awards vest.</w:t>
      </w:r>
    </w:p>
    <w:p>
      <w:pPr>
        <w:pStyle w:val="TextBody"/>
        <w:spacing w:before="240" w:after="0"/>
        <w:jc w:val="left"/>
        <w:rPr>
          <w:rFonts w:ascii="Times New Roman;serif" w:hAnsi="Times New Roman;serif"/>
          <w:b/>
          <w:sz w:val="20"/>
        </w:rPr>
      </w:pPr>
      <w:r>
        <w:rPr>
          <w:rFonts w:ascii="Times New Roman;serif" w:hAnsi="Times New Roman;serif"/>
          <w:b/>
          <w:sz w:val="20"/>
        </w:rPr>
        <w:t>Income Taxes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March 31, 2023,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pStyle w:val="TextBody"/>
        <w:spacing w:before="240" w:after="0"/>
        <w:jc w:val="left"/>
        <w:rPr>
          <w:rFonts w:ascii="Times New Roman" w:hAnsi="Times New Roman"/>
          <w:sz w:val="20"/>
        </w:rPr>
      </w:pPr>
      <w:r>
        <w:rPr>
          <w:rFonts w:ascii="Times New Roman;serif" w:hAnsi="Times New Roman;serif"/>
          <w:b w:val="false"/>
          <w:sz w:val="20"/>
        </w:rPr>
        <w:t>There have been no</w:t>
      </w:r>
      <w:r>
        <w:rPr>
          <w:rFonts w:ascii="Times New Roman" w:hAnsi="Times New Roman"/>
          <w:sz w:val="20"/>
        </w:rPr>
        <w:t xml:space="preserve"> </w:t>
      </w:r>
      <w:r>
        <w:rPr>
          <w:rFonts w:ascii="Times New Roman;serif" w:hAnsi="Times New Roman;serif"/>
          <w:b w:val="false"/>
          <w:sz w:val="20"/>
        </w:rPr>
        <w:t>material changes in our unrecognized tax benefits since June 30, 2022, and, as such, the disclosures included in our 2022 Annual Report continue to be relevant for the nine months ended March 31,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sz w:val="20"/>
        </w:rPr>
      </w:pPr>
      <w:r>
        <w:rPr>
          <w:rFonts w:ascii="Times New Roman;serif" w:hAnsi="Times New Roman;serif"/>
          <w:b/>
          <w:sz w:val="20"/>
        </w:rPr>
        <w:t>Recent Accounting Pronouncement</w:t>
      </w:r>
    </w:p>
    <w:p>
      <w:pPr>
        <w:pStyle w:val="TextBody"/>
        <w:spacing w:before="120" w:after="0"/>
        <w:jc w:val="left"/>
        <w:rPr>
          <w:rFonts w:ascii="Times New Roman" w:hAnsi="Times New Roman"/>
          <w:sz w:val="20"/>
        </w:rPr>
      </w:pPr>
      <w:r>
        <w:rPr>
          <w:rFonts w:ascii="Times New Roman;serif" w:hAnsi="Times New Roman;serif"/>
          <w:b w:val="false"/>
          <w:sz w:val="20"/>
        </w:rPr>
        <w:t xml:space="preserve">In June 2016, the Financial Accounting Standards Board issued Accounting Standards Update 2016-13, </w:t>
      </w:r>
      <w:r>
        <w:rPr>
          <w:rFonts w:ascii="Times New Roman;serif" w:hAnsi="Times New Roman;serif"/>
          <w:b w:val="false"/>
          <w:i/>
          <w:sz w:val="20"/>
        </w:rPr>
        <w:t xml:space="preserve">Financial Instruments–Credit Losses (Topic 326): Measurement of Credit Losses on Financial Instruments </w:t>
      </w:r>
      <w:r>
        <w:rPr>
          <w:rFonts w:ascii="Times New Roman;serif" w:hAnsi="Times New Roman;serif"/>
          <w:b w:val="false"/>
          <w:sz w:val="20"/>
        </w:rPr>
        <w:t>("ASU 2016-13"), as amended. The amendments in ASU 2016-13 require, among other things, financial assets measured at amortized cost basis to be presented at the net amount expected to be collected as compared to previous U.S. GAAP which delayed recognition until it was probable a loss had been incurred. The amendments in ASU 2016-13 are effective for fiscal years beginning after December 15, 2022, including interim periods within those fiscal years, with early adoption permitted. We are currently evaluating the impact that adoption of ASU 2016-13 will have on our financial statements and related disclosures.</w:t>
      </w:r>
    </w:p>
    <w:p>
      <w:pPr>
        <w:pStyle w:val="TextBody"/>
        <w:spacing w:before="240" w:after="0"/>
        <w:jc w:val="left"/>
        <w:rPr>
          <w:rFonts w:ascii="Times New Roman;serif" w:hAnsi="Times New Roman;serif"/>
          <w:b/>
          <w:sz w:val="20"/>
        </w:rPr>
      </w:pPr>
      <w:r>
        <w:rPr>
          <w:rFonts w:ascii="Times New Roman;serif" w:hAnsi="Times New Roman;serif"/>
          <w:b/>
          <w:sz w:val="20"/>
        </w:rPr>
        <w:t>Note 2. Fair Value Measurements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measured at fair value on a recurring basis and are classified as Level 1 as defined by the fair value hierarchy.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May 2018, we issued warrants in connection with our private placement of shares of common stock. Pursuant to the terms of the warrants, we could be required to settle the warrants in cash in the event of an acquisition of us and, as a result, the warrants are required to be measured at fair value and reported as a liability in the Condensed Consolidated Balance Sheet. We recorded the fair value of the warrants upon issuance using the Black-Scholes valuation model and are required to revalue the warrants at each reporting date with any changes in fair value recorded on our Condensed Consolidated Statement of Operations. The valuation of the warrants is considered under Level 3 of the fair value hierarchy due to the need to use assumptions in the valuation that are both significant to the fair value measurement and unobservable. Inputs used to determine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(decreases) in the fair value of the underlying stock and estimated term would result in a directionally similar impact to the fair value measurement. The change in the fair value of the Level 3 warrant liability is reflected in the Condensed Consolidated Statements of Operations for the three and nine months ended March 31, 2023 and 2022, respectively.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calculate the fair value of the warrant liability, the following assumptions were used for the periods presented:</w:t>
      </w:r>
    </w:p>
    <w:p>
      <w:pPr>
        <w:pStyle w:val="TextBody"/>
        <w:spacing w:before="0" w:after="0"/>
        <w:jc w:val="left"/>
        <w:rPr/>
      </w:pPr>
      <w:r>
        <w:rPr/>
        <w:t> </w:t>
      </w:r>
    </w:p>
    <w:tbl>
      <w:tblPr>
        <w:tblW w:w="4692" w:type="dxa"/>
        <w:jc w:val="left"/>
        <w:tblInd w:w="0" w:type="dxa"/>
        <w:tblCellMar>
          <w:top w:w="28" w:type="dxa"/>
          <w:left w:w="28" w:type="dxa"/>
          <w:bottom w:w="28" w:type="dxa"/>
          <w:right w:w="28" w:type="dxa"/>
        </w:tblCellMar>
      </w:tblPr>
      <w:tblGrid>
        <w:gridCol w:w="2176"/>
        <w:gridCol w:w="146"/>
        <w:gridCol w:w="266"/>
        <w:gridCol w:w="589"/>
        <w:gridCol w:w="271"/>
        <w:gridCol w:w="146"/>
        <w:gridCol w:w="211"/>
        <w:gridCol w:w="571"/>
        <w:gridCol w:w="316"/>
      </w:tblGrid>
      <w:tr>
        <w:trPr/>
        <w:tc>
          <w:tcPr>
            <w:tcW w:w="21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17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June 30,</w:t>
              <w:b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(years)</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0.9</w:t>
            </w:r>
          </w:p>
        </w:tc>
        <w:tc>
          <w:tcPr>
            <w:tcW w:w="316" w:type="dxa"/>
            <w:tcBorders/>
            <w:shd w:fill="auto" w:val="clear"/>
            <w:vAlign w:val="center"/>
          </w:tcPr>
          <w:p>
            <w:pPr>
              <w:pStyle w:val="TableContents"/>
              <w:spacing w:before="0" w:after="0"/>
              <w:ind w:left="0" w:right="0" w:hanging="0"/>
              <w:jc w:val="left"/>
              <w:rPr/>
            </w:pPr>
            <w:r>
              <w:rPr/>
              <w:t> </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91.5</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Black-Scholes Fair Value</w:t>
            </w:r>
          </w:p>
        </w:tc>
        <w:tc>
          <w:tcPr>
            <w:tcW w:w="146" w:type="dxa"/>
            <w:tcBorders/>
            <w:shd w:fill="auto" w:val="clear"/>
            <w:vAlign w:val="center"/>
          </w:tcPr>
          <w:p>
            <w:pPr>
              <w:pStyle w:val="TableContents"/>
              <w:spacing w:before="0" w:after="0"/>
              <w:ind w:left="0" w:right="0" w:hanging="0"/>
              <w:jc w:val="left"/>
              <w:rPr/>
            </w:pPr>
            <w:r>
              <w:rPr/>
              <w:t> </w:t>
            </w:r>
          </w:p>
        </w:tc>
        <w:tc>
          <w:tcPr>
            <w:tcW w:w="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9" w:type="dxa"/>
            <w:tcBorders/>
            <w:shd w:fill="auto" w:val="clear"/>
            <w:vAlign w:val="center"/>
          </w:tcPr>
          <w:p>
            <w:pPr>
              <w:pStyle w:val="TableContents"/>
              <w:spacing w:before="0" w:after="0"/>
              <w:ind w:left="0" w:right="0" w:hanging="0"/>
              <w:jc w:val="right"/>
              <w:rPr/>
            </w:pPr>
            <w:r>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following table sets forth a summary of changes in the estimated fair value of our Level 3 warrant liability for the nine months ended March 31, 2023 and 2022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4837"/>
        <w:gridCol w:w="146"/>
        <w:gridCol w:w="518"/>
        <w:gridCol w:w="1551"/>
        <w:gridCol w:w="407"/>
        <w:gridCol w:w="359"/>
        <w:gridCol w:w="518"/>
        <w:gridCol w:w="1809"/>
        <w:gridCol w:w="394"/>
      </w:tblGrid>
      <w:tr>
        <w:trPr/>
        <w:tc>
          <w:tcPr>
            <w:tcW w:w="483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8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r>
      <w:tr>
        <w:trPr/>
        <w:tc>
          <w:tcPr>
            <w:tcW w:w="48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6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of Warrants Using Significant Unobservable Inputs (Level 3)</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3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232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3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July 1,</w:t>
            </w:r>
          </w:p>
        </w:tc>
        <w:tc>
          <w:tcPr>
            <w:tcW w:w="146"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w:t>
            </w:r>
          </w:p>
        </w:tc>
        <w:tc>
          <w:tcPr>
            <w:tcW w:w="407" w:type="dxa"/>
            <w:tcBorders/>
            <w:shd w:fill="auto" w:val="cle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51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22,355</w:t>
            </w:r>
          </w:p>
        </w:tc>
        <w:tc>
          <w:tcPr>
            <w:tcW w:w="394" w:type="dxa"/>
            <w:tcBorders/>
            <w:shd w:fill="auto" w:val="clear"/>
            <w:vAlign w:val="center"/>
          </w:tcPr>
          <w:p>
            <w:pPr>
              <w:pStyle w:val="TableContents"/>
              <w:spacing w:before="0" w:after="0"/>
              <w:ind w:left="0" w:right="0" w:firstLine="200"/>
              <w:jc w:val="left"/>
              <w:rPr/>
            </w:pPr>
            <w:r>
              <w:rPr/>
              <w:t> </w:t>
            </w:r>
          </w:p>
        </w:tc>
      </w:tr>
      <w:tr>
        <w:trPr/>
        <w:tc>
          <w:tcPr>
            <w:tcW w:w="483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 in estimated fair value of liability classified warrants</w:t>
            </w:r>
          </w:p>
        </w:tc>
        <w:tc>
          <w:tcPr>
            <w:tcW w:w="146" w:type="dxa"/>
            <w:tcBorders/>
            <w:shd w:fill="auto" w:val="cle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w:t>
            </w:r>
          </w:p>
        </w:tc>
        <w:tc>
          <w:tcPr>
            <w:tcW w:w="4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59" w:type="dxa"/>
            <w:tcBorders/>
            <w:shd w:fill="auto" w:val="clear"/>
            <w:vAlign w:val="center"/>
          </w:tcPr>
          <w:p>
            <w:pPr>
              <w:pStyle w:val="TableContents"/>
              <w:spacing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(20,819</w:t>
            </w:r>
          </w:p>
        </w:tc>
        <w:tc>
          <w:tcPr>
            <w:tcW w:w="3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837"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at March 31,</w:t>
            </w:r>
          </w:p>
        </w:tc>
        <w:tc>
          <w:tcPr>
            <w:tcW w:w="146" w:type="dxa"/>
            <w:tcBorders/>
            <w:shd w:fill="auto" w:val="clear"/>
            <w:vAlign w:val="center"/>
          </w:tcPr>
          <w:p>
            <w:pPr>
              <w:pStyle w:val="TableContents"/>
              <w:spacing w:before="0" w:after="0"/>
              <w:ind w:left="0" w:right="0" w:hanging="0"/>
              <w:jc w:val="left"/>
              <w:rPr/>
            </w:pPr>
            <w:r>
              <w:rPr/>
              <w:t> </w:t>
            </w:r>
          </w:p>
        </w:tc>
        <w:tc>
          <w:tcPr>
            <w:tcW w:w="5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4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9" w:type="dxa"/>
            <w:tcBorders/>
            <w:shd w:fill="auto" w:val="clear"/>
            <w:vAlign w:val="center"/>
          </w:tcPr>
          <w:p>
            <w:pPr>
              <w:pStyle w:val="TableContents"/>
              <w:spacing w:before="0" w:after="0"/>
              <w:ind w:left="0" w:right="0" w:hanging="0"/>
              <w:jc w:val="left"/>
              <w:rPr/>
            </w:pPr>
            <w:r>
              <w:rPr/>
              <w:t> </w:t>
            </w:r>
          </w:p>
        </w:tc>
        <w:tc>
          <w:tcPr>
            <w:tcW w:w="51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8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1,536</w:t>
            </w:r>
          </w:p>
        </w:tc>
        <w:tc>
          <w:tcPr>
            <w:tcW w:w="3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3. Short-Term Investments</w:t>
      </w:r>
    </w:p>
    <w:p>
      <w:pPr>
        <w:pStyle w:val="TextBody"/>
        <w:spacing w:before="120" w:after="0"/>
        <w:jc w:val="left"/>
        <w:rPr>
          <w:rFonts w:ascii="Times New Roman" w:hAnsi="Times New Roman"/>
          <w:sz w:val="20"/>
        </w:rPr>
      </w:pPr>
      <w:r>
        <w:rPr>
          <w:rFonts w:ascii="Times New Roman;serif" w:hAnsi="Times New Roman;serif"/>
          <w:b w:val="false"/>
          <w:sz w:val="20"/>
        </w:rPr>
        <w:t>As of March 31, 2023, and June 30, 2022, our short-term investments consisted of $103.2</w:t>
      </w:r>
      <w:r>
        <w:rPr>
          <w:rFonts w:ascii="Times New Roman" w:hAnsi="Times New Roman"/>
          <w:sz w:val="20"/>
        </w:rPr>
        <w:t xml:space="preserve"> </w:t>
      </w:r>
      <w:r>
        <w:rPr>
          <w:rFonts w:ascii="Times New Roman;serif" w:hAnsi="Times New Roman;serif"/>
          <w:b w:val="false"/>
          <w:sz w:val="20"/>
        </w:rPr>
        <w:t>million and $137.5</w:t>
      </w:r>
      <w:r>
        <w:rPr>
          <w:rFonts w:ascii="Times New Roman" w:hAnsi="Times New Roman"/>
          <w:sz w:val="20"/>
        </w:rPr>
        <w:t xml:space="preserve"> </w:t>
      </w:r>
      <w:r>
        <w:rPr>
          <w:rFonts w:ascii="Times New Roman;serif" w:hAnsi="Times New Roman;serif"/>
          <w:b w:val="false"/>
          <w:sz w:val="20"/>
        </w:rPr>
        <w:t>million, respectively, in U.S. government securities. The short-term investments held as of March 31, 2023 and June 30, 2022 had maturity dates of less than one year, are considered to be “held to maturity” and are carried at amortized cost. As of March 31, 2023, and June 30, 2022, the gross holding gains and losses were immaterial.</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sz w:val="20"/>
        </w:rPr>
      </w:pPr>
      <w:r>
        <w:rPr>
          <w:rFonts w:ascii="Times New Roman;serif" w:hAnsi="Times New Roman;serif"/>
          <w:b/>
          <w:sz w:val="20"/>
        </w:rPr>
        <w:t>Note 4. License Agreements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Kyowa Kirin License, Development and Commercialization Agreement</w:t>
      </w:r>
    </w:p>
    <w:p>
      <w:pPr>
        <w:pStyle w:val="TextBody"/>
        <w:spacing w:before="120" w:after="0"/>
        <w:jc w:val="left"/>
        <w:rPr>
          <w:rFonts w:ascii="Times New Roman" w:hAnsi="Times New Roman"/>
          <w:sz w:val="20"/>
        </w:rPr>
      </w:pPr>
      <w:r>
        <w:rPr>
          <w:rFonts w:ascii="Times New Roman;serif" w:hAnsi="Times New Roman;serif"/>
          <w:b w:val="false"/>
          <w:sz w:val="20"/>
        </w:rPr>
        <w:t>In April 2020, we entered into the</w:t>
      </w:r>
      <w:r>
        <w:rPr>
          <w:rFonts w:ascii="Times New Roman" w:hAnsi="Times New Roman"/>
          <w:sz w:val="20"/>
        </w:rPr>
        <w:t xml:space="preserve"> </w:t>
      </w:r>
      <w:r>
        <w:rPr>
          <w:rFonts w:ascii="Times New Roman;serif" w:hAnsi="Times New Roman;serif"/>
          <w:b w:val="false"/>
          <w:sz w:val="20"/>
        </w:rPr>
        <w:t>Kyowa Kirin Commercialization Agreement under which we granted to Kyowa Kirin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Kyowa Kirin Commercialization Agreement), sublicensable, payment-bearing, license under certain patents and know-how controlled by us to develop and commercialize zandelisib and any pharmaceutical product containing zandelisib for all human indications in countries outside of the U.S. (the “Ex-U.S." and the “Ex-U.S. License”). Kyowa Kirin granted to us a co-exclusive, sublicensable, license under certain patents and know-how controlled by Kyowa Kirin to develop and commercialize zandelisib for all human indications in the U.S., and a co-exclusive, sublicensable, royalty-free, fully paid license under certain patents and know-how controlled by Kyowa Kirin to perform our obligations in the Ex-U.S. under the Kyowa Kirin Commercialization Agreement. Kyowa Kirin paid us an initial payment of $100.0</w:t>
      </w:r>
      <w:r>
        <w:rPr>
          <w:rFonts w:ascii="Times New Roman" w:hAnsi="Times New Roman"/>
          <w:sz w:val="20"/>
        </w:rPr>
        <w:t xml:space="preserve"> </w:t>
      </w:r>
      <w:r>
        <w:rPr>
          <w:rFonts w:ascii="Times New Roman;serif" w:hAnsi="Times New Roman;serif"/>
          <w:b w:val="false"/>
          <w:sz w:val="20"/>
        </w:rPr>
        <w:t>million.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Kyowa Kirin is responsible for the development and commercialization of zandelisib in the Ex-U.S. and, subject to certain exceptions, is solely responsible for all costs related thereto. We provide to Kyowa Kirin certain drug supplies necessary for the development and commercialization of zandelisib in the Ex-U.S., with the understanding that Kyowa Kirin will assume responsibility for manufacturing for the Ex-U.S. as soon as practicable.</w:t>
      </w:r>
    </w:p>
    <w:p>
      <w:pPr>
        <w:pStyle w:val="TextBody"/>
        <w:spacing w:before="120" w:after="0"/>
        <w:jc w:val="left"/>
        <w:rPr>
          <w:rFonts w:ascii="Times New Roman" w:hAnsi="Times New Roman"/>
          <w:sz w:val="20"/>
        </w:rPr>
      </w:pPr>
      <w:r>
        <w:rPr>
          <w:rFonts w:ascii="Times New Roman;serif" w:hAnsi="Times New Roman;serif"/>
          <w:b w:val="false"/>
          <w:sz w:val="20"/>
        </w:rPr>
        <w:t>We assessed the Kyowa Kirin Commercialization Agreement in accordance with Topic 808 and Topic 606 and determined that our obligations comprise the U.S. License, the Ex-U.S. License, and development services (the “Development Services”). We determined that the Kyowa Kirin Commercialization Agreement is a collaborative arrangement in accordance with Topic 808 that contains multiple units of account, as we and Kyowa Kirin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As discussed in Note 1, we and Kyowa Kirin jointly decided to discontinue zandelisib development in the U.S. As of March 31, 2023, we updated our assessment of the total transaction price from the Kyowa Kirin Commercialization Agreement to be $217.0</w:t>
      </w:r>
      <w:r>
        <w:rPr>
          <w:rFonts w:ascii="Times New Roman" w:hAnsi="Times New Roman"/>
          <w:sz w:val="20"/>
        </w:rPr>
        <w:t xml:space="preserve"> </w:t>
      </w:r>
      <w:r>
        <w:rPr>
          <w:rFonts w:ascii="Times New Roman;serif" w:hAnsi="Times New Roman;serif"/>
          <w:b w:val="false"/>
          <w:sz w:val="20"/>
        </w:rPr>
        <w:t>million, comprised of the upfront payment of $100.0</w:t>
      </w:r>
      <w:r>
        <w:rPr>
          <w:rFonts w:ascii="Times New Roman" w:hAnsi="Times New Roman"/>
          <w:sz w:val="20"/>
        </w:rPr>
        <w:t xml:space="preserve"> </w:t>
      </w:r>
      <w:r>
        <w:rPr>
          <w:rFonts w:ascii="Times New Roman;serif" w:hAnsi="Times New Roman;serif"/>
          <w:b w:val="false"/>
          <w:sz w:val="20"/>
        </w:rPr>
        <w:t>million, milestone payments of $20.0</w:t>
      </w:r>
      <w:r>
        <w:rPr>
          <w:rFonts w:ascii="Times New Roman" w:hAnsi="Times New Roman"/>
          <w:sz w:val="20"/>
        </w:rPr>
        <w:t xml:space="preserve"> </w:t>
      </w:r>
      <w:r>
        <w:rPr>
          <w:rFonts w:ascii="Times New Roman;serif" w:hAnsi="Times New Roman;serif"/>
          <w:b w:val="false"/>
          <w:sz w:val="20"/>
        </w:rPr>
        <w:t>million, estimated development cost-sharing of $91.8</w:t>
      </w:r>
      <w:r>
        <w:rPr>
          <w:rFonts w:ascii="Times New Roman" w:hAnsi="Times New Roman"/>
          <w:sz w:val="20"/>
        </w:rPr>
        <w:t xml:space="preserve"> </w:t>
      </w:r>
      <w:r>
        <w:rPr>
          <w:rFonts w:ascii="Times New Roman;serif" w:hAnsi="Times New Roman;serif"/>
          <w:b w:val="false"/>
          <w:sz w:val="20"/>
        </w:rPr>
        <w:t>million, and deferred revenue of $5.2</w:t>
      </w:r>
      <w:r>
        <w:rPr>
          <w:rFonts w:ascii="Times New Roman" w:hAnsi="Times New Roman"/>
          <w:sz w:val="20"/>
        </w:rPr>
        <w:t xml:space="preserve"> </w:t>
      </w:r>
      <w:r>
        <w:rPr>
          <w:rFonts w:ascii="Times New Roman;serif" w:hAnsi="Times New Roman;serif"/>
          <w:b w:val="false"/>
          <w:sz w:val="20"/>
        </w:rPr>
        <w:t>million. As of March 31, 2023, the updated assessment reflects a decrease in estimated variable consideration related to development cost sharing of $143.1</w:t>
      </w:r>
      <w:r>
        <w:rPr>
          <w:rFonts w:ascii="Times New Roman" w:hAnsi="Times New Roman"/>
          <w:sz w:val="20"/>
        </w:rPr>
        <w:t xml:space="preserve"> </w:t>
      </w:r>
      <w:r>
        <w:rPr>
          <w:rFonts w:ascii="Times New Roman;serif" w:hAnsi="Times New Roman;serif"/>
          <w:b w:val="false"/>
          <w:sz w:val="20"/>
        </w:rPr>
        <w:t>million from June 30, 2022. In December 2022, we announced our plan to discontinue the global development of zandelisib outside of Japan. As a result, we decreased our estimate for variable consideration related to development cost sharing. During the three months ended December 31, 2022, we recognized revenue of $16.6</w:t>
      </w:r>
      <w:r>
        <w:rPr>
          <w:rFonts w:ascii="Times New Roman" w:hAnsi="Times New Roman"/>
          <w:sz w:val="20"/>
        </w:rPr>
        <w:t xml:space="preserve"> </w:t>
      </w:r>
      <w:r>
        <w:rPr>
          <w:rFonts w:ascii="Times New Roman;serif" w:hAnsi="Times New Roman;serif"/>
          <w:b w:val="false"/>
          <w:sz w:val="20"/>
        </w:rPr>
        <w:t>million from the change in estimate. Additionally, during the three months ended December 31, 2022, we recognized $8.6</w:t>
      </w:r>
      <w:r>
        <w:rPr>
          <w:rFonts w:ascii="Times New Roman" w:hAnsi="Times New Roman"/>
          <w:sz w:val="20"/>
        </w:rPr>
        <w:t xml:space="preserve"> </w:t>
      </w:r>
      <w:r>
        <w:rPr>
          <w:rFonts w:ascii="Times New Roman;serif" w:hAnsi="Times New Roman;serif"/>
          <w:b w:val="false"/>
          <w:sz w:val="20"/>
        </w:rPr>
        <w:t>million of revenue related to non-refundable payments for performance obligations that have not commenced and will no longer be initiated.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pStyle w:val="TextBody"/>
        <w:spacing w:before="120" w:after="0"/>
        <w:jc w:val="left"/>
        <w:rPr>
          <w:rFonts w:ascii="Times New Roman" w:hAnsi="Times New Roman"/>
          <w:sz w:val="20"/>
        </w:rPr>
      </w:pPr>
      <w:r>
        <w:rPr>
          <w:rFonts w:ascii="Times New Roman;serif" w:hAnsi="Times New Roman;serif"/>
          <w:b w:val="false"/>
          <w:sz w:val="20"/>
        </w:rPr>
        <w:t>We allocated the transaction price of the Ex-U.S. License and Development Services performance obligations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determined that control of the U.S. License and Ex-U.S. License were transferred to Kyowa Kirin during the year ended June 30, 2020, and recognized revenue of $21.0</w:t>
      </w:r>
      <w:r>
        <w:rPr>
          <w:rFonts w:ascii="Times New Roman" w:hAnsi="Times New Roman"/>
          <w:sz w:val="20"/>
        </w:rPr>
        <w:t xml:space="preserve"> </w:t>
      </w:r>
      <w:r>
        <w:rPr>
          <w:rFonts w:ascii="Times New Roman;serif" w:hAnsi="Times New Roman;serif"/>
          <w:b w:val="false"/>
          <w:sz w:val="20"/>
        </w:rPr>
        <w:t>million related to the Ex-U.S. License. The $64.5</w:t>
      </w:r>
      <w:r>
        <w:rPr>
          <w:rFonts w:ascii="Times New Roman" w:hAnsi="Times New Roman"/>
          <w:sz w:val="20"/>
        </w:rPr>
        <w:t xml:space="preserve"> </w:t>
      </w:r>
      <w:r>
        <w:rPr>
          <w:rFonts w:ascii="Times New Roman;serif" w:hAnsi="Times New Roman;serif"/>
          <w:b w:val="false"/>
          <w:sz w:val="20"/>
        </w:rPr>
        <w:t>million transaction price allocated to the U.S. License obligation accounted for under Topic 808 is included as non-current deferred revenue. As described in Note 1 we and Kyowa Kirin intend to terminate the Kyowa Kirin Commercialization Agreement. As of March 31, 2023 and June 30, 2022, we have deferred revenue of $1.6</w:t>
      </w:r>
      <w:r>
        <w:rPr>
          <w:rFonts w:ascii="Times New Roman" w:hAnsi="Times New Roman"/>
          <w:sz w:val="20"/>
        </w:rPr>
        <w:t xml:space="preserve"> </w:t>
      </w:r>
      <w:r>
        <w:rPr>
          <w:rFonts w:ascii="Times New Roman;serif" w:hAnsi="Times New Roman;serif"/>
          <w:b w:val="false"/>
          <w:sz w:val="20"/>
        </w:rPr>
        <w:t>million and $30.9</w:t>
      </w:r>
      <w:r>
        <w:rPr>
          <w:rFonts w:ascii="Times New Roman" w:hAnsi="Times New Roman"/>
          <w:sz w:val="20"/>
        </w:rPr>
        <w:t xml:space="preserve"> </w:t>
      </w:r>
      <w:r>
        <w:rPr>
          <w:rFonts w:ascii="Times New Roman;serif" w:hAnsi="Times New Roman;serif"/>
          <w:b w:val="false"/>
          <w:sz w:val="20"/>
        </w:rPr>
        <w:t>million, respectively, related to the transaction price allocated to the Development Services performance obligations and are recognizing this revenue based on the proportional performance of these development activities, which we expect to recognize through fiscal year 2024.</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Presage License Agreement</w:t>
      </w:r>
    </w:p>
    <w:p>
      <w:pPr>
        <w:pStyle w:val="TextBody"/>
        <w:spacing w:before="120" w:after="0"/>
        <w:jc w:val="left"/>
        <w:rPr>
          <w:rFonts w:ascii="Times New Roman" w:hAnsi="Times New Roman"/>
          <w:sz w:val="20"/>
        </w:rPr>
      </w:pPr>
      <w:r>
        <w:rPr>
          <w:rFonts w:ascii="Times New Roman;serif" w:hAnsi="Times New Roman;serif"/>
          <w:b w:val="false"/>
          <w:sz w:val="20"/>
        </w:rPr>
        <w:t>In September 2017, we entered into a license agreement with Presage Biosciences, Inc. (“Presage”). Under the terms of such license agreement (the “Presage License Agreement”), Presage granted to us exclusive worldwide rights to develop, manufacture and commercialize voruciclib, a clinical-stage, oral and selective CDK inhibitor, and related compounds. In exchange, we paid $2.9</w:t>
      </w:r>
      <w:r>
        <w:rPr>
          <w:rFonts w:ascii="Times New Roman" w:hAnsi="Times New Roman"/>
          <w:sz w:val="20"/>
        </w:rPr>
        <w:t xml:space="preserve"> </w:t>
      </w:r>
      <w:r>
        <w:rPr>
          <w:rFonts w:ascii="Times New Roman;serif" w:hAnsi="Times New Roman;serif"/>
          <w:b w:val="false"/>
          <w:sz w:val="20"/>
        </w:rPr>
        <w:t>million. With respect to the first indication, an incremental $2.0</w:t>
      </w:r>
      <w:r>
        <w:rPr>
          <w:rFonts w:ascii="Times New Roman" w:hAnsi="Times New Roman"/>
          <w:sz w:val="20"/>
        </w:rPr>
        <w:t xml:space="preserve"> </w:t>
      </w:r>
      <w:r>
        <w:rPr>
          <w:rFonts w:ascii="Times New Roman;serif" w:hAnsi="Times New Roman;serif"/>
          <w:b w:val="false"/>
          <w:sz w:val="20"/>
        </w:rPr>
        <w:t>million payment, due upon dosing of the first subject in the first registration trial, will be owed to Presage, for total payments of $4.9</w:t>
      </w:r>
      <w:r>
        <w:rPr>
          <w:rFonts w:ascii="Times New Roman" w:hAnsi="Times New Roman"/>
          <w:sz w:val="20"/>
        </w:rPr>
        <w:t xml:space="preserve"> </w:t>
      </w:r>
      <w:r>
        <w:rPr>
          <w:rFonts w:ascii="Times New Roman;serif" w:hAnsi="Times New Roman;serif"/>
          <w:b w:val="false"/>
          <w:sz w:val="20"/>
        </w:rPr>
        <w:t>million prior to receipt of marketing approval of the first indication in the U.S., E.U. or Japan. Additional potential payments of up to $179</w:t>
      </w:r>
      <w:r>
        <w:rPr>
          <w:rFonts w:ascii="Times New Roman" w:hAnsi="Times New Roman"/>
          <w:sz w:val="20"/>
        </w:rPr>
        <w:t xml:space="preserve"> </w:t>
      </w:r>
      <w:r>
        <w:rPr>
          <w:rFonts w:ascii="Times New Roman;serif" w:hAnsi="Times New Roman;serif"/>
          <w:b w:val="false"/>
          <w:sz w:val="20"/>
        </w:rPr>
        <w:t>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w:t>
      </w:r>
    </w:p>
    <w:p>
      <w:pPr>
        <w:pStyle w:val="TextBody"/>
        <w:spacing w:before="240" w:after="0"/>
        <w:jc w:val="left"/>
        <w:rPr>
          <w:rFonts w:ascii="Times New Roman;serif" w:hAnsi="Times New Roman;serif"/>
          <w:b/>
          <w:sz w:val="20"/>
        </w:rPr>
      </w:pPr>
      <w:r>
        <w:rPr>
          <w:rFonts w:ascii="Times New Roman;serif" w:hAnsi="Times New Roman;serif"/>
          <w:b/>
          <w:sz w:val="20"/>
        </w:rPr>
        <w:t>Note 5. BeiGene Collaboration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 With the discontinuation of the zandelisib program outside of Japan, this clinical collaboration will be concluding with the discontinuation of the Phase 1b trial.</w:t>
      </w:r>
    </w:p>
    <w:p>
      <w:pPr>
        <w:pStyle w:val="TextBody"/>
        <w:spacing w:before="240" w:after="0"/>
        <w:jc w:val="left"/>
        <w:rPr>
          <w:rFonts w:ascii="Times New Roman;serif" w:hAnsi="Times New Roman;serif"/>
          <w:b/>
          <w:sz w:val="20"/>
        </w:rPr>
      </w:pPr>
      <w:r>
        <w:rPr>
          <w:rFonts w:ascii="Times New Roman;serif" w:hAnsi="Times New Roman;serif"/>
          <w:b/>
          <w:sz w:val="20"/>
        </w:rPr>
        <w:t>Note 6. Net Loss Per Share</w:t>
      </w:r>
    </w:p>
    <w:p>
      <w:pPr>
        <w:pStyle w:val="TextBody"/>
        <w:spacing w:before="120" w:after="0"/>
        <w:jc w:val="left"/>
        <w:rPr>
          <w:rFonts w:ascii="Times New Roman" w:hAnsi="Times New Roman"/>
          <w:sz w:val="20"/>
        </w:rPr>
      </w:pPr>
      <w:r>
        <w:rPr>
          <w:rFonts w:ascii="Times New Roman;serif" w:hAnsi="Times New Roman;serif"/>
          <w:b w:val="false"/>
          <w:sz w:val="20"/>
        </w:rPr>
        <w:t>Basic and diluted net loss per share are computed using the weighted average number of shares of common stock outstanding during the period, less any shares subject to repurchase or forfeiture. There were no</w:t>
      </w:r>
      <w:r>
        <w:rPr>
          <w:rFonts w:ascii="Times New Roman" w:hAnsi="Times New Roman"/>
          <w:sz w:val="20"/>
        </w:rPr>
        <w:t xml:space="preserve"> </w:t>
      </w:r>
      <w:r>
        <w:rPr>
          <w:rFonts w:ascii="Times New Roman;serif" w:hAnsi="Times New Roman;serif"/>
          <w:b w:val="false"/>
          <w:sz w:val="20"/>
        </w:rPr>
        <w:t>shares of common stock subject to repurchase or forfeiture for the three and nine months ended March 31, 2023 and 2022. Diluted net loss per share is computed based on the sum of the weighted average number of common shares and potentially dilutive common shares outstanding during the period.</w:t>
      </w:r>
    </w:p>
    <w:p>
      <w:pPr>
        <w:pStyle w:val="TextBody"/>
        <w:spacing w:before="240" w:after="0"/>
        <w:jc w:val="left"/>
        <w:rPr>
          <w:rFonts w:ascii="Times New Roman" w:hAnsi="Times New Roman"/>
          <w:sz w:val="20"/>
        </w:rPr>
      </w:pPr>
      <w:r>
        <w:rPr>
          <w:rFonts w:ascii="Times New Roman;serif" w:hAnsi="Times New Roman;serif"/>
          <w:b w:val="false"/>
          <w:sz w:val="20"/>
        </w:rPr>
        <w:t>The following table presents the calculation of net loss used to calculate basic loss and diluted loss per share (in thousands):</w:t>
      </w:r>
      <w:r>
        <w:rPr>
          <w:rFonts w:ascii="Times New Roman" w:hAnsi="Times New Roman"/>
          <w:sz w:val="20"/>
        </w:rPr>
        <w:t xml:space="preserve"> </w:t>
      </w:r>
    </w:p>
    <w:p>
      <w:pPr>
        <w:pStyle w:val="TextBody"/>
        <w:spacing w:before="0" w:after="0"/>
        <w:jc w:val="left"/>
        <w:rPr/>
      </w:pPr>
      <w:r>
        <w:rPr/>
        <w:t> </w:t>
      </w:r>
    </w:p>
    <w:tbl>
      <w:tblPr>
        <w:tblW w:w="8307" w:type="dxa"/>
        <w:jc w:val="left"/>
        <w:tblInd w:w="0" w:type="dxa"/>
        <w:tblCellMar>
          <w:top w:w="28" w:type="dxa"/>
          <w:left w:w="28" w:type="dxa"/>
          <w:bottom w:w="28" w:type="dxa"/>
          <w:right w:w="28" w:type="dxa"/>
        </w:tblCellMar>
      </w:tblPr>
      <w:tblGrid>
        <w:gridCol w:w="3331"/>
        <w:gridCol w:w="146"/>
        <w:gridCol w:w="211"/>
        <w:gridCol w:w="736"/>
        <w:gridCol w:w="166"/>
        <w:gridCol w:w="146"/>
        <w:gridCol w:w="211"/>
        <w:gridCol w:w="631"/>
        <w:gridCol w:w="166"/>
        <w:gridCol w:w="146"/>
        <w:gridCol w:w="211"/>
        <w:gridCol w:w="736"/>
        <w:gridCol w:w="166"/>
        <w:gridCol w:w="146"/>
        <w:gridCol w:w="211"/>
        <w:gridCol w:w="736"/>
        <w:gridCol w:w="211"/>
      </w:tblGrid>
      <w:tr>
        <w:trPr/>
        <w:tc>
          <w:tcPr>
            <w:tcW w:w="33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 basic</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(21,809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(38,391</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Change in fair value of warrant liability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(8,046</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(15,438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(21,809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(46,437</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Share used in calculating net loss per share was determined as follows (in thousands):</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6458"/>
        <w:gridCol w:w="146"/>
        <w:gridCol w:w="146"/>
        <w:gridCol w:w="571"/>
        <w:gridCol w:w="146"/>
        <w:gridCol w:w="146"/>
        <w:gridCol w:w="146"/>
        <w:gridCol w:w="571"/>
        <w:gridCol w:w="146"/>
        <w:gridCol w:w="146"/>
        <w:gridCol w:w="146"/>
        <w:gridCol w:w="571"/>
        <w:gridCol w:w="146"/>
        <w:gridCol w:w="146"/>
        <w:gridCol w:w="146"/>
        <w:gridCol w:w="571"/>
        <w:gridCol w:w="191"/>
      </w:tblGrid>
      <w:tr>
        <w:trPr/>
        <w:tc>
          <w:tcPr>
            <w:tcW w:w="645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45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58"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4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used in calculating basic net loss per share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6,080</w:t>
            </w:r>
          </w:p>
        </w:tc>
        <w:tc>
          <w:tcPr>
            <w:tcW w:w="191" w:type="dxa"/>
            <w:tcBorders/>
            <w:shd w:fill="auto" w:val="clear"/>
            <w:vAlign w:val="center"/>
          </w:tcPr>
          <w:p>
            <w:pPr>
              <w:pStyle w:val="TableContents"/>
              <w:spacing w:before="0" w:after="0"/>
              <w:ind w:left="0" w:right="0" w:hanging="0"/>
              <w:jc w:val="left"/>
              <w:rPr/>
            </w:pPr>
            <w:r>
              <w:rPr/>
              <w:t> </w:t>
            </w:r>
          </w:p>
        </w:tc>
      </w:tr>
      <w:tr>
        <w:trPr/>
        <w:tc>
          <w:tcPr>
            <w:tcW w:w="64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Effect of potentially dilutive common shares from equity awards and liability-classified 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45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used in calculating diluted net loss per share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6,124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potentially dilutive shares, which include outstanding stock options, restricted stock units and warrants, are considered to be common stock equivalents and are only included in the calculation of diluted net loss per share when their effect is dilutive.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table presents weighted average potentially dilutive shares that have been excluded from the calculation of net loss per share because of their anti-dilutive effect (in thousands):</w:t>
      </w:r>
    </w:p>
    <w:p>
      <w:pPr>
        <w:pStyle w:val="TextBody"/>
        <w:spacing w:before="0" w:after="0"/>
        <w:jc w:val="left"/>
        <w:rPr/>
      </w:pPr>
      <w:r>
        <w:rPr/>
        <w:t> </w:t>
      </w:r>
    </w:p>
    <w:tbl>
      <w:tblPr>
        <w:tblW w:w="6442" w:type="dxa"/>
        <w:jc w:val="left"/>
        <w:tblInd w:w="0" w:type="dxa"/>
        <w:tblCellMar>
          <w:top w:w="28" w:type="dxa"/>
          <w:left w:w="28" w:type="dxa"/>
          <w:bottom w:w="28" w:type="dxa"/>
          <w:right w:w="28" w:type="dxa"/>
        </w:tblCellMar>
      </w:tblPr>
      <w:tblGrid>
        <w:gridCol w:w="2161"/>
        <w:gridCol w:w="146"/>
        <w:gridCol w:w="146"/>
        <w:gridCol w:w="571"/>
        <w:gridCol w:w="146"/>
        <w:gridCol w:w="146"/>
        <w:gridCol w:w="146"/>
        <w:gridCol w:w="571"/>
        <w:gridCol w:w="146"/>
        <w:gridCol w:w="146"/>
        <w:gridCol w:w="146"/>
        <w:gridCol w:w="571"/>
        <w:gridCol w:w="146"/>
        <w:gridCol w:w="146"/>
        <w:gridCol w:w="146"/>
        <w:gridCol w:w="571"/>
        <w:gridCol w:w="391"/>
      </w:tblGrid>
      <w:tr>
        <w:trPr/>
        <w:tc>
          <w:tcPr>
            <w:tcW w:w="21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2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1,029</w:t>
            </w:r>
          </w:p>
        </w:tc>
        <w:tc>
          <w:tcPr>
            <w:tcW w:w="3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Warrants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91" w:type="dxa"/>
            <w:tcBorders/>
            <w:shd w:fill="auto" w:val="clear"/>
            <w:vAlign w:val="center"/>
          </w:tcPr>
          <w:p>
            <w:pPr>
              <w:pStyle w:val="TableContents"/>
              <w:spacing w:before="0" w:after="0"/>
              <w:ind w:left="0" w:right="0" w:hanging="0"/>
              <w:jc w:val="left"/>
              <w:rPr/>
            </w:pPr>
            <w:r>
              <w:rPr/>
              <w:t> </w:t>
            </w:r>
          </w:p>
        </w:tc>
      </w:tr>
      <w:tr>
        <w:trPr/>
        <w:tc>
          <w:tcPr>
            <w:tcW w:w="21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stock units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268</w:t>
            </w:r>
          </w:p>
        </w:tc>
        <w:tc>
          <w:tcPr>
            <w:tcW w:w="391" w:type="dxa"/>
            <w:tcBorders/>
            <w:shd w:fill="auto" w:val="clear"/>
            <w:vAlign w:val="center"/>
          </w:tcPr>
          <w:p>
            <w:pPr>
              <w:pStyle w:val="TableContents"/>
              <w:spacing w:before="0" w:after="0"/>
              <w:ind w:left="0" w:right="0" w:firstLine="200"/>
              <w:jc w:val="left"/>
              <w:rPr/>
            </w:pPr>
            <w:r>
              <w:rPr/>
              <w:t> </w:t>
            </w:r>
          </w:p>
        </w:tc>
      </w:tr>
      <w:tr>
        <w:trPr/>
        <w:tc>
          <w:tcPr>
            <w:tcW w:w="21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anti-dilutive shares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2,163</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1,834</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1,309</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7. Commitments and Contingencies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Presage License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As discussed in Note 4, we are party to a license agreement with Presage under which we may be required to make future payments upon the achievement of certain development, regulatory and commercial milestones, as well as potential future royalties based upon net sales. As of March 31, 2023, we had not accrued any amounts for potential future payments as achievement of the milestones had not been met.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Torreya Partners</w:t>
      </w:r>
    </w:p>
    <w:p>
      <w:pPr>
        <w:pStyle w:val="TextBody"/>
        <w:spacing w:before="120" w:after="0"/>
        <w:jc w:val="left"/>
        <w:rPr>
          <w:rFonts w:ascii="Times New Roman" w:hAnsi="Times New Roman"/>
          <w:sz w:val="20"/>
        </w:rPr>
      </w:pPr>
      <w:r>
        <w:rPr>
          <w:rFonts w:ascii="Times New Roman;serif" w:hAnsi="Times New Roman;serif"/>
          <w:b w:val="false"/>
          <w:sz w:val="20"/>
        </w:rPr>
        <w:t>In October 2022, we engaged Torreya Partners as a financial advisor to help explore additional strategic opportunities. As part of this engagement, we issued warrants to acquire shares of our common stock having a value equal to $0.5</w:t>
      </w:r>
      <w:r>
        <w:rPr>
          <w:rFonts w:ascii="Times New Roman" w:hAnsi="Times New Roman"/>
          <w:sz w:val="20"/>
        </w:rPr>
        <w:t xml:space="preserve"> </w:t>
      </w:r>
      <w:r>
        <w:rPr>
          <w:rFonts w:ascii="Times New Roman;serif" w:hAnsi="Times New Roman;serif"/>
          <w:b w:val="false"/>
          <w:sz w:val="20"/>
        </w:rPr>
        <w:t>million. These warrants were issued during the three months ended March 31, 2023. We will also pay Torreya Partners a transaction fee equal to 20% of aggregate consideration, up to a maximum of $2.0</w:t>
      </w:r>
      <w:r>
        <w:rPr>
          <w:rFonts w:ascii="Times New Roman" w:hAnsi="Times New Roman"/>
          <w:sz w:val="20"/>
        </w:rPr>
        <w:t xml:space="preserve"> </w:t>
      </w:r>
      <w:r>
        <w:rPr>
          <w:rFonts w:ascii="Times New Roman;serif" w:hAnsi="Times New Roman;serif"/>
          <w:b w:val="false"/>
          <w:sz w:val="20"/>
        </w:rPr>
        <w:t>million, upon completion of a strategic transaction. As of March 31, 2023, we have not accrued any amount for potential future transaction fees.</w:t>
      </w:r>
    </w:p>
    <w:p>
      <w:pPr>
        <w:pStyle w:val="TextBody"/>
        <w:spacing w:before="360" w:after="0"/>
        <w:jc w:val="left"/>
        <w:rPr>
          <w:rFonts w:ascii="Times New Roman;serif" w:hAnsi="Times New Roman;serif"/>
          <w:b/>
          <w:sz w:val="20"/>
        </w:rPr>
      </w:pPr>
      <w:r>
        <w:rPr>
          <w:rFonts w:ascii="Times New Roman;serif" w:hAnsi="Times New Roman;serif"/>
          <w:b/>
          <w:sz w:val="20"/>
        </w:rPr>
        <w:t>Note 8. Leases</w:t>
      </w:r>
    </w:p>
    <w:p>
      <w:pPr>
        <w:pStyle w:val="TextBody"/>
        <w:spacing w:before="120" w:after="0"/>
        <w:jc w:val="left"/>
        <w:rPr>
          <w:rFonts w:ascii="Times New Roman" w:hAnsi="Times New Roman"/>
          <w:sz w:val="20"/>
        </w:rPr>
      </w:pPr>
      <w:r>
        <w:rPr>
          <w:rFonts w:ascii="Times New Roman;serif" w:hAnsi="Times New Roman;serif"/>
          <w:b w:val="false"/>
          <w:sz w:val="20"/>
        </w:rPr>
        <w:t>In July 2020, we entered into a lease agreement (the "Initial Lease Agreement") for office space in San Diego, California. The Initial Lease Agreement was extended to November 30, 2029, in accordance with the amended lease agreement that we entered into in January 2022 (the "Amended Lease Agreement"). The Amended Lease Agreement, which began on July 1, 2022 and expires on November 30, 2029, provides additional office space adjacent to our current office in San Diego. Upon taking control of the additional office space on July 1, 2022, we recognized operating lease ROU assets obtained in exchange for operating lease liabilities of $4.3</w:t>
      </w:r>
      <w:r>
        <w:rPr>
          <w:rFonts w:ascii="Times New Roman" w:hAnsi="Times New Roman"/>
          <w:sz w:val="20"/>
        </w:rPr>
        <w:t xml:space="preserve"> </w:t>
      </w:r>
      <w:r>
        <w:rPr>
          <w:rFonts w:ascii="Times New Roman;serif" w:hAnsi="Times New Roman;serif"/>
          <w:b w:val="false"/>
          <w:sz w:val="20"/>
        </w:rPr>
        <w:t>million. The Initial Lease Agreement and Amended Lease Agreement are collectively referred to as the "Lease Agreements" and have been accounted for as operating leases.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following is a schedule of the future minimum lease payments under the Lease Agreements, reconciled to the operating lease liability, as of March 31, 2023 (in thousands):</w:t>
      </w:r>
    </w:p>
    <w:tbl>
      <w:tblPr>
        <w:tblW w:w="6230" w:type="dxa"/>
        <w:jc w:val="left"/>
        <w:tblInd w:w="0" w:type="dxa"/>
        <w:tblCellMar>
          <w:top w:w="28" w:type="dxa"/>
          <w:left w:w="28" w:type="dxa"/>
          <w:bottom w:w="28" w:type="dxa"/>
          <w:right w:w="28" w:type="dxa"/>
        </w:tblCellMar>
      </w:tblPr>
      <w:tblGrid>
        <w:gridCol w:w="4606"/>
        <w:gridCol w:w="146"/>
        <w:gridCol w:w="211"/>
        <w:gridCol w:w="676"/>
        <w:gridCol w:w="591"/>
      </w:tblGrid>
      <w:tr>
        <w:trPr/>
        <w:tc>
          <w:tcPr>
            <w:tcW w:w="46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46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Remainder of fiscal year ending June 30, 2023</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566</w:t>
            </w:r>
          </w:p>
        </w:tc>
        <w:tc>
          <w:tcPr>
            <w:tcW w:w="591" w:type="dxa"/>
            <w:tcBorders/>
            <w:shd w:fill="auto" w:val="clear"/>
            <w:vAlign w:val="center"/>
          </w:tcPr>
          <w:p>
            <w:pPr>
              <w:pStyle w:val="TableContents"/>
              <w:spacing w:before="0" w:after="0"/>
              <w:ind w:left="0" w:right="0" w:firstLine="200"/>
              <w:jc w:val="left"/>
              <w:rPr/>
            </w:pPr>
            <w:r>
              <w:rPr/>
              <w:t> </w:t>
            </w:r>
          </w:p>
        </w:tc>
      </w:tr>
      <w:tr>
        <w:trPr/>
        <w:tc>
          <w:tcPr>
            <w:tcW w:w="46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Years ending June 30,</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6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2,335</w:t>
            </w:r>
          </w:p>
        </w:tc>
        <w:tc>
          <w:tcPr>
            <w:tcW w:w="591" w:type="dxa"/>
            <w:tcBorders/>
            <w:shd w:fill="auto" w:val="clear"/>
            <w:vAlign w:val="center"/>
          </w:tcPr>
          <w:p>
            <w:pPr>
              <w:pStyle w:val="TableContents"/>
              <w:spacing w:before="0" w:after="0"/>
              <w:ind w:left="0" w:right="0" w:firstLine="400"/>
              <w:jc w:val="left"/>
              <w:rPr/>
            </w:pPr>
            <w:r>
              <w:rPr/>
              <w:t> </w:t>
            </w:r>
          </w:p>
        </w:tc>
      </w:tr>
      <w:tr>
        <w:trPr/>
        <w:tc>
          <w:tcPr>
            <w:tcW w:w="46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1,913</w:t>
            </w:r>
          </w:p>
        </w:tc>
        <w:tc>
          <w:tcPr>
            <w:tcW w:w="591" w:type="dxa"/>
            <w:tcBorders/>
            <w:shd w:fill="auto" w:val="clear"/>
            <w:vAlign w:val="center"/>
          </w:tcPr>
          <w:p>
            <w:pPr>
              <w:pStyle w:val="TableContents"/>
              <w:spacing w:before="0" w:after="0"/>
              <w:ind w:left="0" w:right="0" w:firstLine="400"/>
              <w:jc w:val="left"/>
              <w:rPr/>
            </w:pPr>
            <w:r>
              <w:rPr/>
              <w:t> </w:t>
            </w:r>
          </w:p>
        </w:tc>
      </w:tr>
      <w:tr>
        <w:trPr/>
        <w:tc>
          <w:tcPr>
            <w:tcW w:w="46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2,477</w:t>
            </w:r>
          </w:p>
        </w:tc>
        <w:tc>
          <w:tcPr>
            <w:tcW w:w="591" w:type="dxa"/>
            <w:tcBorders/>
            <w:shd w:fill="auto" w:val="clear"/>
            <w:vAlign w:val="center"/>
          </w:tcPr>
          <w:p>
            <w:pPr>
              <w:pStyle w:val="TableContents"/>
              <w:spacing w:before="0" w:after="0"/>
              <w:ind w:left="0" w:right="0" w:firstLine="400"/>
              <w:jc w:val="left"/>
              <w:rPr/>
            </w:pPr>
            <w:r>
              <w:rPr/>
              <w:t> </w:t>
            </w:r>
          </w:p>
        </w:tc>
      </w:tr>
      <w:tr>
        <w:trPr/>
        <w:tc>
          <w:tcPr>
            <w:tcW w:w="46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2,551</w:t>
            </w:r>
          </w:p>
        </w:tc>
        <w:tc>
          <w:tcPr>
            <w:tcW w:w="591" w:type="dxa"/>
            <w:tcBorders/>
            <w:shd w:fill="auto" w:val="clear"/>
            <w:vAlign w:val="center"/>
          </w:tcPr>
          <w:p>
            <w:pPr>
              <w:pStyle w:val="TableContents"/>
              <w:spacing w:before="0" w:after="0"/>
              <w:ind w:left="0" w:right="0" w:firstLine="400"/>
              <w:jc w:val="left"/>
              <w:rPr/>
            </w:pPr>
            <w:r>
              <w:rPr/>
              <w:t> </w:t>
            </w:r>
          </w:p>
        </w:tc>
      </w:tr>
      <w:tr>
        <w:trPr/>
        <w:tc>
          <w:tcPr>
            <w:tcW w:w="46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2,715</w:t>
            </w:r>
          </w:p>
        </w:tc>
        <w:tc>
          <w:tcPr>
            <w:tcW w:w="591" w:type="dxa"/>
            <w:tcBorders/>
            <w:shd w:fill="auto" w:val="clear"/>
            <w:vAlign w:val="center"/>
          </w:tcPr>
          <w:p>
            <w:pPr>
              <w:pStyle w:val="TableContents"/>
              <w:spacing w:before="0" w:after="0"/>
              <w:ind w:left="0" w:right="0" w:firstLine="200"/>
              <w:jc w:val="left"/>
              <w:rPr/>
            </w:pPr>
            <w:r>
              <w:rPr/>
              <w:t> </w:t>
            </w:r>
          </w:p>
        </w:tc>
      </w:tr>
      <w:tr>
        <w:trPr/>
        <w:tc>
          <w:tcPr>
            <w:tcW w:w="46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4,386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46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16,943</w:t>
            </w:r>
          </w:p>
        </w:tc>
        <w:tc>
          <w:tcPr>
            <w:tcW w:w="591" w:type="dxa"/>
            <w:tcBorders/>
            <w:shd w:fill="auto" w:val="clear"/>
            <w:vAlign w:val="center"/>
          </w:tcPr>
          <w:p>
            <w:pPr>
              <w:pStyle w:val="TableContents"/>
              <w:spacing w:before="0" w:after="0"/>
              <w:ind w:left="0" w:right="0" w:firstLine="200"/>
              <w:jc w:val="left"/>
              <w:rPr/>
            </w:pPr>
            <w:r>
              <w:rPr/>
              <w:t> </w:t>
            </w:r>
          </w:p>
        </w:tc>
      </w:tr>
      <w:tr>
        <w:trPr/>
        <w:tc>
          <w:tcPr>
            <w:tcW w:w="46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Less: Present value discount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(3,891</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46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Balance Sheet Classification – Operating Leases</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400"/>
              <w:jc w:val="right"/>
              <w:rPr/>
            </w:pPr>
            <w:r>
              <w:rPr/>
              <w:t> </w:t>
            </w:r>
          </w:p>
        </w:tc>
      </w:tr>
      <w:tr>
        <w:trPr/>
        <w:tc>
          <w:tcPr>
            <w:tcW w:w="46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1,385</w:t>
            </w:r>
          </w:p>
        </w:tc>
        <w:tc>
          <w:tcPr>
            <w:tcW w:w="591" w:type="dxa"/>
            <w:tcBorders/>
            <w:shd w:fill="auto" w:val="clear"/>
            <w:vAlign w:val="center"/>
          </w:tcPr>
          <w:p>
            <w:pPr>
              <w:pStyle w:val="TableContents"/>
              <w:spacing w:before="0" w:after="0"/>
              <w:ind w:left="0" w:right="0" w:firstLine="400"/>
              <w:jc w:val="left"/>
              <w:rPr/>
            </w:pPr>
            <w:r>
              <w:rPr/>
              <w:t> </w:t>
            </w:r>
          </w:p>
        </w:tc>
      </w:tr>
      <w:tr>
        <w:trPr/>
        <w:tc>
          <w:tcPr>
            <w:tcW w:w="4606"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liability, long-term</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11,667</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46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operating lease liability</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13,052</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60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Other Balance Sheet Information – Operating Leases</w:t>
            </w:r>
          </w:p>
        </w:tc>
        <w:tc>
          <w:tcPr>
            <w:tcW w:w="146" w:type="dxa"/>
            <w:tcBorders/>
            <w:shd w:fill="auto" w:val="clear"/>
            <w:vAlign w:val="center"/>
          </w:tcPr>
          <w:p>
            <w:pPr>
              <w:pStyle w:val="TableContents"/>
              <w:spacing w:before="0" w:after="0"/>
              <w:ind w:left="0" w:right="0" w:hanging="0"/>
              <w:jc w:val="righ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46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remaining lease term (in years)</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w:t>
            </w:r>
          </w:p>
        </w:tc>
        <w:tc>
          <w:tcPr>
            <w:tcW w:w="591" w:type="dxa"/>
            <w:tcBorders/>
            <w:shd w:fill="auto" w:val="clear"/>
            <w:vAlign w:val="center"/>
          </w:tcPr>
          <w:p>
            <w:pPr>
              <w:pStyle w:val="TableContents"/>
              <w:spacing w:before="0" w:after="0"/>
              <w:ind w:left="0" w:right="0" w:firstLine="200"/>
              <w:jc w:val="left"/>
              <w:rPr/>
            </w:pPr>
            <w:r>
              <w:rPr/>
              <w:t> </w:t>
            </w:r>
          </w:p>
        </w:tc>
      </w:tr>
      <w:tr>
        <w:trPr/>
        <w:tc>
          <w:tcPr>
            <w:tcW w:w="460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 average discount rate</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The Lease Agreements include rent escalations over the lease terms. In addition, the Lease Agreements include renewal options which were not included in the determination of the ROU assets or lease liabilities as the renewals were not reasonably certain at the inception of the Lease Agreements. Under the terms of the Lease Agreements, we are subject to charges for variable non-lease components (e.g., common area maintenance, maintenance, etc.) that are not included in the ROU assets and operating lease liabilities and are recorded as an expense in the period incurred.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total operating lease costs and supplemental cash flow information related to our operating leases were as follows (in thousands):</w:t>
      </w:r>
    </w:p>
    <w:tbl>
      <w:tblPr>
        <w:tblW w:w="7673" w:type="dxa"/>
        <w:jc w:val="left"/>
        <w:tblInd w:w="0" w:type="dxa"/>
        <w:tblCellMar>
          <w:top w:w="28" w:type="dxa"/>
          <w:left w:w="28" w:type="dxa"/>
          <w:bottom w:w="28" w:type="dxa"/>
          <w:right w:w="28" w:type="dxa"/>
        </w:tblCellMar>
      </w:tblPr>
      <w:tblGrid>
        <w:gridCol w:w="3586"/>
        <w:gridCol w:w="146"/>
        <w:gridCol w:w="217"/>
        <w:gridCol w:w="434"/>
        <w:gridCol w:w="150"/>
        <w:gridCol w:w="150"/>
        <w:gridCol w:w="217"/>
        <w:gridCol w:w="434"/>
        <w:gridCol w:w="146"/>
        <w:gridCol w:w="146"/>
        <w:gridCol w:w="211"/>
        <w:gridCol w:w="571"/>
        <w:gridCol w:w="146"/>
        <w:gridCol w:w="146"/>
        <w:gridCol w:w="211"/>
        <w:gridCol w:w="571"/>
        <w:gridCol w:w="191"/>
      </w:tblGrid>
      <w:tr>
        <w:trPr/>
        <w:tc>
          <w:tcPr>
            <w:tcW w:w="3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0" w:type="dxa"/>
            <w:tcBorders/>
            <w:shd w:fill="auto" w:val="clear"/>
            <w:vAlign w:val="center"/>
          </w:tcPr>
          <w:p>
            <w:pPr>
              <w:pStyle w:val="TableContents"/>
              <w:spacing w:before="0" w:after="0"/>
              <w:ind w:left="0" w:right="0" w:hanging="0"/>
              <w:jc w:val="left"/>
              <w:rPr/>
            </w:pPr>
            <w:r>
              <w:rPr/>
              <w:t> </w:t>
            </w:r>
          </w:p>
        </w:tc>
        <w:tc>
          <w:tcPr>
            <w:tcW w:w="6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expense</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609</w:t>
            </w:r>
          </w:p>
        </w:tc>
        <w:tc>
          <w:tcPr>
            <w:tcW w:w="150"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1,130</w:t>
            </w:r>
          </w:p>
        </w:tc>
        <w:tc>
          <w:tcPr>
            <w:tcW w:w="191" w:type="dxa"/>
            <w:tcBorders/>
            <w:shd w:fill="auto" w:val="clear"/>
            <w:vAlign w:val="center"/>
          </w:tcPr>
          <w:p>
            <w:pPr>
              <w:pStyle w:val="TableContents"/>
              <w:spacing w:before="0" w:after="0"/>
              <w:ind w:left="0" w:right="0" w:hanging="0"/>
              <w:jc w:val="left"/>
              <w:rPr/>
            </w:pPr>
            <w:r>
              <w:rPr/>
              <w:t> </w:t>
            </w:r>
          </w:p>
        </w:tc>
      </w:tr>
      <w:tr>
        <w:trPr/>
        <w:tc>
          <w:tcPr>
            <w:tcW w:w="35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cash flows from operating leases</w:t>
            </w:r>
          </w:p>
        </w:tc>
        <w:tc>
          <w:tcPr>
            <w:tcW w:w="146"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w:t>
            </w:r>
          </w:p>
        </w:tc>
        <w:tc>
          <w:tcPr>
            <w:tcW w:w="150" w:type="dxa"/>
            <w:tcBorders/>
            <w:shd w:fill="auto" w:val="clear"/>
            <w:vAlign w:val="center"/>
          </w:tcPr>
          <w:p>
            <w:pPr>
              <w:pStyle w:val="TableContents"/>
              <w:spacing w:before="0" w:after="0"/>
              <w:ind w:left="0" w:right="0" w:hanging="0"/>
              <w:jc w:val="left"/>
              <w:rPr/>
            </w:pPr>
            <w:r>
              <w:rPr/>
              <w:t> </w:t>
            </w:r>
          </w:p>
        </w:tc>
        <w:tc>
          <w:tcPr>
            <w:tcW w:w="150" w:type="dxa"/>
            <w:tcBorders/>
            <w:shd w:fill="auto" w:val="clear"/>
            <w:vAlign w:val="center"/>
          </w:tcPr>
          <w:p>
            <w:pPr>
              <w:pStyle w:val="TableContents"/>
              <w:spacing w:before="0" w:after="0"/>
              <w:ind w:left="0" w:right="0" w:hanging="0"/>
              <w:jc w:val="righ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1,139</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left"/>
        <w:rPr>
          <w:rFonts w:ascii="Times New Roman;serif" w:hAnsi="Times New Roman;serif"/>
          <w:b/>
          <w:sz w:val="20"/>
        </w:rPr>
      </w:pPr>
      <w:r>
        <w:rPr>
          <w:rFonts w:ascii="Times New Roman;serif" w:hAnsi="Times New Roman;serif"/>
          <w:b/>
          <w:sz w:val="20"/>
        </w:rPr>
        <w:t>Note 9. Stockholders’ Equity</w:t>
      </w:r>
    </w:p>
    <w:p>
      <w:pPr>
        <w:pStyle w:val="TextBody"/>
        <w:spacing w:before="120" w:after="0"/>
        <w:jc w:val="left"/>
        <w:rPr>
          <w:rFonts w:ascii="Times New Roman;serif" w:hAnsi="Times New Roman;serif"/>
          <w:b/>
          <w:sz w:val="20"/>
        </w:rPr>
      </w:pPr>
      <w:r>
        <w:rPr>
          <w:rFonts w:ascii="Times New Roman;serif" w:hAnsi="Times New Roman;serif"/>
          <w:b/>
          <w:sz w:val="20"/>
        </w:rPr>
        <w:t>Equity Transactions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Shelf Registration Statement</w:t>
      </w:r>
    </w:p>
    <w:p>
      <w:pPr>
        <w:pStyle w:val="TextBody"/>
        <w:spacing w:before="120" w:after="0"/>
        <w:jc w:val="left"/>
        <w:rPr>
          <w:rFonts w:ascii="Times New Roman" w:hAnsi="Times New Roman"/>
          <w:sz w:val="20"/>
        </w:rPr>
      </w:pPr>
      <w:r>
        <w:rPr>
          <w:rFonts w:ascii="Times New Roman;serif" w:hAnsi="Times New Roman;serif"/>
          <w:b w:val="false"/>
          <w:sz w:val="20"/>
        </w:rPr>
        <w:t>We have a shelf registration statement that permits us to sell, from time to time, up to $200.0</w:t>
      </w:r>
      <w:r>
        <w:rPr>
          <w:rFonts w:ascii="Times New Roman" w:hAnsi="Times New Roman"/>
          <w:sz w:val="20"/>
        </w:rPr>
        <w:t xml:space="preserve"> </w:t>
      </w:r>
      <w:r>
        <w:rPr>
          <w:rFonts w:ascii="Times New Roman;serif" w:hAnsi="Times New Roman;serif"/>
          <w:b w:val="false"/>
          <w:sz w:val="20"/>
        </w:rPr>
        <w:t>million of common stock, preferred stock and warrants. The shelf registration was filed and declared effective in May 2020, and carried forward approximately $107.5</w:t>
      </w:r>
      <w:r>
        <w:rPr>
          <w:rFonts w:ascii="Times New Roman" w:hAnsi="Times New Roman"/>
          <w:sz w:val="20"/>
        </w:rPr>
        <w:t xml:space="preserve"> </w:t>
      </w:r>
      <w:r>
        <w:rPr>
          <w:rFonts w:ascii="Times New Roman;serif" w:hAnsi="Times New Roman;serif"/>
          <w:b w:val="false"/>
          <w:sz w:val="20"/>
        </w:rPr>
        <w:t>million of unsold securities registered under the prior shelf registration statement. As of March 31, 2023, there was $123.4</w:t>
      </w:r>
      <w:r>
        <w:rPr>
          <w:rFonts w:ascii="Times New Roman" w:hAnsi="Times New Roman"/>
          <w:sz w:val="20"/>
        </w:rPr>
        <w:t xml:space="preserve"> </w:t>
      </w:r>
      <w:r>
        <w:rPr>
          <w:rFonts w:ascii="Times New Roman;serif" w:hAnsi="Times New Roman;serif"/>
          <w:b w:val="false"/>
          <w:sz w:val="20"/>
        </w:rPr>
        <w:t>million aggregate value of securities available under the shelf registration statement, including $60.0</w:t>
      </w:r>
      <w:r>
        <w:rPr>
          <w:rFonts w:ascii="Times New Roman" w:hAnsi="Times New Roman"/>
          <w:sz w:val="20"/>
        </w:rPr>
        <w:t xml:space="preserve"> </w:t>
      </w:r>
      <w:r>
        <w:rPr>
          <w:rFonts w:ascii="Times New Roman;serif" w:hAnsi="Times New Roman;serif"/>
          <w:b w:val="false"/>
          <w:sz w:val="20"/>
        </w:rPr>
        <w:t>million remaining available under the 2020 ATM Sales Agreement described below. The shelf registration expires on May 18, 2023.</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At-The-Market Equity Offering</w:t>
      </w:r>
    </w:p>
    <w:p>
      <w:pPr>
        <w:pStyle w:val="TextBody"/>
        <w:spacing w:before="120" w:after="0"/>
        <w:jc w:val="left"/>
        <w:rPr>
          <w:rFonts w:ascii="Times New Roman" w:hAnsi="Times New Roman"/>
          <w:sz w:val="20"/>
        </w:rPr>
      </w:pPr>
      <w:r>
        <w:rPr>
          <w:rFonts w:ascii="Times New Roman;serif" w:hAnsi="Times New Roman;serif"/>
          <w:b w:val="false"/>
          <w:sz w:val="20"/>
        </w:rPr>
        <w:t>On November 10, 2020, we entered into an At-The-Market Equity Offering Sales Agreement (the “2020 ATM Sales Agreement”), pursuant to which we may sell an aggregate of up to $60.0</w:t>
      </w:r>
      <w:r>
        <w:rPr>
          <w:rFonts w:ascii="Times New Roman" w:hAnsi="Times New Roman"/>
          <w:sz w:val="20"/>
        </w:rPr>
        <w:t xml:space="preserve"> </w:t>
      </w:r>
      <w:r>
        <w:rPr>
          <w:rFonts w:ascii="Times New Roman;serif" w:hAnsi="Times New Roman;serif"/>
          <w:b w:val="false"/>
          <w:sz w:val="20"/>
        </w:rPr>
        <w:t>million of our common stock pursuant to the shelf registration statement. As of March 31, 2023, there was $60.0</w:t>
      </w:r>
      <w:r>
        <w:rPr>
          <w:rFonts w:ascii="Times New Roman" w:hAnsi="Times New Roman"/>
          <w:sz w:val="20"/>
        </w:rPr>
        <w:t xml:space="preserve"> </w:t>
      </w:r>
      <w:r>
        <w:rPr>
          <w:rFonts w:ascii="Times New Roman;serif" w:hAnsi="Times New Roman;serif"/>
          <w:b w:val="false"/>
          <w:sz w:val="20"/>
        </w:rPr>
        <w:t>million remaining available under the 2020 ATM Sales Agreement.</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Warrants</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have outstanding warrants to purchase 802,949</w:t>
      </w:r>
      <w:r>
        <w:rPr>
          <w:rFonts w:ascii="Times New Roman" w:hAnsi="Times New Roman"/>
          <w:sz w:val="20"/>
        </w:rPr>
        <w:t xml:space="preserve"> </w:t>
      </w:r>
      <w:r>
        <w:rPr>
          <w:rFonts w:ascii="Times New Roman;serif" w:hAnsi="Times New Roman;serif"/>
          <w:b w:val="false"/>
          <w:sz w:val="20"/>
        </w:rPr>
        <w:t>shares of our common stock related to a private placement equity financing that we closed in May 2018. The warrants are fully vested, exercisable at a price of $50.80</w:t>
      </w:r>
      <w:r>
        <w:rPr>
          <w:rFonts w:ascii="Times New Roman" w:hAnsi="Times New Roman"/>
          <w:sz w:val="20"/>
        </w:rPr>
        <w:t xml:space="preserve"> </w:t>
      </w:r>
      <w:r>
        <w:rPr>
          <w:rFonts w:ascii="Times New Roman;serif" w:hAnsi="Times New Roman;serif"/>
          <w:b w:val="false"/>
          <w:sz w:val="20"/>
        </w:rPr>
        <w:t>per share and expire in May 2023. Pursuant to the terms of the warrants, we could be required to settle the warrants in cash in the event of an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 w:hAnsi="Times New Roman"/>
          <w:sz w:val="20"/>
        </w:rPr>
      </w:pPr>
      <w:r>
        <w:rPr>
          <w:rFonts w:ascii="Times New Roman;serif" w:hAnsi="Times New Roman;serif"/>
          <w:b w:val="false"/>
          <w:sz w:val="20"/>
        </w:rPr>
        <w:t>acquisition of us and, as a result, the warrants are required to be measured at fair value and reported as a liability in the Condensed Consolidated Balance Sheets. The warrants were revalued as of March 31, 2023 and June 30, 2022</w:t>
      </w:r>
      <w:r>
        <w:rPr>
          <w:rFonts w:ascii="Times New Roman" w:hAnsi="Times New Roman"/>
          <w:sz w:val="20"/>
        </w:rPr>
        <w:t xml:space="preserve"> </w:t>
      </w:r>
      <w:r>
        <w:rPr>
          <w:rFonts w:ascii="Times New Roman;serif" w:hAnsi="Times New Roman;serif"/>
          <w:b w:val="false"/>
          <w:sz w:val="20"/>
        </w:rPr>
        <w:t>at zero</w:t>
      </w:r>
      <w:r>
        <w:rPr>
          <w:rFonts w:ascii="Times New Roman" w:hAnsi="Times New Roman"/>
          <w:sz w:val="20"/>
        </w:rPr>
        <w:t xml:space="preserve"> </w:t>
      </w:r>
      <w:r>
        <w:rPr>
          <w:rFonts w:ascii="Times New Roman;serif" w:hAnsi="Times New Roman;serif"/>
          <w:b w:val="false"/>
          <w:sz w:val="20"/>
        </w:rPr>
        <w:t>and $1.6</w:t>
      </w:r>
      <w:r>
        <w:rPr>
          <w:rFonts w:ascii="Times New Roman" w:hAnsi="Times New Roman"/>
          <w:sz w:val="20"/>
        </w:rPr>
        <w:t xml:space="preserve"> </w:t>
      </w:r>
      <w:r>
        <w:rPr>
          <w:rFonts w:ascii="Times New Roman;serif" w:hAnsi="Times New Roman;serif"/>
          <w:b w:val="false"/>
          <w:sz w:val="20"/>
        </w:rPr>
        <w:t>million, respectively. The change in fair value of zero</w:t>
      </w:r>
      <w:r>
        <w:rPr>
          <w:rFonts w:ascii="Times New Roman" w:hAnsi="Times New Roman"/>
          <w:sz w:val="20"/>
        </w:rPr>
        <w:t xml:space="preserve"> </w:t>
      </w:r>
      <w:r>
        <w:rPr>
          <w:rFonts w:ascii="Times New Roman;serif" w:hAnsi="Times New Roman;serif"/>
          <w:b w:val="false"/>
          <w:sz w:val="20"/>
        </w:rPr>
        <w:t>and $1.6</w:t>
      </w:r>
      <w:r>
        <w:rPr>
          <w:rFonts w:ascii="Times New Roman" w:hAnsi="Times New Roman"/>
          <w:sz w:val="20"/>
        </w:rPr>
        <w:t xml:space="preserve"> </w:t>
      </w:r>
      <w:r>
        <w:rPr>
          <w:rFonts w:ascii="Times New Roman;serif" w:hAnsi="Times New Roman;serif"/>
          <w:b w:val="false"/>
          <w:sz w:val="20"/>
        </w:rPr>
        <w:t>million was recorded on the Condensed Consolidated Statement of Operations for the three and nine months ended March 31, 2023.</w:t>
      </w:r>
    </w:p>
    <w:p>
      <w:pPr>
        <w:pStyle w:val="TextBody"/>
        <w:spacing w:before="120" w:after="0"/>
        <w:jc w:val="left"/>
        <w:rPr>
          <w:rFonts w:ascii="Times New Roman" w:hAnsi="Times New Roman"/>
          <w:sz w:val="20"/>
        </w:rPr>
      </w:pPr>
      <w:r>
        <w:rPr>
          <w:rFonts w:ascii="Times New Roman;serif" w:hAnsi="Times New Roman;serif"/>
          <w:b w:val="false"/>
          <w:sz w:val="20"/>
        </w:rPr>
        <w:t>As of March 31, 2023, we also have outstanding warrants to purchase 102,513</w:t>
      </w:r>
      <w:r>
        <w:rPr>
          <w:rFonts w:ascii="Times New Roman" w:hAnsi="Times New Roman"/>
          <w:sz w:val="20"/>
        </w:rPr>
        <w:t xml:space="preserve"> </w:t>
      </w:r>
      <w:r>
        <w:rPr>
          <w:rFonts w:ascii="Times New Roman;serif" w:hAnsi="Times New Roman;serif"/>
          <w:b w:val="false"/>
          <w:sz w:val="20"/>
        </w:rPr>
        <w:t>shares of our common stock issued to Torreya Partners. The warrants are fully vested, exercisable at a price of $6.80</w:t>
      </w:r>
      <w:r>
        <w:rPr>
          <w:rFonts w:ascii="Times New Roman" w:hAnsi="Times New Roman"/>
          <w:sz w:val="20"/>
        </w:rPr>
        <w:t xml:space="preserve"> </w:t>
      </w:r>
      <w:r>
        <w:rPr>
          <w:rFonts w:ascii="Times New Roman;serif" w:hAnsi="Times New Roman;serif"/>
          <w:b w:val="false"/>
          <w:sz w:val="20"/>
        </w:rPr>
        <w:t>per share and expire in October 2027.</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Note 10. Share-based Compensation</w:t>
      </w:r>
    </w:p>
    <w:p>
      <w:pPr>
        <w:pStyle w:val="TextBody"/>
        <w:spacing w:before="120" w:after="0"/>
        <w:jc w:val="left"/>
        <w:rPr>
          <w:rFonts w:ascii="Times New Roman" w:hAnsi="Times New Roman"/>
          <w:sz w:val="20"/>
        </w:rPr>
      </w:pPr>
      <w:r>
        <w:rPr>
          <w:rFonts w:ascii="Times New Roman;serif" w:hAnsi="Times New Roman;serif"/>
          <w:b w:val="false"/>
          <w:sz w:val="20"/>
        </w:rPr>
        <w:t>We use equity-based compensation programs to provide long-term performance incentives for our employees. These incentives consist primarily of stock options and RSUs. In December 2008, we adopted the MEI Pharma, Inc. 2008 Stock Omnibus Equity Compensation Plan (“Omnibus Plan”), as amended and restated from time-to-time, under which 1,450,740</w:t>
      </w:r>
      <w:r>
        <w:rPr>
          <w:rFonts w:ascii="Times New Roman" w:hAnsi="Times New Roman"/>
          <w:sz w:val="20"/>
        </w:rPr>
        <w:t xml:space="preserve"> </w:t>
      </w:r>
      <w:r>
        <w:rPr>
          <w:rFonts w:ascii="Times New Roman;serif" w:hAnsi="Times New Roman;serif"/>
          <w:b w:val="false"/>
          <w:sz w:val="20"/>
        </w:rPr>
        <w:t>shares of common stock are authorized for issuance. The Omnibus Plan provides for the grant of options and/or other stock-based or stock-denominated awards to our non-employee directors, officers, and employees. In January 2023, our stockholders approved the increase of 400,000</w:t>
      </w:r>
      <w:r>
        <w:rPr>
          <w:rFonts w:ascii="Times New Roman" w:hAnsi="Times New Roman"/>
          <w:sz w:val="20"/>
        </w:rPr>
        <w:t xml:space="preserve"> </w:t>
      </w:r>
      <w:r>
        <w:rPr>
          <w:rFonts w:ascii="Times New Roman;serif" w:hAnsi="Times New Roman;serif"/>
          <w:b w:val="false"/>
          <w:sz w:val="20"/>
        </w:rPr>
        <w:t>additional shares available for future grant under the Omnibus Plan. As of March 31, 2023, there were 583,468</w:t>
      </w:r>
      <w:r>
        <w:rPr>
          <w:rFonts w:ascii="Times New Roman" w:hAnsi="Times New Roman"/>
          <w:sz w:val="20"/>
        </w:rPr>
        <w:t xml:space="preserve"> </w:t>
      </w:r>
      <w:r>
        <w:rPr>
          <w:rFonts w:ascii="Times New Roman;serif" w:hAnsi="Times New Roman;serif"/>
          <w:b w:val="false"/>
          <w:sz w:val="20"/>
        </w:rPr>
        <w:t>shares available for future grant under the Omnibus Plan.</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In May 2021, we adopted the 2021 Inducement Plan ("Inducement Plan"), under which 125,000</w:t>
      </w:r>
      <w:r>
        <w:rPr>
          <w:rFonts w:ascii="Times New Roman" w:hAnsi="Times New Roman"/>
          <w:sz w:val="20"/>
        </w:rPr>
        <w:t xml:space="preserve"> </w:t>
      </w:r>
      <w:r>
        <w:rPr>
          <w:rFonts w:ascii="Times New Roman;serif" w:hAnsi="Times New Roman;serif"/>
          <w:b w:val="false"/>
          <w:sz w:val="20"/>
        </w:rPr>
        <w:t>shares of common stock are authorized for issuance.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March 31, 2023, there were 25,185</w:t>
      </w:r>
      <w:r>
        <w:rPr>
          <w:rFonts w:ascii="Times New Roman" w:hAnsi="Times New Roman"/>
          <w:sz w:val="20"/>
        </w:rPr>
        <w:t xml:space="preserve"> </w:t>
      </w:r>
      <w:r>
        <w:rPr>
          <w:rFonts w:ascii="Times New Roman;serif" w:hAnsi="Times New Roman;serif"/>
          <w:b w:val="false"/>
          <w:sz w:val="20"/>
        </w:rPr>
        <w:t>shares available for future grant under the Inducement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Total share-based compensation expense for all stock awards consisted of the following for the periods presented (in thousands):</w:t>
      </w:r>
    </w:p>
    <w:p>
      <w:pPr>
        <w:pStyle w:val="TextBody"/>
        <w:spacing w:before="0" w:after="0"/>
        <w:jc w:val="left"/>
        <w:rPr/>
      </w:pPr>
      <w:r>
        <w:rPr/>
        <w:t> </w:t>
      </w:r>
    </w:p>
    <w:tbl>
      <w:tblPr>
        <w:tblW w:w="7827" w:type="dxa"/>
        <w:jc w:val="left"/>
        <w:tblInd w:w="0" w:type="dxa"/>
        <w:tblCellMar>
          <w:top w:w="28" w:type="dxa"/>
          <w:left w:w="28" w:type="dxa"/>
          <w:bottom w:w="28" w:type="dxa"/>
          <w:right w:w="28" w:type="dxa"/>
        </w:tblCellMar>
      </w:tblPr>
      <w:tblGrid>
        <w:gridCol w:w="3436"/>
        <w:gridCol w:w="146"/>
        <w:gridCol w:w="211"/>
        <w:gridCol w:w="421"/>
        <w:gridCol w:w="146"/>
        <w:gridCol w:w="146"/>
        <w:gridCol w:w="211"/>
        <w:gridCol w:w="571"/>
        <w:gridCol w:w="146"/>
        <w:gridCol w:w="146"/>
        <w:gridCol w:w="211"/>
        <w:gridCol w:w="571"/>
        <w:gridCol w:w="146"/>
        <w:gridCol w:w="146"/>
        <w:gridCol w:w="211"/>
        <w:gridCol w:w="571"/>
        <w:gridCol w:w="391"/>
      </w:tblGrid>
      <w:tr>
        <w:trPr/>
        <w:tc>
          <w:tcPr>
            <w:tcW w:w="3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2,398</w:t>
            </w:r>
          </w:p>
        </w:tc>
        <w:tc>
          <w:tcPr>
            <w:tcW w:w="391" w:type="dxa"/>
            <w:tcBorders/>
            <w:shd w:fill="auto" w:val="clear"/>
            <w:vAlign w:val="center"/>
          </w:tcPr>
          <w:p>
            <w:pPr>
              <w:pStyle w:val="TableContents"/>
              <w:spacing w:before="0" w:after="0"/>
              <w:ind w:left="0" w:right="0" w:hanging="0"/>
              <w:jc w:val="left"/>
              <w:rPr/>
            </w:pPr>
            <w:r>
              <w:rPr/>
              <w:t> </w:t>
            </w:r>
          </w:p>
        </w:tc>
      </w:tr>
      <w:tr>
        <w:trPr/>
        <w:tc>
          <w:tcPr>
            <w:tcW w:w="343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5,302</w:t>
            </w:r>
          </w:p>
        </w:tc>
        <w:tc>
          <w:tcPr>
            <w:tcW w:w="391" w:type="dxa"/>
            <w:tcBorders/>
            <w:shd w:fill="auto" w:val="clear"/>
            <w:vAlign w:val="center"/>
          </w:tcPr>
          <w:p>
            <w:pPr>
              <w:pStyle w:val="TableContents"/>
              <w:spacing w:before="0" w:after="0"/>
              <w:ind w:left="0" w:right="0" w:firstLine="200"/>
              <w:jc w:val="left"/>
              <w:rPr/>
            </w:pPr>
            <w:r>
              <w:rPr/>
              <w:t> </w:t>
            </w:r>
          </w:p>
        </w:tc>
      </w:tr>
      <w:tr>
        <w:trPr/>
        <w:tc>
          <w:tcPr>
            <w:tcW w:w="343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share-based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918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2,837</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7,700</w:t>
            </w:r>
          </w:p>
        </w:tc>
        <w:tc>
          <w:tcPr>
            <w:tcW w:w="3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i/>
          <w:sz w:val="20"/>
        </w:rPr>
      </w:pPr>
      <w:r>
        <w:rPr>
          <w:rFonts w:ascii="Times New Roman;serif" w:hAnsi="Times New Roman;serif"/>
          <w:b w:val="false"/>
          <w:i/>
          <w:sz w:val="20"/>
        </w:rPr>
        <w:t>Stock Options</w:t>
      </w:r>
    </w:p>
    <w:p>
      <w:pPr>
        <w:pStyle w:val="TextBody"/>
        <w:spacing w:before="120" w:after="0"/>
        <w:jc w:val="left"/>
        <w:rPr>
          <w:rFonts w:ascii="Times New Roman" w:hAnsi="Times New Roman"/>
          <w:sz w:val="20"/>
        </w:rPr>
      </w:pPr>
      <w:r>
        <w:rPr>
          <w:rFonts w:ascii="Times New Roman;serif" w:hAnsi="Times New Roman;serif"/>
          <w:b w:val="false"/>
          <w:sz w:val="20"/>
        </w:rPr>
        <w:t>Stock options granted to employees vest 25% one year from the date of grant and ratably each month thereafter for a period of 36</w:t>
      </w:r>
      <w:r>
        <w:rPr>
          <w:rFonts w:ascii="Times New Roman" w:hAnsi="Times New Roman"/>
          <w:sz w:val="20"/>
        </w:rPr>
        <w:t xml:space="preserve"> </w:t>
      </w:r>
      <w:r>
        <w:rPr>
          <w:rFonts w:ascii="Times New Roman;serif" w:hAnsi="Times New Roman;serif"/>
          <w:b w:val="false"/>
          <w:sz w:val="20"/>
        </w:rPr>
        <w:t>months and expire ten years from the date of grant. Stock options granted to directors vest ratably each month for a period of 12</w:t>
      </w:r>
      <w:r>
        <w:rPr>
          <w:rFonts w:ascii="Times New Roman" w:hAnsi="Times New Roman"/>
          <w:sz w:val="20"/>
        </w:rPr>
        <w:t xml:space="preserve"> </w:t>
      </w:r>
      <w:r>
        <w:rPr>
          <w:rFonts w:ascii="Times New Roman;serif" w:hAnsi="Times New Roman;serif"/>
          <w:b w:val="false"/>
          <w:sz w:val="20"/>
        </w:rPr>
        <w:t>months from the date of grant and expire ten years</w:t>
      </w:r>
      <w:r>
        <w:rPr>
          <w:rFonts w:ascii="Times New Roman" w:hAnsi="Times New Roman"/>
          <w:sz w:val="20"/>
        </w:rPr>
        <w:t xml:space="preserve"> </w:t>
      </w:r>
      <w:r>
        <w:rPr>
          <w:rFonts w:ascii="Times New Roman;serif" w:hAnsi="Times New Roman;serif"/>
          <w:b w:val="false"/>
          <w:sz w:val="20"/>
        </w:rPr>
        <w:t>from the date of grant. Of the total options outstanding of 1,252,931</w:t>
      </w:r>
      <w:r>
        <w:rPr>
          <w:rFonts w:ascii="Times New Roman" w:hAnsi="Times New Roman"/>
          <w:sz w:val="20"/>
        </w:rPr>
        <w:t xml:space="preserve"> </w:t>
      </w:r>
      <w:r>
        <w:rPr>
          <w:rFonts w:ascii="Times New Roman;serif" w:hAnsi="Times New Roman;serif"/>
          <w:b w:val="false"/>
          <w:sz w:val="20"/>
        </w:rPr>
        <w:t>as of March 31, 2023, 1,153,116</w:t>
      </w:r>
      <w:r>
        <w:rPr>
          <w:rFonts w:ascii="Times New Roman" w:hAnsi="Times New Roman"/>
          <w:sz w:val="20"/>
        </w:rPr>
        <w:t xml:space="preserve"> </w:t>
      </w:r>
      <w:r>
        <w:rPr>
          <w:rFonts w:ascii="Times New Roman;serif" w:hAnsi="Times New Roman;serif"/>
          <w:b w:val="false"/>
          <w:sz w:val="20"/>
        </w:rPr>
        <w:t>were granted under the Omnibus Plan and 99,815</w:t>
      </w:r>
      <w:r>
        <w:rPr>
          <w:rFonts w:ascii="Times New Roman" w:hAnsi="Times New Roman"/>
          <w:sz w:val="20"/>
        </w:rPr>
        <w:t xml:space="preserve"> </w:t>
      </w:r>
      <w:r>
        <w:rPr>
          <w:rFonts w:ascii="Times New Roman;serif" w:hAnsi="Times New Roman;serif"/>
          <w:b w:val="false"/>
          <w:sz w:val="20"/>
        </w:rPr>
        <w:t>were granted under the Inducement Plan.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summary of our stock option activity and related data follows:</w:t>
      </w:r>
    </w:p>
    <w:p>
      <w:pPr>
        <w:pStyle w:val="TextBody"/>
        <w:spacing w:before="0" w:after="0"/>
        <w:jc w:val="left"/>
        <w:rPr/>
      </w:pPr>
      <w:r>
        <w:rPr/>
        <w:t> </w:t>
      </w:r>
    </w:p>
    <w:tbl>
      <w:tblPr>
        <w:tblW w:w="10131" w:type="dxa"/>
        <w:jc w:val="left"/>
        <w:tblInd w:w="0" w:type="dxa"/>
        <w:tblCellMar>
          <w:top w:w="28" w:type="dxa"/>
          <w:left w:w="28" w:type="dxa"/>
          <w:bottom w:w="28" w:type="dxa"/>
          <w:right w:w="28" w:type="dxa"/>
        </w:tblCellMar>
      </w:tblPr>
      <w:tblGrid>
        <w:gridCol w:w="3511"/>
        <w:gridCol w:w="146"/>
        <w:gridCol w:w="146"/>
        <w:gridCol w:w="931"/>
        <w:gridCol w:w="166"/>
        <w:gridCol w:w="146"/>
        <w:gridCol w:w="302"/>
        <w:gridCol w:w="823"/>
        <w:gridCol w:w="146"/>
        <w:gridCol w:w="146"/>
        <w:gridCol w:w="522"/>
        <w:gridCol w:w="1293"/>
        <w:gridCol w:w="146"/>
        <w:gridCol w:w="146"/>
        <w:gridCol w:w="442"/>
        <w:gridCol w:w="728"/>
        <w:gridCol w:w="3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Options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 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w:t>
              <w:br/>
              <w:t>Remaining Contractual</w:t>
              <w:br/>
              <w:t>Term (in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June 30,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996,700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5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462,201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5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Expired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(7,834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51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(198,136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5"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70"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Outstanding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93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1,252,931</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left"/>
              <w:rPr/>
            </w:pPr>
            <w:r>
              <w:rPr/>
              <w:t> </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Vested and exercisable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664,330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02" w:type="dxa"/>
            <w:tcBorders/>
            <w:shd w:fill="auto" w:val="clear"/>
            <w:vAlign w:val="center"/>
          </w:tcPr>
          <w:p>
            <w:pPr>
              <w:pStyle w:val="TableContents"/>
              <w:spacing w:before="0" w:after="0"/>
              <w:ind w:left="0" w:right="0" w:hanging="0"/>
              <w:jc w:val="left"/>
              <w:rPr/>
            </w:pPr>
            <w:r>
              <w:rPr/>
              <w:t> </w:t>
            </w:r>
          </w:p>
        </w:tc>
        <w:tc>
          <w:tcPr>
            <w:tcW w:w="82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56.70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left"/>
              <w:rPr/>
            </w:pPr>
            <w:r>
              <w:rPr/>
              <w:t> </w:t>
            </w:r>
          </w:p>
        </w:tc>
        <w:tc>
          <w:tcPr>
            <w:tcW w:w="129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4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8"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left"/>
        <w:rPr/>
      </w:pPr>
      <w:r>
        <w:rPr/>
        <w:t> </w:t>
      </w:r>
    </w:p>
    <w:p>
      <w:pPr>
        <w:pStyle w:val="TextBody"/>
        <w:spacing w:before="120" w:after="0"/>
        <w:jc w:val="left"/>
        <w:rPr>
          <w:rFonts w:ascii="Times New Roman" w:hAnsi="Times New Roman"/>
          <w:sz w:val="20"/>
        </w:rPr>
      </w:pPr>
      <w:r>
        <w:rPr>
          <w:rFonts w:ascii="Times New Roman;serif" w:hAnsi="Times New Roman;serif"/>
          <w:b w:val="false"/>
          <w:sz w:val="20"/>
        </w:rPr>
        <w:t>As of March 31, 2023, the aggregate intrinsic value of outstanding options was calculated as the difference between the exercise price of the underlying options and the closing price of our common stock of $4.58</w:t>
      </w:r>
      <w:r>
        <w:rPr>
          <w:rFonts w:ascii="Times New Roman" w:hAnsi="Times New Roman"/>
          <w:sz w:val="20"/>
        </w:rPr>
        <w:t xml:space="preserve"> </w:t>
      </w:r>
      <w:r>
        <w:rPr>
          <w:rFonts w:ascii="Times New Roman;serif" w:hAnsi="Times New Roman;serif"/>
          <w:b w:val="false"/>
          <w:sz w:val="20"/>
        </w:rPr>
        <w:t>on that date.</w:t>
      </w:r>
    </w:p>
    <w:p>
      <w:pPr>
        <w:pStyle w:val="TextBody"/>
        <w:spacing w:before="120" w:after="0"/>
        <w:jc w:val="left"/>
        <w:rPr>
          <w:rFonts w:ascii="Times New Roman" w:hAnsi="Times New Roman"/>
          <w:sz w:val="20"/>
        </w:rPr>
      </w:pPr>
      <w:r>
        <w:rPr>
          <w:rFonts w:ascii="Times New Roman;serif" w:hAnsi="Times New Roman;serif"/>
          <w:b w:val="false"/>
          <w:sz w:val="20"/>
        </w:rPr>
        <w:t>Unrecognized compensation expense related to non-vested stock options totaled $3.9</w:t>
      </w:r>
      <w:r>
        <w:rPr>
          <w:rFonts w:ascii="Times New Roman" w:hAnsi="Times New Roman"/>
          <w:sz w:val="20"/>
        </w:rPr>
        <w:t xml:space="preserve"> </w:t>
      </w:r>
      <w:r>
        <w:rPr>
          <w:rFonts w:ascii="Times New Roman;serif" w:hAnsi="Times New Roman;serif"/>
          <w:b w:val="false"/>
          <w:sz w:val="20"/>
        </w:rPr>
        <w:t>million as of March 31, 2023. Such compensation expense is expected to be recognized over a weighted average period of 1.5</w:t>
      </w:r>
      <w:r>
        <w:rPr>
          <w:rFonts w:ascii="Times New Roman" w:hAnsi="Times New Roman"/>
          <w:sz w:val="20"/>
        </w:rPr>
        <w:t xml:space="preserve"> </w:t>
      </w:r>
      <w:r>
        <w:rPr>
          <w:rFonts w:ascii="Times New Roman;serif" w:hAnsi="Times New Roman;serif"/>
          <w:b w:val="false"/>
          <w:sz w:val="20"/>
        </w:rPr>
        <w:t>years. As of March 31, 2023, we expect all options to vest.</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We use the Black-Scholes valuation model to estimate the grant date fair value of stock options. To calculate these fair values, the following weighted average assumptions were used for the periods presented:</w:t>
      </w:r>
    </w:p>
    <w:p>
      <w:pPr>
        <w:pStyle w:val="TextBody"/>
        <w:spacing w:before="0" w:after="0"/>
        <w:jc w:val="left"/>
        <w:rPr/>
      </w:pPr>
      <w:r>
        <w:rPr/>
        <w:t> </w:t>
      </w:r>
    </w:p>
    <w:tbl>
      <w:tblPr>
        <w:tblW w:w="5594" w:type="dxa"/>
        <w:jc w:val="left"/>
        <w:tblInd w:w="0" w:type="dxa"/>
        <w:tblCellMar>
          <w:top w:w="28" w:type="dxa"/>
          <w:left w:w="28" w:type="dxa"/>
          <w:bottom w:w="28" w:type="dxa"/>
          <w:right w:w="28" w:type="dxa"/>
        </w:tblCellMar>
      </w:tblPr>
      <w:tblGrid>
        <w:gridCol w:w="3256"/>
        <w:gridCol w:w="146"/>
        <w:gridCol w:w="211"/>
        <w:gridCol w:w="466"/>
        <w:gridCol w:w="271"/>
        <w:gridCol w:w="146"/>
        <w:gridCol w:w="211"/>
        <w:gridCol w:w="571"/>
        <w:gridCol w:w="316"/>
      </w:tblGrid>
      <w:tr>
        <w:trPr/>
        <w:tc>
          <w:tcPr>
            <w:tcW w:w="3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life (years)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c>
          <w:tcPr>
            <w:tcW w:w="316" w:type="dxa"/>
            <w:tcBorders/>
            <w:shd w:fill="auto" w:val="clear"/>
            <w:vAlign w:val="center"/>
          </w:tcPr>
          <w:p>
            <w:pPr>
              <w:pStyle w:val="TableContents"/>
              <w:spacing w:before="0" w:after="0"/>
              <w:ind w:left="0" w:right="0" w:hanging="0"/>
              <w:jc w:val="left"/>
              <w:rPr/>
            </w:pPr>
            <w:r>
              <w:rPr/>
              <w:t> </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68.8</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25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grant date fair value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6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serif" w:hAnsi="Times New Roman;serif"/>
          <w:b w:val="false"/>
          <w:i/>
          <w:sz w:val="20"/>
        </w:rPr>
      </w:pPr>
      <w:r>
        <w:rPr>
          <w:rFonts w:ascii="Times New Roman;serif" w:hAnsi="Times New Roman;serif"/>
          <w:b w:val="false"/>
          <w:i/>
          <w:sz w:val="20"/>
        </w:rPr>
        <w:t>Restricted Stock Units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 summary of our RSU activity and related data for the nine months ended March 31, 2023 was as follows:</w:t>
      </w:r>
    </w:p>
    <w:p>
      <w:pPr>
        <w:pStyle w:val="TextBody"/>
        <w:spacing w:before="0" w:after="0"/>
        <w:jc w:val="left"/>
        <w:rPr/>
      </w:pPr>
      <w:r>
        <w:rPr/>
        <w:t> </w:t>
      </w:r>
    </w:p>
    <w:tbl>
      <w:tblPr>
        <w:tblW w:w="5770" w:type="dxa"/>
        <w:jc w:val="left"/>
        <w:tblInd w:w="0" w:type="dxa"/>
        <w:tblCellMar>
          <w:top w:w="28" w:type="dxa"/>
          <w:left w:w="28" w:type="dxa"/>
          <w:bottom w:w="28" w:type="dxa"/>
          <w:right w:w="28" w:type="dxa"/>
        </w:tblCellMar>
      </w:tblPr>
      <w:tblGrid>
        <w:gridCol w:w="2581"/>
        <w:gridCol w:w="146"/>
        <w:gridCol w:w="166"/>
        <w:gridCol w:w="719"/>
        <w:gridCol w:w="166"/>
        <w:gridCol w:w="146"/>
        <w:gridCol w:w="391"/>
        <w:gridCol w:w="1064"/>
        <w:gridCol w:w="391"/>
      </w:tblGrid>
      <w:tr>
        <w:trPr/>
        <w:tc>
          <w:tcPr>
            <w:tcW w:w="25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5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RSUs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w:t>
              <w:br/>
              <w:t>Grant Date</w:t>
              <w:br/>
              <w:t>Fair 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June 30, 2022</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69.80</w:t>
            </w:r>
          </w:p>
        </w:tc>
        <w:tc>
          <w:tcPr>
            <w:tcW w:w="391" w:type="dxa"/>
            <w:tcBorders/>
            <w:shd w:fill="auto" w:val="clear"/>
            <w:vAlign w:val="center"/>
          </w:tcPr>
          <w:p>
            <w:pPr>
              <w:pStyle w:val="TableContents"/>
              <w:spacing w:before="0" w:after="0"/>
              <w:ind w:left="0" w:right="0" w:firstLine="200"/>
              <w:jc w:val="left"/>
              <w:rPr/>
            </w:pPr>
            <w:r>
              <w:rPr/>
              <w:t> </w:t>
            </w:r>
          </w:p>
        </w:tc>
      </w:tr>
      <w:tr>
        <w:trPr/>
        <w:tc>
          <w:tcPr>
            <w:tcW w:w="25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71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(9,220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69.80</w:t>
            </w:r>
          </w:p>
        </w:tc>
        <w:tc>
          <w:tcPr>
            <w:tcW w:w="391" w:type="dxa"/>
            <w:tcBorders/>
            <w:shd w:fill="auto" w:val="clear"/>
            <w:vAlign w:val="center"/>
          </w:tcPr>
          <w:p>
            <w:pPr>
              <w:pStyle w:val="TableContents"/>
              <w:spacing w:before="0" w:after="0"/>
              <w:ind w:left="0" w:right="0" w:hanging="0"/>
              <w:jc w:val="left"/>
              <w:rPr/>
            </w:pPr>
            <w:r>
              <w:rPr/>
              <w:t> </w:t>
            </w:r>
          </w:p>
        </w:tc>
      </w:tr>
      <w:tr>
        <w:trPr/>
        <w:tc>
          <w:tcPr>
            <w:tcW w:w="258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Non-vested at March 31, 2023</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1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64"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0" w:after="0"/>
        <w:jc w:val="left"/>
        <w:rPr>
          <w:rFonts w:ascii="Times New Roman;serif" w:hAnsi="Times New Roman;serif"/>
          <w:b/>
          <w:sz w:val="20"/>
        </w:rPr>
      </w:pPr>
      <w:bookmarkStart w:id="10" w:name="item_2_managements_discussion_and_analys"/>
      <w:bookmarkEnd w:id="10"/>
      <w:r>
        <w:rPr>
          <w:rFonts w:ascii="Times New Roman;serif" w:hAnsi="Times New Roman;serif"/>
          <w:b/>
          <w:sz w:val="20"/>
        </w:rPr>
        <w:t>Item 2. Management’s Discussion and Analysis of Financial Condition and Results of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This Quarterly Report on Form 10-Q ("Quarterly Report") includes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including statements regarding the future financial position, business strategy and plans and objectives of management for future operations, are forward-looking statements. The words “believe,” “may,” “will,” “estimate,” “continue,” “anticipate,” “intend,” “should,” “plan,” “expect,” and similar expressions, as they relate to us, are intended to identify forward-looking statements. We have based these forward-looking statements largely on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including, without limitation, those described in “Risk Factors” in our 2022 Annual Report on Form 10-K ("2022 Annual Report"), as filed with the Securities and Exchange Commission on September 8, 2022. Set forth below is a summary of the principal risks we face:</w:t>
      </w:r>
    </w:p>
    <w:p>
      <w:pPr>
        <w:pStyle w:val="TextBody"/>
        <w:spacing w:before="0" w:after="0"/>
        <w:jc w:val="left"/>
        <w:rPr/>
      </w:pPr>
      <w:r>
        <w:rPr/>
        <w:t> </w:t>
      </w:r>
    </w:p>
    <w:p>
      <w:pPr>
        <w:pStyle w:val="TextBody"/>
        <w:spacing w:before="0" w:after="0"/>
        <w:jc w:val="left"/>
        <w:rPr>
          <w:rFonts w:ascii="Times New Roman;serif" w:hAnsi="Times New Roman;serif"/>
          <w:b/>
          <w:sz w:val="20"/>
          <w:u w:val="single"/>
        </w:rPr>
      </w:pPr>
      <w:r>
        <w:rPr>
          <w:rFonts w:ascii="Times New Roman;serif" w:hAnsi="Times New Roman;serif"/>
          <w:b/>
          <w:sz w:val="20"/>
          <w:u w:val="single"/>
        </w:rPr>
        <w:t>Risks Related to the Company: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identified a material weakness in our internal control over financial reporting and determined that our disclosure controls and procedures were ineffective as of June 30, 2021, as a result of the restatement of our financial statements as of and for the years ended June 30, 2021 and 2020. Relevant unaudited interim financial information for each of the quarterly periods ended September 30, 2020 through December 31, 2021 have also been restated. In the future, we may identify additional material weaknesses or otherwise fail to maintain an effective system of internal control over financial reporting or adequate disclosure controls and procedures, which may result in material errors of our financial statements or cause us to fail to meet our periodic reporting obligations;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a clinical stage clinical research and development stage company and are likely to incur operating losses for the foreseeable future;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results of pre-clinical studies and completed clinical trials are not necessarily predictive of future results, and our current drug candidates may not have favorable results in later studies or trials;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Negative U.S. and global economic conditions may pose challenges to our business strategy, which relies on funding from the financial markets or collaborators;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Changes in drug candidate manufacturing or formulation may result in additional costs or delay;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third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business strategy may include entry into additional collaborative or license agreements. We may not be able to enter into collaborative or license agreements or may not be able to negotiate commercially acceptable terms for these agreements;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Final approval by regulatory authorities of our drug candidates for commercial use may be delayed, limited or prevented, any of which would adversely affect our ability to generate operating revenues;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FDA may determine that our drug candidates have undesirable side effects that could delay or prevent their regulatory approval or commercialization;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experience delays or difficulties in the enrollment of patients in clinical trials, our completion of clinical trials and receipt of necessary regulatory approvals could be delayed or prevented;</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Changes in funding for the FDA and other government agencies or future government shutdowns could cause delays in the submission and regulatory review of marketing applications, which could negatively impact our business or prospects;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Failure to obtain regulatory approval in foreign jurisdictions would prevent us from marketing our products internationally;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Any orphan drug designations we receive may not confer marketing exclusivity or other benefits;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Even if we or our licensees receive regulatory approval to commercialize our drug candidates, our ability to generate revenues from any resulting products will be subject to a variety of risks, many of which are out of our control;</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any products we develop become subject to unfavorable pricing regulations, third-party reimbursement practices or healthcare reform initiatives, our ability to successfully commercialize our products will be impaired;</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drug candidates are subject to ongoing government regulation both before and after regulatory approval;</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not be able to establish the contractual arrangements necessary to develop, market and distribute our drug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commercial opportunity will be reduced or eliminated if competitors develop and market products that are more effective, have fewer side effects or are less expensive than our drug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product candidates may face competition sooner than anticipated;</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rely on third parties to conduct our clinical trials and pre-clinical studies. If those parties do not successfully carry out their contractual duties or meet expected deadlines, our drug candidates may not advance in a timely manner or at all;</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will depend on third party suppliers and contract manufacturers for the manufacturing of our drug candidates and have no direct control over the cost of manufacturing our drug candidates. Increases in the cost of manufacturing our drug candidates would increase our costs of conducting clinical trials and could adversely affect our future profitability;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rely on acquisitions or licenses from third parties to expand our pipeline of drug candidates;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commercial success is dependent, in part, on obtaining and maintaining patent protection and preserving trade secrets, which cannot be guaranteed;</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Claims by other companies that we infringe on their proprietary technology may result in liability for damages or stop our development and commercialization efforts;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be subject to claims by third parties asserting that our employees or we have misappropriated their intellectual property, or claiming ownership of what we regard as our own intellectual property;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may be subject to substantial costs stemming from our defense against third-party intellectual property infringement claims;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face a risk of product liability claims and claims may exceed our insurance limits;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business and operations would suffer in the event of system failures;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efforts will be seriously jeopardized if we are unable to retain and attract key employees;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Laws, rules and regulations relating to public companies may be costly and impact our ability to attract and retain directors and executive officers;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Security breaches and other disruptions could compromise our information and expose us to liability, which would cause our business and reputation to suffer;</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fail to comply with environmental, health and safety laws and regulations, we could become subject to fines or penalties or incur costs that could harm our business;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or the third parties upon whom we depend may be adversely affected by natural disasters and our business continuity and disaster recovery plans may not adequately protect us from a serious disaster;</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Limitations on the deductibility of net operating losses could adversely affect our business and financial condition;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trading price of the shares of our common stock has been and may continue to be highly volatile and could decline in value and we may incur significant costs from class action litigation;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Future sales of our common stock, including common stock issued upon exercise of outstanding warrants or options, may depress the market price of our common stock and cause stockholders to experience dilution;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Because we do not intend to pay, and have not paid, any cash dividends on our shares of common stock, our stockholders will not be able to receive a return on their shares unless the value of our common stock appreciates and they sell their shares;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will have broad discretion over the use of the net proceeds from any exercise of outstanding warrants and options;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are authorized to issue blank check preferred stock, which could adversely affect the holders of our common stock;</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Anti-takeover provisions contained in our amended and restated certificate of incorporation and fourth amended and restated bylaws, as well as provisions of Delaware law, could impair a takeover attempt;</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fourth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executive officers and directors may sell shares of their stock, and these sales could adversely affect our stock price.</w:t>
      </w:r>
    </w:p>
    <w:p>
      <w:pPr>
        <w:pStyle w:val="TextBody"/>
        <w:spacing w:before="0" w:after="0"/>
        <w:jc w:val="left"/>
        <w:rPr/>
      </w:pPr>
      <w:r>
        <w:rPr/>
        <w:t> </w:t>
      </w:r>
    </w:p>
    <w:p>
      <w:pPr>
        <w:pStyle w:val="TextBody"/>
        <w:spacing w:before="0" w:after="0"/>
        <w:jc w:val="left"/>
        <w:rPr>
          <w:rFonts w:ascii="Times New Roman;serif" w:hAnsi="Times New Roman;serif"/>
          <w:b/>
          <w:sz w:val="20"/>
          <w:u w:val="single"/>
        </w:rPr>
      </w:pPr>
      <w:r>
        <w:rPr>
          <w:rFonts w:ascii="Times New Roman;serif" w:hAnsi="Times New Roman;serif"/>
          <w:b/>
          <w:sz w:val="20"/>
          <w:u w:val="single"/>
        </w:rPr>
        <w:t>Risks Related to the Proposed Merger: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Exchange Ratio will not be adjusted based on the market price of our common stock or Infinity Common Stock, so the merger consideration at the Closing may have a greater or lesser value than at the time the Merger Agreement was signed;</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the conditions to the Merger are not satisfied or waived, the Merger may not occur;</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Merger may be completed even though a material adverse effect may result from the announcement of the Merger, industry wide changes or other causes;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we and Infinity complete the Merger, the combined company may need to raise additional capital by issuing equity securities or additional debt or through licensing arrangements, which may cause significant dilution to the combined company’s stockholders or restrict the combined company’s operations;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directors and executive officers and Infinity's directors and executive officers have interests in the Merger that are different from yours and that may influence them to support or approve the Merger without regard to your interests;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securityholders and Infinity securityholders will have a reduced ownership and voting interest in, and will exercise less influence over the management of, the combined company following the completion of the Merger as compared to their current ownership and voting interests in the respective companies;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the Merger is not completed, our stock price may fluctuate significantly;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During the pendency of the Merger, we may not be able to enter into a business combination with another party on more favorable terms because of restrictions in the Merger Agreement, which could adversely affect our respective business prospects;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Certain provisions of the Merger Agreement may discourage third parties from submitting competing proposals, including proposals that may be superior to the Merger;</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financial analyses, estimates and forecasts considered by us and Infinity in connection with the Merger may not be realized;</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announcement and pendency of the Merger, whether or not consummated, may adversely affect the trading price of our common stock and our business prospects;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Failure to consummate the Merger may result in either our or Infinity paying a termination fee to the other party and could harm the common stock price of the party obligated to pay the termination fee and such party’s future business and operations;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the Merger is not consummated, we and Infinity would need to determine whether to continue its business, consummate another strategic transaction, or dissolve and liquidate its assets;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or Infinity may waive one or more of the conditions to the Merger, and may do so without re-soliciting stockholder approval;</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Merger may not qualify as a “reorganization” within the meaning of Section 368(a) of the Code, resulting in recognition of taxable gain or loss by Infinity stockholders in respect of their Infinity Common Stock;</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Lawsuits could delay or prevent the Merger;</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These risks are not exhaustive. Other sections of this report and our other filings with the Securities and Exchange Commission ("SEC")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Past performance may not be an indicator of future results. The following discussion is qualified in its entirety by, and should be read in conjunction with, the more detailed information set forth in the consolidated financial statements and the notes thereto appearing elsewhere in this Quarterly Report and the audited financial statements and notes thereto included in our 2022 Annual Report, as filed with the SEC. Operating results are not necessarily indicative of results that may occur in future periods.</w:t>
      </w:r>
    </w:p>
    <w:p>
      <w:pPr>
        <w:pStyle w:val="TextBody"/>
        <w:spacing w:before="240" w:after="0"/>
        <w:jc w:val="left"/>
        <w:rPr>
          <w:rFonts w:ascii="Times New Roman;serif" w:hAnsi="Times New Roman;serif"/>
          <w:b/>
          <w:sz w:val="20"/>
        </w:rPr>
      </w:pPr>
      <w:r>
        <w:rPr>
          <w:rFonts w:ascii="Times New Roman;serif" w:hAnsi="Times New Roman;serif"/>
          <w:b/>
          <w:sz w:val="20"/>
        </w:rPr>
        <w:t>Overview</w:t>
      </w:r>
    </w:p>
    <w:p>
      <w:pPr>
        <w:pStyle w:val="TextBody"/>
        <w:spacing w:before="120" w:after="0"/>
        <w:jc w:val="left"/>
        <w:rPr>
          <w:rFonts w:ascii="Times New Roman" w:hAnsi="Times New Roman"/>
          <w:sz w:val="20"/>
        </w:rPr>
      </w:pPr>
      <w:r>
        <w:rPr>
          <w:rFonts w:ascii="Times New Roman;serif" w:hAnsi="Times New Roman;serif"/>
          <w:b w:val="false"/>
          <w:sz w:val="20"/>
        </w:rPr>
        <w:t>MEI Pharma, Inc. (Nasdaq: MEIP) is a clinical stage pharmaceutical company focused on developing potential new therapies for cancer. MEI Pharma’s portfolio of drug candidates includes clinical-stage candidates with differentiated or novel mechanisms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action intended to address unmet medical needs and deliver improved benefit to patients, either as standalone treatments or in combination with other therapeutic options. Our common stock is listed on the Nasdaq Capital Market under the symbol “MEIP.”</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February 2023, we, Infinity Pharmaceuticals, Inc. (“Infinity”), and Meadow Merger Sub, Inc., our wholly owned subsidiary (“Merger Sub”) entered into an agreement and plan of merger (“Merger Agreement”). The Merger Agreement provides that Merger Sub will merge with and into Infinity, with Infinity being the surviving entity as a wholly-owned subsidiary of us. Upon completion of the Merger, our stockholders will own approximately 58% of the combined company’s outstanding common stock and Infinity's stockholders will own approximately 42%. Subject to stockholder approval and the subsequent closing of the merger, the combined company is expected to be renamed and trade on the Nasdaq Stock Market. The combined company would be headquartered in San Diego, California. The Merger Agreement has been approved by the Boards of Directors of both companies. The merger is expected to close in mid-2023, subject to approvals by our and Infinity's stockholders, respectively.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accordance with the Merger Agreement, prior to the consummation of the Merger, Daniel P. Gold, will resign as Chief Executive Officer. Dr. Gold will continue to serve on the Board of Directors of the combined company. David M. Urso, current Chief Operating Officer and General Counsel, will become Chief Executive Officer.</w:t>
      </w:r>
    </w:p>
    <w:p>
      <w:pPr>
        <w:pStyle w:val="TextBody"/>
        <w:spacing w:before="120" w:after="0"/>
        <w:jc w:val="left"/>
        <w:rPr>
          <w:rFonts w:ascii="Times New Roman" w:hAnsi="Times New Roman"/>
          <w:sz w:val="20"/>
        </w:rPr>
      </w:pPr>
      <w:r>
        <w:rPr>
          <w:rFonts w:ascii="Times New Roman;serif" w:hAnsi="Times New Roman;serif"/>
          <w:b w:val="false"/>
          <w:sz w:val="20"/>
        </w:rPr>
        <w:t>In December 2022, we announced plans to realign our clinical development efforts after jointly deciding with our development partner, Kyowa Kirin Co., Ltd. (“Kyowa Kirin”), to discontinue development of our lead drug candidate, zandelisib, outside of Japan. In connection with the realignment, we are focusing our development efforts on our two earlier stage clinical assets, voruciclib and ME-334. Additionally, we initiated a staggered workforce reduction, affecting 28 employees in December 2022 (representing approximately 27% of our workforce) and an additional 14 employees as of April 2023. Following completion of the close of the zandelisib development program, workforce reductions completed to date and any further workforce reductions necessary to fully align resources going forward, we expect that our existing cash, cash equivalents and short-term investments will be sufficient to fund operations for at least 12 months from the issuance of this Quarterly Report.</w:t>
      </w:r>
      <w:r>
        <w:rPr>
          <w:rFonts w:ascii="Times New Roman" w:hAnsi="Times New Roman"/>
          <w:sz w:val="20"/>
        </w:rPr>
        <w:t xml:space="preserve"> </w:t>
      </w:r>
    </w:p>
    <w:p>
      <w:pPr>
        <w:pStyle w:val="TextBody"/>
        <w:spacing w:before="240" w:after="0"/>
        <w:jc w:val="left"/>
        <w:rPr>
          <w:rFonts w:ascii="Times New Roman;serif" w:hAnsi="Times New Roman;serif"/>
          <w:b/>
          <w:sz w:val="20"/>
        </w:rPr>
      </w:pPr>
      <w:r>
        <w:rPr>
          <w:rFonts w:ascii="Times New Roman;serif" w:hAnsi="Times New Roman;serif"/>
          <w:b/>
          <w:sz w:val="20"/>
        </w:rPr>
        <w:t>Clinical Development Programs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business strategy is to build our pipeline by licensing or acquiring promising cancer agents and creating value in programs through development, strategic partnerships and commercialization, as appropriate. Our objective is to leverage the mechanisms and properties of our pipeline drug candidates to optimize the balance between efficacy and tolerability to meet the needs of patients with cancer. Our drug candidate pipeline includes voruciclib, an oral cyclin-dependent kinase 9 (“CDK9”) inhibitor and ME-344, an intravenous small molecule targeting the oxidative phosphorylation pathway in the mitochondria.</w:t>
      </w:r>
    </w:p>
    <w:p>
      <w:pPr>
        <w:pStyle w:val="TextBody"/>
        <w:spacing w:before="120" w:after="0"/>
        <w:jc w:val="center"/>
        <w:rPr/>
      </w:pPr>
      <w:r>
        <w:rPr/>
        <w:drawing>
          <wp:inline distT="0" distB="0" distL="0" distR="0">
            <wp:extent cx="6705600" cy="1095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05600" cy="1095375"/>
                    </a:xfrm>
                    <a:prstGeom prst="rect">
                      <a:avLst/>
                    </a:prstGeom>
                  </pic:spPr>
                </pic:pic>
              </a:graphicData>
            </a:graphic>
          </wp:inline>
        </w:drawing>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Study pending initiation.</w:t>
      </w:r>
    </w:p>
    <w:p>
      <w:pPr>
        <w:pStyle w:val="TextBody"/>
        <w:spacing w:before="240" w:after="0"/>
        <w:jc w:val="left"/>
        <w:rPr>
          <w:rFonts w:ascii="Times New Roman" w:hAnsi="Times New Roman"/>
          <w:sz w:val="20"/>
        </w:rPr>
      </w:pPr>
      <w:r>
        <w:rPr>
          <w:rFonts w:ascii="Times New Roman;serif" w:hAnsi="Times New Roman;serif"/>
          <w:b w:val="false"/>
          <w:i/>
          <w:sz w:val="20"/>
          <w:u w:val="single"/>
        </w:rPr>
        <w:t>Voruciclib: Potent Orally Administered CDK9 Inhibitor in Phase 1 Studies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Voruciclib is a potent orally administered CDK9 inhibitor. Voruciclib is being evaluated in a Phase 1b trial evaluating dose and schedule in patients with acute myeloid leukemia (“AML”) and B-cell malignancies. Voruciclib is also being evaluated in pre-clinical studies to explore the potential synergistic activity in various solid tumor cancers of voruciclib in combination with drug-candidates that targets in the RAS signaling pathway, including KRAS.</w:t>
      </w:r>
    </w:p>
    <w:p>
      <w:pPr>
        <w:pStyle w:val="TextBody"/>
        <w:spacing w:before="120" w:after="0"/>
        <w:jc w:val="left"/>
        <w:rPr>
          <w:rFonts w:ascii="Times New Roman" w:hAnsi="Times New Roman"/>
          <w:sz w:val="20"/>
        </w:rPr>
      </w:pPr>
      <w:r>
        <w:rPr>
          <w:rFonts w:ascii="Times New Roman;serif" w:hAnsi="Times New Roman;serif"/>
          <w:b w:val="false"/>
          <w:i/>
          <w:sz w:val="20"/>
        </w:rPr>
        <w:t>Voruciclib Scientific Overview: Cell Cycle Signaling</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CDK9 has important functions in cell cycle regulation, including the modulation of two therapeutic targets in cancer:</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CDK9 is a transcriptional regulator of the myeloid leukemia cell differentiation protein (“MCL1”), a member of the family of anti-apoptotic proteins which, when elevated, may prevent the cell from undergoing cell death. Inhibition of CDK9 blocks the production of MCL1, which is an established resistance mechanism to the B-cell lymphoma (“BCL2”) inhibitor venetoclax (marketed as Venclexta®).</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 xml:space="preserve">CDK9 is a transcriptional regulator of the MYC proto-oncogene protein (“MYC”) which regulates cell proliferation and growth. Upregulation of MYC is implicated in many human cancers and is frequently associated with poor prognosis and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jc w:val="left"/>
        <w:rPr/>
      </w:pPr>
      <w:r>
        <w:rPr>
          <w:rFonts w:ascii="Times New Roman;serif" w:hAnsi="Times New Roman;serif"/>
          <w:b w:val="false"/>
          <w:sz w:val="20"/>
        </w:rPr>
        <w:t>unfavorable patient survival. CDK9, in addition to being a transcription factor for MYC, also decreases phosphorylation of MYC protein that is implicated in stabilizing MYC in KRAS mutant cancers.</w:t>
      </w:r>
      <w:r>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Targeting MYC directly has historically been difficult, but CDK9 is a promising approach to target this oncogene.</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Voruciclib: Inhibition of MCL1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pre-clinical models.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a peer reviewed manuscript published in 2020 by Luedtke et al, it was reported that the inhibition of CDK9 by voruciclib synergistically enhances cell death induced by the Bcl-2 selective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also downregulates MYC, which also contributes to the synergies with venetoclax.</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research presented suggests that voruciclib is an attractive therapeutic target for treating cancers in combination with venetoclax or other BCL-2 inhibitors, and is supportive of our ongoing clinical evaluation of voruciclib in B-cell malignancies and AML.</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Voruciclib: Inhibition of MYC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Many cancers are associated with overexpression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demonstrates that voruciclib:</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Results in a rapid decrease in the phosphorylation of proteins that promote MYC transcription;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Rapidly decreases phosphorylation of MYC protein on Ser62, a site implicated in stabilizing MYC in KRAS mutant cancers;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Possesses single agent activity against multiple KRAS mutant cancer cell lines both in vitro and in vivo;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Synergistically inhibits KRAS G12C mutant cancer cell lines in combination with KRAS G12C inhibitors, both in vitro and in vivo.</w:t>
      </w:r>
    </w:p>
    <w:p>
      <w:pPr>
        <w:pStyle w:val="TextBody"/>
        <w:spacing w:before="120" w:after="0"/>
        <w:jc w:val="left"/>
        <w:rPr>
          <w:rFonts w:ascii="Times New Roman" w:hAnsi="Times New Roman"/>
          <w:sz w:val="20"/>
        </w:rPr>
      </w:pPr>
      <w:r>
        <w:rPr>
          <w:rFonts w:ascii="Times New Roman;serif" w:hAnsi="Times New Roman;serif"/>
          <w:b w:val="false"/>
          <w:sz w:val="20"/>
        </w:rPr>
        <w:t>The research presented suggests that voruciclib could be an attractive therapeutic agent for cancers, including solid tumors, dependent on the activity of MYC.</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Clinical Program</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evaluating patients with hematological malignancies in a Phase 1b clinical trial evaluating the dose and schedule of voruciclib. The trial started with the evaluation of dose and schedule of voruciclib as a monotherapy in patients with relapsed and refractory B-cell malignancies and AML after failure of prior standard therapies to determine the safety, preliminary efficacy and maximum tolerated dose. We are now also evaluating the dose and schedule of voruciclib in combination with venetoclax, a BCL2 inhibitor, initially in patients with AML and subsequently across multiple indications where BCL2 inhibition has been shown to be effective. The primary goal of the Phase 1b study is to assess the safety, and possible synergies, of voruciclib administered in combination with venetoclax. We are planning to report key interim clinical data from this trial around calendar year-end 2023.</w:t>
      </w:r>
    </w:p>
    <w:p>
      <w:pPr>
        <w:pStyle w:val="TextBody"/>
        <w:spacing w:before="120" w:after="0"/>
        <w:jc w:val="left"/>
        <w:rPr>
          <w:rFonts w:ascii="Times New Roman" w:hAnsi="Times New Roman"/>
          <w:sz w:val="20"/>
        </w:rPr>
      </w:pPr>
      <w:r>
        <w:rPr>
          <w:rFonts w:ascii="Times New Roman;serif" w:hAnsi="Times New Roman;serif"/>
          <w:b w:val="false"/>
          <w:sz w:val="20"/>
        </w:rPr>
        <w:t>As reported at the American Society of Hematology 2021 annual meeting in a poster presentation, data to date from the Phase 1 study evaluating voruciclib as a monotherapy on an optimized schedule of 14 consecutive days in a 28-day cycle was well tolerated. No dose limiting toxicities were observed and no significant myelosuppression was seen in patients with B-cell malignancies, suggesting a lower likelihood of additive toxicities in combination with venetoclax. Disease stabilization was observed in heavily pretreated patients and differentiation syndrome was observed in AML patients, which is indicative of biologic activity.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 in nine patients with BRAF mutated advanced/inoperable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val="false"/>
          <w:i/>
          <w:sz w:val="20"/>
          <w:u w:val="single"/>
        </w:rPr>
      </w:pPr>
      <w:r>
        <w:rPr>
          <w:rFonts w:ascii="Times New Roman;serif" w:hAnsi="Times New Roman;serif"/>
          <w:b w:val="false"/>
          <w:i/>
          <w:sz w:val="20"/>
          <w:u w:val="single"/>
        </w:rPr>
        <w:t>ME-344: Clinical Stage Mitochondrial Inhibitor with Combinatorial Potential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ME-344 is our novel isoflavone-derived mitochondrial inhibitor drug candidate that demonstrates tumor selective activity in pre-clinical studies. It targets the oxidative phosphorylation pathway involved in adenosine triphosphate (“ATP”) production in the mitochondria. ME-344 has been evaluated in clinical studies, including an investigator-initiated, multi-center, randomized, window of opportunity clinical trial in combination with the vascular endothelial growth factor (“VEGF”) inhibitor bevacizumab (marketed as Avastin ®) that enrolled a total of 42 patients with human epidermal growth factor receptor 2 (“HER2”) negative breast cancer.</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ME-344 Scientific Overview: Cancer Metabolism</w:t>
      </w:r>
    </w:p>
    <w:p>
      <w:pPr>
        <w:pStyle w:val="TextBody"/>
        <w:spacing w:before="120" w:after="0"/>
        <w:jc w:val="left"/>
        <w:rPr>
          <w:rFonts w:ascii="Times New Roman" w:hAnsi="Times New Roman"/>
          <w:sz w:val="20"/>
        </w:rPr>
      </w:pPr>
      <w:r>
        <w:rPr>
          <w:rFonts w:ascii="Times New Roman;serif" w:hAnsi="Times New Roman;serif"/>
          <w:b w:val="false"/>
          <w:sz w:val="20"/>
        </w:rPr>
        <w:t>Tumor cells often display a high metabolic rate to support cell division and growth. This heightened metabolism requires a continual supply of energy in the form of ATP. The two major sources of ATP are the specialized cellular organelles termed mitochondria and through the metabolism of carbohydrates via the glycolysis pathway, which is frequently unregulated in cancer cells in a phenomenon called the Warburg Effect.</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ME-344 was identified through a screen of more than 400 new chemical structures originally created based on the central design of naturally occurring plant isoflavones. We believe that some of these synthetic compounds, including our drug candidate ME-344, interact with specific mitochondrial enzyme targets, resulting in the inhibition of ATP generation. When these compounds interact with their target, a rapid reduction in ATP occurs, which leads to a cascade of biochemical events within the cell and ultimately to cell death.</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Clinical Program</w:t>
      </w:r>
    </w:p>
    <w:p>
      <w:pPr>
        <w:pStyle w:val="TextBody"/>
        <w:spacing w:before="120" w:after="0"/>
        <w:jc w:val="left"/>
        <w:rPr>
          <w:rFonts w:ascii="Times New Roman" w:hAnsi="Times New Roman"/>
          <w:sz w:val="20"/>
        </w:rPr>
      </w:pPr>
      <w:r>
        <w:rPr>
          <w:rFonts w:ascii="Times New Roman;serif" w:hAnsi="Times New Roman;serif"/>
          <w:b w:val="false"/>
          <w:sz w:val="20"/>
        </w:rPr>
        <w:t>ME-344 demonstrated evidence of single agent activity against refractory solid tumors in a Phase 1 trial, and in pre-clinical studies tumor cells treated with ME-344 resulted in a rapid loss of ATP and cancer cell death. In addition to single agent activity, ME-344 may also have significant potential in combination with anti-angiogenic therapeutics. In pre-clinical studies, it was shown that one outcome of anti-angiogenics was to reduce the rate of glycolysis in tumors as a mechanism to slow tumor growth. However, tumor metabolism was able to shift to mitochondrial metabolism for energy production to support continued tumor proliferation. In such cases of tumor plasticity in the presence of treatment with anti-angiogenics, targeting the alternative metabolic source with ME-344 may open an important therapeutic opportunity.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Results published in the November 2019 issue of Clinical Cancer Research from a multicenter, investigator-initiated, randomized, open-label, clinical trial that evaluated the combination of ME-344 and bevacizumab in 42 women with early HER2-negative breast cancer further support the combinatorial use of ME-344 with anti-angiogenic therapeutics.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primary objective of the trial was to show proof of ME-344 biologic activity as measured by Ki67 reductions in the presence of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 significant biologic activity in the ME-344 treatment group:</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ME-344 treated patients, mean absolute Ki67 decreases were 13.3 compared to an increase of 1.1 in the bevacizumab monotherapy group (P=0.01).</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ME-344 treated patients, mean relative Ki67 decreases were 23% compared to an increase of 186% in the bevacizumab monotherapy group (P &lt; 0.01).</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Treatment was generally well tolerated; three grade 3 adverse events of high blood pressure were reported, two in the ME-344 arm and one in the bevacizumab monotherapy arm.</w:t>
      </w:r>
    </w:p>
    <w:p>
      <w:pPr>
        <w:pStyle w:val="TextBody"/>
        <w:spacing w:before="120" w:after="0"/>
        <w:jc w:val="left"/>
        <w:rPr>
          <w:rFonts w:ascii="Times New Roman" w:hAnsi="Times New Roman"/>
          <w:sz w:val="20"/>
        </w:rPr>
      </w:pPr>
      <w:r>
        <w:rPr>
          <w:rFonts w:ascii="Times New Roman;serif" w:hAnsi="Times New Roman;serif"/>
          <w:b w:val="false"/>
          <w:sz w:val="20"/>
        </w:rPr>
        <w:t>Results from our earlier, first-in-human, single-agent Phase 1 clinical trial of ME-344 in patients with refractory solid tumors were published in the April 1, 2015 edition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 w:hAnsi="Times New Roman"/>
          <w:sz w:val="20"/>
        </w:rPr>
      </w:pPr>
      <w:r>
        <w:rPr>
          <w:rFonts w:ascii="Times New Roman;serif" w:hAnsi="Times New Roman;serif"/>
          <w:b w:val="false"/>
          <w:sz w:val="20"/>
        </w:rPr>
        <w:t>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are planning to advance ME-344 in combination with the anti-angiogenic antibody bevacizumab in a Phase 1b study evaluating patients with relapsed colorectal cancer in the second quarter of calendar year 2023. The study will enroll patients with progressive disease after failure of standard therapies with patients treated until disease progression or intolerance. The primary objective is progression free survival. Secondary endpoints include overall response rate, duration of response, overall survival and safety. We are planning to report key interim clinical data from this trial around calendar year-end 2023.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concludes that ME-344 enhances venetoclax activity against AML cells including resistant AML.</w:t>
      </w:r>
    </w:p>
    <w:p>
      <w:pPr>
        <w:pStyle w:val="TextBody"/>
        <w:spacing w:before="240" w:after="0"/>
        <w:jc w:val="left"/>
        <w:rPr>
          <w:rFonts w:ascii="Times New Roman;serif" w:hAnsi="Times New Roman;serif"/>
          <w:b w:val="false"/>
          <w:i/>
          <w:sz w:val="20"/>
          <w:u w:val="single"/>
        </w:rPr>
      </w:pPr>
      <w:r>
        <w:rPr>
          <w:rFonts w:ascii="Times New Roman;serif" w:hAnsi="Times New Roman;serif"/>
          <w:b w:val="false"/>
          <w:i/>
          <w:sz w:val="20"/>
          <w:u w:val="single"/>
        </w:rPr>
        <w:t>Zandelisib: PI3Kδ Inhibitor Overview</w:t>
      </w:r>
    </w:p>
    <w:p>
      <w:pPr>
        <w:pStyle w:val="TextBody"/>
        <w:spacing w:before="120" w:after="0"/>
        <w:jc w:val="left"/>
        <w:rPr>
          <w:rFonts w:ascii="Times New Roman" w:hAnsi="Times New Roman"/>
          <w:sz w:val="20"/>
        </w:rPr>
      </w:pPr>
      <w:r>
        <w:rPr>
          <w:rFonts w:ascii="Times New Roman;serif" w:hAnsi="Times New Roman;serif"/>
          <w:b w:val="false"/>
          <w:sz w:val="20"/>
        </w:rPr>
        <w:t>Zandelisib is an oral, once-daily, selective PI3Kδ inhibitor that we were jointly developing with Kyowa Kirin under a global license, development and commercialization agreement entered into in April 2020.</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March 2022, we and Kyowa Kirin reported the outcome of an end of Phase 2 meeting with the FDA wherein the agency discouraged a filing based on data from a single-arm Phase 2 trial, called TIDAL, evaluating zandelisib in patients with relapsed or refractory follicular lymphoma. At this meeting, the FDA stated that data generated from single arm studies such as the Phase 2 TIDAL trial are insufficient to adequately assess the risk/benefit of PI3K inhibitors evaluating indolent non-Hodgkin lymphoma. At that time the FDA emphasized that the companies continue efforts with the ongoing randomized Phase 3 COASTAL trial evaluating patients with relapsed or refractory follicular or marginal zone lymphomas. Subsequently, at an April 2022 meeting of the FDA Oncology Drugs Advisory Committee, the committee voted that future approvals of PI3K inhibitors for hematologic malignancies should be supported by randomized data.</w:t>
      </w:r>
    </w:p>
    <w:p>
      <w:pPr>
        <w:pStyle w:val="TextBody"/>
        <w:spacing w:before="120" w:after="0"/>
        <w:jc w:val="left"/>
        <w:rPr>
          <w:rFonts w:ascii="Times New Roman" w:hAnsi="Times New Roman"/>
          <w:sz w:val="20"/>
        </w:rPr>
      </w:pPr>
      <w:r>
        <w:rPr>
          <w:rFonts w:ascii="Times New Roman;serif" w:hAnsi="Times New Roman;serif"/>
          <w:b w:val="false"/>
          <w:sz w:val="20"/>
        </w:rPr>
        <w:t>In November 2022, we and Kyowa Kirin met with the FDA in a follow-up meeting to the March 2022 end of Phase 2 meeting. At this meeting, the FDA provided further guidance regarding the design and statistical analysis for the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Kyowa Kirin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Kyowa Kirin has been evaluating whether to continue developing zandelisib in Japan and after meeting with the PMDA has concluded that conducting a randomized study consistent with agency guidance to support a marketing application would likely not be feasible to complete within a time period that would support further investment. As a result, in May 2023, Kyowa Kirin decided to discontinue development of zandelisib in Japan. The discontinuation of zandelisib in Japan was a business decision by Kyowa Kirin based on the most recent regulatory guidance from the PMDA and is not related to the zandelisib clinical data generated to date.</w:t>
      </w:r>
      <w:r>
        <w:rPr>
          <w:rFonts w:ascii="Times New Roman" w:hAnsi="Times New Roman"/>
          <w:sz w:val="20"/>
        </w:rPr>
        <w:t xml:space="preserve"> </w:t>
      </w:r>
    </w:p>
    <w:p>
      <w:pPr>
        <w:pStyle w:val="TextBody"/>
        <w:spacing w:before="120" w:after="0"/>
        <w:jc w:val="left"/>
        <w:rPr>
          <w:rFonts w:ascii="Times New Roman" w:hAnsi="Times New Roman"/>
          <w:sz w:val="20"/>
        </w:rPr>
      </w:pPr>
      <w:r>
        <w:rPr>
          <w:rFonts w:ascii="Times New Roman;serif" w:hAnsi="Times New Roman;serif"/>
          <w:b w:val="false"/>
          <w:sz w:val="20"/>
        </w:rPr>
        <w:t>We and Kyowa Kirin have begun closing all ongoing zandelisib clinical studies outside of Japan, including the Phase 3 COASTAL trial, the Phase 2 TIDAL trial, and the Phase 2 CORAL trial.</w:t>
      </w:r>
      <w:r>
        <w:rPr>
          <w:rFonts w:ascii="Times New Roman" w:hAnsi="Times New Roman"/>
          <w:sz w:val="20"/>
        </w:rPr>
        <w:t xml:space="preserve"> </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Kyowa Kirin License, Development and Commercialization Agreement</w:t>
      </w:r>
    </w:p>
    <w:p>
      <w:pPr>
        <w:pStyle w:val="TextBody"/>
        <w:spacing w:before="120" w:after="0"/>
        <w:jc w:val="left"/>
        <w:rPr>
          <w:rFonts w:ascii="Times New Roman" w:hAnsi="Times New Roman"/>
          <w:sz w:val="20"/>
        </w:rPr>
      </w:pPr>
      <w:r>
        <w:rPr>
          <w:rFonts w:ascii="Times New Roman;serif" w:hAnsi="Times New Roman;serif"/>
          <w:b w:val="false"/>
          <w:sz w:val="20"/>
        </w:rPr>
        <w:t>In April 2020, we entered into the Kyowa Kirin Commercialization Agreement under which we granted to Kyowa Kirin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Kyowa Kirin Commercialization Agreement), sublicensable, payment-bearing, license under certain patents and know-how controlled by us to develop and commercialize zandelisib and any pharmaceutical product containing zandelisib for all human indications in countries outside of the U.S. (the “Ex-U.S.” and the “Ex-U.S. License”). Kyowa Kirin granted to us a co-exclusive, sublicensable, license under certain patents and know-how controlled by Kyowa Kirin to develop and commercialize zandelisib for all human indications in the U.S., and a co-exclusive,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 w:hAnsi="Times New Roman"/>
          <w:sz w:val="20"/>
        </w:rPr>
      </w:pPr>
      <w:r>
        <w:rPr>
          <w:rFonts w:ascii="Times New Roman;serif" w:hAnsi="Times New Roman;serif"/>
          <w:b w:val="false"/>
          <w:sz w:val="20"/>
        </w:rPr>
        <w:t>sublicensable, royalty-free, fully paid license under certain patents and know-how controlled by Kyowa Kirin to perform our obligations in the Ex-U.S. under the Kyowa Kirin Commercialization Agreement. Kyowa Kirin paid us an initial payment of $100.0 million. Additionally, in Japan, the Kyowa Kirin Commercialization Agreement included potential regulatory and commercialization milestone payments plus royalties on net sales of zandelisib in Japan, which are tiered beginning in the teens.</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Kyowa Kirin is responsible for the development and commercialization of zandelisib in the Ex-U.S. and, subject to certain exceptions, is solely responsible for all costs related thereto. We will also provide to Kyowa Kirin certain drug supplies necessary for the development and commercialization of zandelisib in the Ex-U.S., with the understanding that Kyowa Kirin will assume responsibility for manufacturing for the Ex-U.S. as soon as practicable. In light of Kyowa Kirin's decision to discontinue development of zandelisib in Japan, the parties intend to terminate the Kyowa Kirin Commercialization Agreement.</w:t>
      </w:r>
    </w:p>
    <w:p>
      <w:pPr>
        <w:pStyle w:val="TextBody"/>
        <w:spacing w:before="240" w:after="0"/>
        <w:jc w:val="left"/>
        <w:rPr>
          <w:rFonts w:ascii="Times New Roman;serif" w:hAnsi="Times New Roman;serif"/>
          <w:b/>
          <w:sz w:val="20"/>
        </w:rPr>
      </w:pPr>
      <w:r>
        <w:rPr>
          <w:rFonts w:ascii="Times New Roman;serif" w:hAnsi="Times New Roman;serif"/>
          <w:b/>
          <w:sz w:val="20"/>
        </w:rPr>
        <w:t>Results of Operations</w:t>
      </w:r>
    </w:p>
    <w:p>
      <w:pPr>
        <w:pStyle w:val="TextBody"/>
        <w:spacing w:before="120" w:after="0"/>
        <w:jc w:val="left"/>
        <w:rPr>
          <w:rFonts w:ascii="Times New Roman;serif" w:hAnsi="Times New Roman;serif"/>
          <w:b/>
          <w:sz w:val="20"/>
        </w:rPr>
      </w:pPr>
      <w:r>
        <w:rPr>
          <w:rFonts w:ascii="Times New Roman;serif" w:hAnsi="Times New Roman;serif"/>
          <w:b/>
          <w:sz w:val="20"/>
        </w:rPr>
        <w:t>Comparison of three months ended March 31, 2023 and 2022</w:t>
      </w:r>
    </w:p>
    <w:p>
      <w:pPr>
        <w:pStyle w:val="TextBody"/>
        <w:spacing w:before="24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r>
        <w:rPr>
          <w:rFonts w:ascii="Times New Roman;serif" w:hAnsi="Times New Roman;serif"/>
          <w:b w:val="false"/>
          <w:sz w:val="20"/>
        </w:rPr>
        <w:t>We recognized revenue of $5.9 million for the three months ended March 31, 2023 compared to $9.7 million for the three months ended March 31, 2022. The decrease in revenue comes as a result of decreased reimbursement of expenses from Kyowa Kirin due to the discontinuation of the zandelisib program in December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Research and Development</w:t>
      </w:r>
      <w:r>
        <w:rPr>
          <w:rFonts w:ascii="Times New Roman;serif" w:hAnsi="Times New Roman;serif"/>
          <w:b/>
          <w:sz w:val="20"/>
        </w:rPr>
        <w:t>:</w:t>
      </w:r>
      <w:r>
        <w:rPr>
          <w:rFonts w:ascii="Times New Roman" w:hAnsi="Times New Roman"/>
          <w:sz w:val="20"/>
        </w:rPr>
        <w:t xml:space="preserve"> </w:t>
      </w:r>
      <w:r>
        <w:rPr>
          <w:rFonts w:ascii="Times New Roman;serif" w:hAnsi="Times New Roman;serif"/>
          <w:b w:val="false"/>
          <w:sz w:val="20"/>
        </w:rPr>
        <w:t>The following is a summary of our research and development expenses to supplement the more detailed discussion below. The dollar values in the following table are in thousands.</w:t>
      </w:r>
    </w:p>
    <w:p>
      <w:pPr>
        <w:pStyle w:val="TextBody"/>
        <w:spacing w:before="0" w:after="0"/>
        <w:jc w:val="left"/>
        <w:rPr/>
      </w:pPr>
      <w:r>
        <w:rPr/>
        <w:t> </w:t>
      </w:r>
    </w:p>
    <w:tbl>
      <w:tblPr>
        <w:tblW w:w="6099" w:type="dxa"/>
        <w:jc w:val="left"/>
        <w:tblInd w:w="0" w:type="dxa"/>
        <w:tblCellMar>
          <w:top w:w="28" w:type="dxa"/>
          <w:left w:w="28" w:type="dxa"/>
          <w:bottom w:w="28" w:type="dxa"/>
          <w:right w:w="28" w:type="dxa"/>
        </w:tblCellMar>
      </w:tblPr>
      <w:tblGrid>
        <w:gridCol w:w="3496"/>
        <w:gridCol w:w="146"/>
        <w:gridCol w:w="211"/>
        <w:gridCol w:w="676"/>
        <w:gridCol w:w="146"/>
        <w:gridCol w:w="146"/>
        <w:gridCol w:w="211"/>
        <w:gridCol w:w="676"/>
        <w:gridCol w:w="3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Zandelisib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13,071</w:t>
            </w:r>
          </w:p>
        </w:tc>
        <w:tc>
          <w:tcPr>
            <w:tcW w:w="3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Voruciclib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1,364</w:t>
            </w:r>
          </w:p>
        </w:tc>
        <w:tc>
          <w:tcPr>
            <w:tcW w:w="3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ME-344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382</w:t>
            </w:r>
          </w:p>
        </w:tc>
        <w:tc>
          <w:tcPr>
            <w:tcW w:w="3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15,104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22,318</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primarily as a result of the discontinuation of the program during the three months ended March 31, 2023. Costs related to voruciclib decreased due to lower drug manufacturing costs and clinical costs in the Phase 1b study. Costs related to ME-344 decreased due to decreased drug manufacturing costs and offset by increased clinical costs related to the Phase 1b study. The decrease in other research and development costs is primarily due to personnel costs related to the reduction in force.</w:t>
      </w:r>
    </w:p>
    <w:p>
      <w:pPr>
        <w:pStyle w:val="TextBody"/>
        <w:spacing w:before="240" w:after="0"/>
        <w:jc w:val="left"/>
        <w:rPr>
          <w:rFonts w:ascii="Times New Roman" w:hAnsi="Times New Roman"/>
          <w:sz w:val="20"/>
        </w:rPr>
      </w:pPr>
      <w:r>
        <w:rPr>
          <w:rFonts w:ascii="Times New Roman;serif" w:hAnsi="Times New Roman;serif"/>
          <w:b/>
          <w:i/>
          <w:sz w:val="20"/>
        </w:rPr>
        <w:t>General and Administrative</w:t>
      </w:r>
      <w:r>
        <w:rPr>
          <w:rFonts w:ascii="Times New Roman;serif" w:hAnsi="Times New Roman;serif"/>
          <w:b/>
          <w:sz w:val="20"/>
        </w:rPr>
        <w:t xml:space="preserve">: </w:t>
      </w:r>
      <w:r>
        <w:rPr>
          <w:rFonts w:ascii="Times New Roman;serif" w:hAnsi="Times New Roman;serif"/>
          <w:b w:val="false"/>
          <w:sz w:val="20"/>
        </w:rPr>
        <w:t>General and administrative expenses decreased by $1.7 million to $7.2 million for the three months ended March 31, 2023 compared to $8.9 million for the three months ended March 31, 2022. The decrease is primarily due to lower personnel costs related to the reduction in force.</w:t>
      </w:r>
    </w:p>
    <w:p>
      <w:pPr>
        <w:pStyle w:val="TextBody"/>
        <w:spacing w:before="240" w:after="0"/>
        <w:jc w:val="left"/>
        <w:rPr>
          <w:rFonts w:ascii="Times New Roman" w:hAnsi="Times New Roman"/>
          <w:sz w:val="20"/>
        </w:rPr>
      </w:pPr>
      <w:r>
        <w:rPr>
          <w:rFonts w:ascii="Times New Roman;serif" w:hAnsi="Times New Roman;serif"/>
          <w:b/>
          <w:i/>
          <w:sz w:val="20"/>
        </w:rPr>
        <w:t>Other income or expense:</w:t>
      </w:r>
      <w:r>
        <w:rPr>
          <w:rFonts w:ascii="Times New Roman" w:hAnsi="Times New Roman"/>
          <w:sz w:val="20"/>
        </w:rPr>
        <w:t xml:space="preserve"> </w:t>
      </w:r>
      <w:r>
        <w:rPr>
          <w:rFonts w:ascii="Times New Roman;serif" w:hAnsi="Times New Roman;serif"/>
          <w:b w:val="false"/>
          <w:sz w:val="20"/>
        </w:rPr>
        <w:t>We recorded a non-cash gain of zero during the three months ended March 31, 2023 compared to a non-cash gain of $12.8 million during the three months ended March 31, 2022 due to a change in the fair value of our warrant liability. The change in the warrant liability is primarily due to changes in our stock price. Additionally, we received interest and dividend income of $1.0 million for the three months ended March 31, 2023 compared to $60,000 for the three months ended March 31, 2022. The increase is primarily due to higher yields during the three months ended March 31, 2023 compared to the three months ended March 31, 2022.</w:t>
      </w:r>
    </w:p>
    <w:p>
      <w:pPr>
        <w:pStyle w:val="TextBody"/>
        <w:spacing w:before="120" w:after="0"/>
        <w:jc w:val="left"/>
        <w:rPr>
          <w:rFonts w:ascii="Times New Roman;serif" w:hAnsi="Times New Roman;serif"/>
          <w:b/>
          <w:sz w:val="20"/>
        </w:rPr>
      </w:pPr>
      <w:r>
        <w:rPr>
          <w:rFonts w:ascii="Times New Roman;serif" w:hAnsi="Times New Roman;serif"/>
          <w:b/>
          <w:sz w:val="20"/>
        </w:rPr>
        <w:t>Comparison of nine months ended March 31, 2023 and 2022</w:t>
      </w:r>
    </w:p>
    <w:p>
      <w:pPr>
        <w:pStyle w:val="TextBody"/>
        <w:spacing w:before="24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r>
        <w:rPr>
          <w:rFonts w:ascii="Times New Roman;serif" w:hAnsi="Times New Roman;serif"/>
          <w:b w:val="false"/>
          <w:sz w:val="20"/>
        </w:rPr>
        <w:t>We recognized revenue of $47.4 million for the nine months ended March 31, 2023 compared to $29.3 million for the nine months ended March 31, 2022. As a result of the discontinuation of the zandelisib program, we updated our estimated costs to complete each performance obligation, resulting in a higher progress towards completion based on the ratio of costs incurred to date to the total estimated costs, resulting in the recognition of $16.6 million of previously deferred revenue related to performance obligations that are being closed. We also recognized $8.6 million of previously deferred revenue related to performance obligations associated with clinical trials that have not commenced and will no longer be initiated. This increase in revenue is offset by a decrease in reimbursement of expenses from Kyowa Kirin due to the discontinuation of the zandelisib program in December 2022.</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 w:hAnsi="Times New Roman"/>
          <w:sz w:val="20"/>
        </w:rPr>
      </w:pPr>
      <w:r>
        <w:rPr>
          <w:rFonts w:ascii="Times New Roman;serif" w:hAnsi="Times New Roman;serif"/>
          <w:b/>
          <w:i/>
          <w:sz w:val="20"/>
        </w:rPr>
        <w:t>Research and Development</w:t>
      </w:r>
      <w:r>
        <w:rPr>
          <w:rFonts w:ascii="Times New Roman;serif" w:hAnsi="Times New Roman;serif"/>
          <w:b/>
          <w:sz w:val="20"/>
        </w:rPr>
        <w:t>:</w:t>
      </w:r>
      <w:r>
        <w:rPr>
          <w:rFonts w:ascii="Times New Roman" w:hAnsi="Times New Roman"/>
          <w:sz w:val="20"/>
        </w:rPr>
        <w:t xml:space="preserve"> </w:t>
      </w:r>
      <w:r>
        <w:rPr>
          <w:rFonts w:ascii="Times New Roman;serif" w:hAnsi="Times New Roman;serif"/>
          <w:b w:val="false"/>
          <w:sz w:val="20"/>
        </w:rPr>
        <w:t>The following is a summary of our research and development expenses to supplement the more detailed discussion below. The dollar values in the following table are in thousands.</w:t>
      </w:r>
    </w:p>
    <w:tbl>
      <w:tblPr>
        <w:tblW w:w="6099" w:type="dxa"/>
        <w:jc w:val="left"/>
        <w:tblInd w:w="0" w:type="dxa"/>
        <w:tblCellMar>
          <w:top w:w="28" w:type="dxa"/>
          <w:left w:w="28" w:type="dxa"/>
          <w:bottom w:w="28" w:type="dxa"/>
          <w:right w:w="28" w:type="dxa"/>
        </w:tblCellMar>
      </w:tblPr>
      <w:tblGrid>
        <w:gridCol w:w="3496"/>
        <w:gridCol w:w="146"/>
        <w:gridCol w:w="211"/>
        <w:gridCol w:w="676"/>
        <w:gridCol w:w="146"/>
        <w:gridCol w:w="146"/>
        <w:gridCol w:w="211"/>
        <w:gridCol w:w="676"/>
        <w:gridCol w:w="391"/>
      </w:tblGrid>
      <w:tr>
        <w:trPr/>
        <w:tc>
          <w:tcPr>
            <w:tcW w:w="3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Nine Months Ended</w:t>
              <w:b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Zandelisib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40,082</w:t>
            </w:r>
          </w:p>
        </w:tc>
        <w:tc>
          <w:tcPr>
            <w:tcW w:w="3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Voruciclib</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3,950</w:t>
            </w:r>
          </w:p>
        </w:tc>
        <w:tc>
          <w:tcPr>
            <w:tcW w:w="3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ME-344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2,166</w:t>
            </w:r>
          </w:p>
        </w:tc>
        <w:tc>
          <w:tcPr>
            <w:tcW w:w="391" w:type="dxa"/>
            <w:tcBorders/>
            <w:shd w:fill="auto" w:val="clear"/>
            <w:vAlign w:val="center"/>
          </w:tcPr>
          <w:p>
            <w:pPr>
              <w:pStyle w:val="TableContents"/>
              <w:spacing w:before="0" w:after="0"/>
              <w:ind w:left="0" w:right="0" w:hanging="0"/>
              <w:jc w:val="left"/>
              <w:rPr/>
            </w:pPr>
            <w:r>
              <w:rPr/>
              <w:t> </w:t>
            </w:r>
          </w:p>
        </w:tc>
      </w:tr>
      <w:tr>
        <w:trPr/>
        <w:tc>
          <w:tcPr>
            <w:tcW w:w="349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17,604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9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49,880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63,802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left"/>
        <w:rPr>
          <w:rFonts w:ascii="Times New Roman;serif" w:hAnsi="Times New Roman;serif"/>
          <w:b w:val="false"/>
          <w:sz w:val="20"/>
        </w:rPr>
      </w:pPr>
      <w:r>
        <w:rPr>
          <w:rFonts w:ascii="Times New Roman;serif" w:hAnsi="Times New Roman;serif"/>
          <w:b w:val="false"/>
          <w:sz w:val="20"/>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primarily as a result of the discontinuation of the program during the nine months ended March 31, 2023. Costs related to voruciclib decreased due to lower drug manufacturing costs and clinical costs related to the Phase 1b study. Costs related to ME-344 decreased due to decreased drug manufacturing costs and clinical costs related to the Phase 1b study. The increase in other research and development costs is primarily due to personnel costs, including severance costs related to the reduction in force, offset by lower share-based compensation expenses.</w:t>
      </w:r>
    </w:p>
    <w:p>
      <w:pPr>
        <w:pStyle w:val="TextBody"/>
        <w:spacing w:before="240" w:after="0"/>
        <w:jc w:val="left"/>
        <w:rPr>
          <w:rFonts w:ascii="Times New Roman" w:hAnsi="Times New Roman"/>
          <w:sz w:val="20"/>
        </w:rPr>
      </w:pPr>
      <w:r>
        <w:rPr>
          <w:rFonts w:ascii="Times New Roman;serif" w:hAnsi="Times New Roman;serif"/>
          <w:b/>
          <w:i/>
          <w:sz w:val="20"/>
        </w:rPr>
        <w:t>General and Administrative</w:t>
      </w:r>
      <w:r>
        <w:rPr>
          <w:rFonts w:ascii="Times New Roman;serif" w:hAnsi="Times New Roman;serif"/>
          <w:b/>
          <w:sz w:val="20"/>
        </w:rPr>
        <w:t xml:space="preserve">: </w:t>
      </w:r>
      <w:r>
        <w:rPr>
          <w:rFonts w:ascii="Times New Roman;serif" w:hAnsi="Times New Roman;serif"/>
          <w:b w:val="false"/>
          <w:sz w:val="20"/>
        </w:rPr>
        <w:t>General and administrative expenses decreased by $1.6 million to $23.2 million for the nine months ended March 31, 2023 compared to $24.8 million for the nine months ended March 31, 2022. The decrease is primarily due to personnel costs related to the reduction in force offset by increased legal fees and investment banking fees as a result of the proposed merger agreement.</w:t>
      </w:r>
    </w:p>
    <w:p>
      <w:pPr>
        <w:pStyle w:val="TextBody"/>
        <w:spacing w:before="240" w:after="0"/>
        <w:jc w:val="left"/>
        <w:rPr>
          <w:rFonts w:ascii="Times New Roman" w:hAnsi="Times New Roman"/>
          <w:sz w:val="20"/>
        </w:rPr>
      </w:pPr>
      <w:r>
        <w:rPr>
          <w:rFonts w:ascii="Times New Roman;serif" w:hAnsi="Times New Roman;serif"/>
          <w:b/>
          <w:i/>
          <w:sz w:val="20"/>
        </w:rPr>
        <w:t>Other income or expense:</w:t>
      </w:r>
      <w:r>
        <w:rPr>
          <w:rFonts w:ascii="Times New Roman" w:hAnsi="Times New Roman"/>
          <w:sz w:val="20"/>
        </w:rPr>
        <w:t xml:space="preserve"> </w:t>
      </w:r>
      <w:r>
        <w:rPr>
          <w:rFonts w:ascii="Times New Roman;serif" w:hAnsi="Times New Roman;serif"/>
          <w:b w:val="false"/>
          <w:sz w:val="20"/>
        </w:rPr>
        <w:t>We recorded a non-cash gain of $1.6 million during the nine months ended March 31, 2023 due to a change in the fair value of our warrant liability compared to a non-cash gain of $20.8 million during the nine months ended March 31, 2022. The change in the warrant liability is primarily due to changes in our stock price. Additionally, we received interest and dividend income of $2.3 million for the nine months ended March 31, 2023 compared to $78,000 for the nine months ended March 31, 2022. The increase is primarily due to higher yields during the nine months ended March 31, 2023 compared to the nine months ended March 31, 2022.</w:t>
      </w:r>
    </w:p>
    <w:p>
      <w:pPr>
        <w:pStyle w:val="TextBody"/>
        <w:spacing w:before="240" w:after="0"/>
        <w:jc w:val="left"/>
        <w:rPr>
          <w:rFonts w:ascii="Times New Roman;serif" w:hAnsi="Times New Roman;serif"/>
          <w:b/>
          <w:sz w:val="20"/>
        </w:rPr>
      </w:pPr>
      <w:r>
        <w:rPr>
          <w:rFonts w:ascii="Times New Roman;serif" w:hAnsi="Times New Roman;serif"/>
          <w:b/>
          <w:sz w:val="20"/>
        </w:rPr>
        <w:t>Liquidity and Capital Resources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accumulated losses of $396.0 million since inception and expect to incur operating losses and generate negative cash flows from operations for the foreseeable future. As of March 31, 2023, we had $112.0 million in cash and cash equivalents, and short-term investments. We believe that these resources will be sufficient to fund our operations for at least 12 months from the issuance of this Quarterly Report. Our current business operations are focused on continuing the clinical development of our drug candidates. Changes to our research and development plans or other changes affecting our operations and operating expenses may affect actual future use of existing cash resources.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Sources and Uses of Our Cash</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operating activities for the nine months ended March 31, 2023 was $41.2 million as compared to net cash used in operating activities of $33.2 million for the nine months ended March 31, 2022. The increase in net cash used in operating activities period over period reflects the receipt of two $10.0 million milestones during the nine months ended March 31, 2022, related to the Kyowa Kirin Commercialization Agreement, with no corresponding receipt for the nine months ended March 31, 2023, as well as other changes in working capital.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provided by investing activities for the nine months ended March 31, 2023 was $34.3 million as compared to $13.2 million used in investing activities for the nine months ended March 31, 2022. The change was primarily due to increased proceeds from maturities of short-term investments during the nine months ended March 31, 2023, net of purchases.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Net cash used in financing activities during the nine months ended March 31, 2023 was $40,000 compared with $49.0 million provided by financing activities during the nine months ended March 31, 2022. Cash used during the nine months ended March 31, 2023 was due to the payment of RSU tax withholdings in exchange for common shares surrendered by RSU holders. Cash raised during the nine months ended March 31, 2022 reflected $48.7 million of net proceeds from the issuance of common stock.</w:t>
      </w:r>
    </w:p>
    <w:p>
      <w:pPr>
        <w:pStyle w:val="TextBody"/>
        <w:spacing w:before="240" w:after="0"/>
        <w:jc w:val="left"/>
        <w:rPr>
          <w:rFonts w:ascii="Times New Roman;serif" w:hAnsi="Times New Roman;serif"/>
          <w:b/>
          <w:sz w:val="20"/>
        </w:rPr>
      </w:pPr>
      <w:r>
        <w:rPr>
          <w:rFonts w:ascii="Times New Roman;serif" w:hAnsi="Times New Roman;serif"/>
          <w:b/>
          <w:sz w:val="20"/>
        </w:rPr>
        <w:t>Contractual Obligations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Additionally, we have employment agreements with certain of our current employees that provide for severance payments and accelerated vesting for share-based awards if their employment is terminated under specified circumstances.</w:t>
      </w:r>
    </w:p>
    <w:p>
      <w:pPr>
        <w:pStyle w:val="TextBody"/>
        <w:spacing w:before="120" w:after="0"/>
        <w:jc w:val="left"/>
        <w:rPr>
          <w:rFonts w:ascii="Times New Roman" w:hAnsi="Times New Roman"/>
          <w:sz w:val="20"/>
        </w:rPr>
      </w:pPr>
      <w:r>
        <w:rPr>
          <w:rFonts w:ascii="Times New Roman;serif" w:hAnsi="Times New Roman;serif"/>
          <w:b w:val="false"/>
          <w:sz w:val="20"/>
        </w:rPr>
        <w:t xml:space="preserve">We lease office space in San Diego, California under non-cancelable operating leases. The leases are subject to additional variable non-lease component charges (e.g., common area maintenance, maintenance, etc.). See Note 8 </w:t>
      </w:r>
      <w:r>
        <w:rPr>
          <w:rFonts w:ascii="Times New Roman;serif" w:hAnsi="Times New Roman;serif"/>
          <w:b w:val="false"/>
          <w:i/>
          <w:sz w:val="20"/>
        </w:rPr>
        <w:t>Leases</w:t>
      </w:r>
      <w:r>
        <w:rPr>
          <w:rFonts w:ascii="Times New Roman" w:hAnsi="Times New Roman"/>
          <w:sz w:val="20"/>
        </w:rPr>
        <w:t xml:space="preserve"> </w:t>
      </w:r>
      <w:r>
        <w:rPr>
          <w:rFonts w:ascii="Times New Roman;serif" w:hAnsi="Times New Roman;serif"/>
          <w:b w:val="false"/>
          <w:sz w:val="20"/>
        </w:rPr>
        <w:t>of the unaudited condensed consolidated financial statements for additional details related to our lease obligations.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Torreya Partners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October 2022, we engaged Torreya Partners as a financial advisor to help explore additional strategic opportunities. As part of this engagement, we will pay a transaction fee equal to 20% of aggregate consideration, up to a maximum of $2.0 million, upon completion of a strategic transaction. As of March 31, 2023, we have not accrued any amount for potential future transaction fees.</w:t>
      </w:r>
    </w:p>
    <w:p>
      <w:pPr>
        <w:pStyle w:val="TextBody"/>
        <w:spacing w:before="120" w:after="0"/>
        <w:jc w:val="left"/>
        <w:rPr>
          <w:rFonts w:ascii="Times New Roman;serif" w:hAnsi="Times New Roman;serif"/>
          <w:b w:val="false"/>
          <w:i/>
          <w:sz w:val="20"/>
        </w:rPr>
      </w:pPr>
      <w:r>
        <w:rPr>
          <w:rFonts w:ascii="Times New Roman;serif" w:hAnsi="Times New Roman;serif"/>
          <w:b w:val="false"/>
          <w:i/>
          <w:sz w:val="20"/>
        </w:rPr>
        <w:t>Presage License Agreement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September 2017, we entered into the Presage License Agreement. Under the terms of the Presage License Agreement, Presage granted to us exclusive worldwide rights to develop, manufacture and commercialize voruciclib, a clinical-stage, oral and selective CDK inhibitor, and related compounds. In exchange, we paid Presage $2.9 million. With respect to the first indication, an incremental $2.0 million payment, due upon dosing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mid-single-digit tiered royalties on the net sales of any product successfully developed. As an alternative to milestone and royalty payments related to countries in which we sublicense product rights, we will pay to Presage a tiered percent (which decreases as product development progresses) of amounts received from such sublicensees. As of March 31, 2023, we had not accrued any amounts for potential future payments.</w:t>
      </w:r>
    </w:p>
    <w:p>
      <w:pPr>
        <w:pStyle w:val="TextBody"/>
        <w:spacing w:before="240" w:after="0"/>
        <w:jc w:val="left"/>
        <w:rPr>
          <w:rFonts w:ascii="Times New Roman;serif" w:hAnsi="Times New Roman;serif"/>
          <w:b/>
          <w:sz w:val="20"/>
        </w:rPr>
      </w:pPr>
      <w:r>
        <w:rPr>
          <w:rFonts w:ascii="Times New Roman;serif" w:hAnsi="Times New Roman;serif"/>
          <w:b/>
          <w:sz w:val="20"/>
        </w:rPr>
        <w:t>Critical Accounting Policies and Management Estimates</w:t>
      </w:r>
    </w:p>
    <w:p>
      <w:pPr>
        <w:pStyle w:val="TextBody"/>
        <w:spacing w:before="120" w:after="0"/>
        <w:jc w:val="left"/>
        <w:rPr>
          <w:rFonts w:ascii="Times New Roman" w:hAnsi="Times New Roman"/>
          <w:sz w:val="20"/>
        </w:rPr>
      </w:pPr>
      <w:r>
        <w:rPr>
          <w:rFonts w:ascii="Times New Roman;serif" w:hAnsi="Times New Roman;serif"/>
          <w:b w:val="false"/>
          <w:sz w:val="20"/>
        </w:rPr>
        <w:t xml:space="preserve">We describe our significant accounting policies in </w:t>
      </w:r>
      <w:r>
        <w:rPr>
          <w:rFonts w:ascii="Times New Roman;serif" w:hAnsi="Times New Roman;serif"/>
          <w:b w:val="false"/>
          <w:i/>
          <w:sz w:val="20"/>
        </w:rPr>
        <w:t>Note 1. The Company and Summary of Significant Accounting Policies</w:t>
      </w:r>
      <w:r>
        <w:rPr>
          <w:rFonts w:ascii="Times New Roman;serif" w:hAnsi="Times New Roman;serif"/>
          <w:b w:val="false"/>
          <w:sz w:val="20"/>
        </w:rPr>
        <w:t>, of the notes to the financial statements included in our 2022 Annual Report. We discuss our critical accounting estimates in</w:t>
      </w:r>
      <w:r>
        <w:rPr>
          <w:rFonts w:ascii="Times New Roman" w:hAnsi="Times New Roman"/>
          <w:sz w:val="20"/>
        </w:rPr>
        <w:t xml:space="preserve"> </w:t>
      </w:r>
      <w:r>
        <w:rPr>
          <w:rFonts w:ascii="Times New Roman;serif" w:hAnsi="Times New Roman;serif"/>
          <w:b w:val="false"/>
          <w:i/>
          <w:sz w:val="20"/>
        </w:rPr>
        <w:t>Item 7. Management’s Discussion and Analysis of Financial Condition and Results of Operations</w:t>
      </w:r>
      <w:r>
        <w:rPr>
          <w:rFonts w:ascii="Times New Roman;serif" w:hAnsi="Times New Roman;serif"/>
          <w:b w:val="false"/>
          <w:sz w:val="20"/>
        </w:rPr>
        <w:t>, in our 2022 Annual Report. There have been no changes in our significant accounting policies or critical accounting estimates since June 30, 2022.</w:t>
      </w:r>
    </w:p>
    <w:p>
      <w:pPr>
        <w:pStyle w:val="TextBody"/>
        <w:spacing w:before="240" w:after="0"/>
        <w:jc w:val="left"/>
        <w:rPr>
          <w:rFonts w:ascii="Times New Roman;serif" w:hAnsi="Times New Roman;serif"/>
          <w:b/>
          <w:sz w:val="20"/>
        </w:rPr>
      </w:pPr>
      <w:r>
        <w:rPr>
          <w:rFonts w:ascii="Times New Roman;serif" w:hAnsi="Times New Roman;serif"/>
          <w:b/>
          <w:sz w:val="20"/>
        </w:rPr>
        <w:t>Recent Accounting Pronouncement</w:t>
      </w:r>
    </w:p>
    <w:p>
      <w:pPr>
        <w:pStyle w:val="TextBody"/>
        <w:spacing w:before="120" w:after="0"/>
        <w:jc w:val="left"/>
        <w:rPr>
          <w:rFonts w:ascii="Times New Roman" w:hAnsi="Times New Roman"/>
          <w:sz w:val="20"/>
        </w:rPr>
      </w:pPr>
      <w:r>
        <w:rPr>
          <w:rFonts w:ascii="Times New Roman;serif" w:hAnsi="Times New Roman;serif"/>
          <w:b w:val="false"/>
          <w:sz w:val="20"/>
        </w:rPr>
        <w:t xml:space="preserve">See </w:t>
      </w:r>
      <w:r>
        <w:rPr>
          <w:rFonts w:ascii="Times New Roman;serif" w:hAnsi="Times New Roman;serif"/>
          <w:b w:val="false"/>
          <w:i/>
          <w:sz w:val="20"/>
        </w:rPr>
        <w:t>Note 1. The Company and Summary of Significant Accounting Policies</w:t>
      </w:r>
      <w:r>
        <w:rPr>
          <w:rFonts w:ascii="Times New Roman" w:hAnsi="Times New Roman"/>
          <w:sz w:val="20"/>
        </w:rPr>
        <w:t xml:space="preserve"> </w:t>
      </w:r>
      <w:r>
        <w:rPr>
          <w:rFonts w:ascii="Times New Roman;serif" w:hAnsi="Times New Roman;serif"/>
          <w:b w:val="false"/>
          <w:sz w:val="20"/>
        </w:rPr>
        <w:t>in the Notes to Condensed Consolidated Financial Statements in this Quarterly Report.</w:t>
      </w:r>
    </w:p>
    <w:p>
      <w:pPr>
        <w:pStyle w:val="TextBody"/>
        <w:spacing w:before="240" w:after="0"/>
        <w:jc w:val="left"/>
        <w:rPr>
          <w:rFonts w:ascii="Times New Roman;serif" w:hAnsi="Times New Roman;serif"/>
          <w:b/>
          <w:sz w:val="20"/>
        </w:rPr>
      </w:pPr>
      <w:bookmarkStart w:id="11" w:name="item_3_quantitative_and_qualitative_disc"/>
      <w:bookmarkEnd w:id="11"/>
      <w:r>
        <w:rPr>
          <w:rFonts w:ascii="Times New Roman;serif" w:hAnsi="Times New Roman;serif"/>
          <w:b/>
          <w:sz w:val="20"/>
        </w:rPr>
        <w:t>Item 3. Quantitative and Qualitative Disclosures about Market Risk</w:t>
      </w:r>
    </w:p>
    <w:p>
      <w:pPr>
        <w:pStyle w:val="TextBody"/>
        <w:spacing w:before="120" w:after="0"/>
        <w:jc w:val="left"/>
        <w:rPr>
          <w:rFonts w:ascii="Times New Roman;serif" w:hAnsi="Times New Roman;serif"/>
          <w:b/>
          <w:sz w:val="20"/>
        </w:rPr>
      </w:pPr>
      <w:r>
        <w:rPr>
          <w:rFonts w:ascii="Times New Roman;serif" w:hAnsi="Times New Roman;serif"/>
          <w:b/>
          <w:sz w:val="20"/>
        </w:rPr>
        <w:t>Interest Rate Risk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exposure to market interest rates relates primarily to the investments of cash balances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place our cash deposits with high credit quality financial institutions and by policy limit the amount of credit exposure to any one corporation or bank. These deposits are in excess of the Federal Deposit Insurance Corporation (“FDIC”)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We do not consider the effects of interest rate movements to be a material risk to our financial condition.</w:t>
      </w:r>
    </w:p>
    <w:p>
      <w:pPr>
        <w:pStyle w:val="TextBody"/>
        <w:spacing w:before="240" w:after="0"/>
        <w:jc w:val="left"/>
        <w:rPr>
          <w:rFonts w:ascii="Times New Roman;serif" w:hAnsi="Times New Roman;serif"/>
          <w:b/>
          <w:sz w:val="20"/>
        </w:rPr>
      </w:pPr>
      <w:bookmarkStart w:id="12" w:name="item_4_controls_and_procedures"/>
      <w:bookmarkEnd w:id="12"/>
      <w:r>
        <w:rPr>
          <w:rFonts w:ascii="Times New Roman;serif" w:hAnsi="Times New Roman;serif"/>
          <w:b/>
          <w:sz w:val="20"/>
        </w:rPr>
        <w:t>Item 4. Controls and Procedures</w:t>
      </w:r>
    </w:p>
    <w:p>
      <w:pPr>
        <w:pStyle w:val="TextBody"/>
        <w:spacing w:before="120" w:after="0"/>
        <w:jc w:val="left"/>
        <w:rPr>
          <w:rFonts w:ascii="Times New Roman;serif" w:hAnsi="Times New Roman;serif"/>
          <w:b/>
          <w:i/>
          <w:sz w:val="20"/>
        </w:rPr>
      </w:pPr>
      <w:r>
        <w:rPr>
          <w:rFonts w:ascii="Times New Roman;serif" w:hAnsi="Times New Roman;serif"/>
          <w:b/>
          <w:i/>
          <w:sz w:val="20"/>
        </w:rPr>
        <w:t>(a) Disclosure Controls and Procedures</w:t>
      </w:r>
    </w:p>
    <w:p>
      <w:pPr>
        <w:pStyle w:val="TextBody"/>
        <w:spacing w:before="120" w:after="0"/>
        <w:jc w:val="left"/>
        <w:rPr>
          <w:rFonts w:ascii="Times New Roman" w:hAnsi="Times New Roman"/>
          <w:sz w:val="20"/>
        </w:rPr>
      </w:pPr>
      <w:r>
        <w:rPr>
          <w:rFonts w:ascii="Times New Roman;serif" w:hAnsi="Times New Roman;serif"/>
          <w:b w:val="false"/>
          <w:sz w:val="20"/>
        </w:rPr>
        <w:t>We maintain disclosure controls and procedures that are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r>
        <w:rPr>
          <w:rFonts w:ascii="Times New Roman" w:hAnsi="Times New Roman"/>
          <w:sz w:val="20"/>
        </w:rPr>
        <w:t xml:space="preserve">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Chief Executive Officer and Chief Financial Officer have concluded that our disclosure controls and procedures were not effective due to the material weakness in our internal control over financial reporting related to the inadequate design and implementation of controls to evaluate and monitor the accounting for revenue recognition related to license agreements.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After giving full consideration to the material weakness, and the additional analyses and other procedures that we performed to ensure that preparation and fair presentation of our financial statements included in this Quarterly Report, our management and the board of directors has concluded that our consolidated financial statements present fairly, in all material respects, our financial position, results of operations and cash flows for the periods disclosed in conformity with U.S. GAAP.</w:t>
      </w:r>
    </w:p>
    <w:p>
      <w:pPr>
        <w:pStyle w:val="TextBody"/>
        <w:spacing w:before="120" w:after="0"/>
        <w:jc w:val="left"/>
        <w:rPr>
          <w:rFonts w:ascii="Times New Roman;serif" w:hAnsi="Times New Roman;serif"/>
          <w:b/>
          <w:i/>
          <w:sz w:val="20"/>
        </w:rPr>
      </w:pPr>
      <w:r>
        <w:rPr>
          <w:rFonts w:ascii="Times New Roman;serif" w:hAnsi="Times New Roman;serif"/>
          <w:b/>
          <w:i/>
          <w:sz w:val="20"/>
        </w:rPr>
        <w:t>Plan for Remediation of Material Weakness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Management is implementing enhanced internal controls to remediate the material weakness. The remediation plan includes enhancement of our contract review of license agreements to confirm appropriate understanding of the terms, as well as implementation of a control designed to evaluate and monitor, at inception and on a quarterly basis, the estimated consideration to be received under license agreements for purposes of revenue recognition, analysis of deferred revenue balances, and enhanced detailed review of our revenue recognition models.</w:t>
      </w:r>
    </w:p>
    <w:p>
      <w:pPr>
        <w:pStyle w:val="TextBody"/>
        <w:spacing w:before="120" w:after="0"/>
        <w:jc w:val="left"/>
        <w:rPr>
          <w:rFonts w:ascii="Times New Roman;serif" w:hAnsi="Times New Roman;serif"/>
          <w:b/>
          <w:i/>
          <w:sz w:val="20"/>
        </w:rPr>
      </w:pPr>
      <w:r>
        <w:rPr>
          <w:rFonts w:ascii="Times New Roman;serif" w:hAnsi="Times New Roman;serif"/>
          <w:b/>
          <w:i/>
          <w:sz w:val="20"/>
        </w:rPr>
        <w:t>Changes in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Other than the ongoing remediation efforts related to the material weakness discussed above, there were no changes in our internal control over financial reporting (as such term is defined by Rules 13a-15(f) and 15d-15(f) of the Exchange Act) during the most recent fiscal quarter ended December 31, 2022 that have materially affected, or are reasonably likely to materially affect, our internal control over financial reporting.</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elements of our remediation plan can only be accomplished over time, and we can offer no assurance that these initiatives will ultimately have the intended effects.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sz w:val="20"/>
        </w:rPr>
      </w:pPr>
      <w:bookmarkStart w:id="13" w:name="part_ii_other_information"/>
      <w:bookmarkEnd w:id="13"/>
      <w:r>
        <w:rPr>
          <w:rFonts w:ascii="Times New Roman;serif" w:hAnsi="Times New Roman;serif"/>
          <w:b/>
          <w:sz w:val="20"/>
        </w:rPr>
        <w:t>PART II OTHER INFORMATION</w:t>
      </w:r>
    </w:p>
    <w:p>
      <w:pPr>
        <w:pStyle w:val="TextBody"/>
        <w:spacing w:before="240" w:after="0"/>
        <w:jc w:val="left"/>
        <w:rPr>
          <w:rFonts w:ascii="Times New Roman;serif" w:hAnsi="Times New Roman;serif"/>
          <w:b/>
          <w:sz w:val="20"/>
        </w:rPr>
      </w:pPr>
      <w:bookmarkStart w:id="14" w:name="item_1_legal_proceedings"/>
      <w:bookmarkEnd w:id="14"/>
      <w:r>
        <w:rPr>
          <w:rFonts w:ascii="Times New Roman;serif" w:hAnsi="Times New Roman;serif"/>
          <w:b/>
          <w:sz w:val="20"/>
        </w:rPr>
        <w:t>Item 1. Legal Proceedings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sz w:val="20"/>
        </w:rPr>
      </w:pPr>
      <w:bookmarkStart w:id="15" w:name="item_1a_risk_factors"/>
      <w:bookmarkEnd w:id="15"/>
      <w:r>
        <w:rPr>
          <w:rFonts w:ascii="Times New Roman;serif" w:hAnsi="Times New Roman;serif"/>
          <w:b/>
          <w:sz w:val="20"/>
        </w:rPr>
        <w:t>Item 1A. Risk Factors</w:t>
      </w:r>
    </w:p>
    <w:p>
      <w:pPr>
        <w:pStyle w:val="TextBody"/>
        <w:spacing w:before="120" w:after="0"/>
        <w:jc w:val="left"/>
        <w:rPr>
          <w:rFonts w:ascii="Times New Roman;serif" w:hAnsi="Times New Roman;serif"/>
          <w:b/>
          <w:sz w:val="20"/>
          <w:u w:val="single"/>
        </w:rPr>
      </w:pPr>
      <w:r>
        <w:rPr>
          <w:rFonts w:ascii="Times New Roman;serif" w:hAnsi="Times New Roman;serif"/>
          <w:b/>
          <w:sz w:val="20"/>
          <w:u w:val="single"/>
        </w:rPr>
        <w:t>Risks Related to the Merger</w:t>
      </w:r>
    </w:p>
    <w:p>
      <w:pPr>
        <w:pStyle w:val="TextBody"/>
        <w:spacing w:before="240" w:after="0"/>
        <w:jc w:val="left"/>
        <w:rPr>
          <w:rFonts w:ascii="Times New Roman;serif" w:hAnsi="Times New Roman;serif"/>
          <w:b/>
          <w:i/>
          <w:sz w:val="20"/>
        </w:rPr>
      </w:pPr>
      <w:r>
        <w:rPr>
          <w:rFonts w:ascii="Times New Roman;serif" w:hAnsi="Times New Roman;serif"/>
          <w:b/>
          <w:i/>
          <w:sz w:val="20"/>
        </w:rPr>
        <w:t>The Exchange Ratio will not be adjusted based on the market price of our common stock or Infinity common stock, so the merger consideration at the Closing may have a greater or lesser value than at the time the Merger Agreement was signed.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At the Closing, outstanding Infinity common stock, par value $0.001 ("Infinity Common Stock") will be converted into shares of our common stock. Applying the Exchange Ratio, the former Infinity stockholders immediately before the Merger are expected to own approximately 42% of the outstanding equity of the combined company immediately following the Merger, and our stockholders immediately before the Merger are expected to own approximately 58% of the outstanding equity of the combined company immediately following the Merger, subject to certain assumptions.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number of shares Infinity stockholders will be entitled to receive pursuant to the Merger Agreement will not be affected by changes in the market price of our common stock or Infinity Common Stock before the completion of the Merger. Therefore, if before the completion of the Merger, the market price of our common stock increases from the market price on the date of the Merger Agreement and/or the market price of Infinity Common Stock declines from the market price on the date of the Merger Agreement, then Infinity stockholders could receive merger consideration with substantially more value for their Infinity Common Stock than the parties had negotiated when they established the Exchange Ratio. Similarly, if before the completion of the Merger the market price of our common stock declines from the market price on the date of the Merger Agreement and/or the market price of Infinity Common Stock increases from the market price on the date of the Merger Agreement, then Infinity stockholders could receive merger consideration with substantially lower value. The Merger Agreement does not include a price-based termination right.</w:t>
      </w:r>
    </w:p>
    <w:p>
      <w:pPr>
        <w:pStyle w:val="TextBody"/>
        <w:spacing w:before="240" w:after="0"/>
        <w:jc w:val="left"/>
        <w:rPr>
          <w:rFonts w:ascii="Times New Roman;serif" w:hAnsi="Times New Roman;serif"/>
          <w:b/>
          <w:i/>
          <w:sz w:val="20"/>
        </w:rPr>
      </w:pPr>
      <w:r>
        <w:rPr>
          <w:rFonts w:ascii="Times New Roman;serif" w:hAnsi="Times New Roman;serif"/>
          <w:b/>
          <w:i/>
          <w:sz w:val="20"/>
        </w:rPr>
        <w:t>If the conditions to the Merger are not satisfied or waived, the Merger may not occur.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Even if the Infinity stockholders adopt the Merger Agreement and approve the Infinity Merger Proposal and our stockholders approve the MEI Nasdaq Proposal, specified conditions must be satisfied or waived to complete the Merger. These conditions are set forth in the Merger Agreement. We and Infinity cannot assure you that all of the conditions to the consummation of the Merger will be satisfied or waived. If the conditions are not satisfied or waived, the Merger may not occur or the Closing may be delayed, and we and Infinity each may lose some or all of the intended benefits of the Merger.</w:t>
      </w:r>
    </w:p>
    <w:p>
      <w:pPr>
        <w:pStyle w:val="TextBody"/>
        <w:spacing w:before="240" w:after="0"/>
        <w:jc w:val="left"/>
        <w:rPr>
          <w:rFonts w:ascii="Times New Roman;serif" w:hAnsi="Times New Roman;serif"/>
          <w:b/>
          <w:i/>
          <w:sz w:val="20"/>
        </w:rPr>
      </w:pPr>
      <w:r>
        <w:rPr>
          <w:rFonts w:ascii="Times New Roman;serif" w:hAnsi="Times New Roman;serif"/>
          <w:b/>
          <w:i/>
          <w:sz w:val="20"/>
        </w:rPr>
        <w:t>The Merger may be completed even though a material adverse effect may result from the announcement of the Merger, industry wide changes or other causes.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general, neither we nor Infinity are obligated to complete the Merger if there is a continuing material adverse effect affecting the other party between February 22, 2023, the date of the Merger Agreement, and the Closing. However, certain types of changes are excluded from the concept of a “material adverse effect.” Such exclusions include, but are not limited to, changes in general business or economic conditions that generally affect the industry, political conditions, acts of war or terrorism or the outbreak or escalation of armed hostilities, natural disasters, epidemics and pandemics, certain measures and responses with respect to COVID-19, changes in laws or U.S. GAAP, certain changes in the price or trading volume of our common stock or Infinity Common Stock, certain failures by us or Infinity to meet internal or analysts’ expectations or projections or the results of operations, and changes resulting from the announcement, performance or pendency of the Merger. Therefore, if any of these events were to occur, impacting us or Infinity, the other party would still be obliged to consummate the closing of the Merger. If any such adverse changes occur and we and Infinity consummate the closing of the Merger, the stock price of the combined company may suffer. This in turn may reduce the value of the Merger to our stockholders, Infinity stockholders or both.</w:t>
      </w:r>
    </w:p>
    <w:p>
      <w:pPr>
        <w:pStyle w:val="TextBody"/>
        <w:spacing w:before="240" w:after="0"/>
        <w:jc w:val="left"/>
        <w:rPr>
          <w:rFonts w:ascii="Times New Roman;serif" w:hAnsi="Times New Roman;serif"/>
          <w:b/>
          <w:i/>
          <w:sz w:val="20"/>
        </w:rPr>
      </w:pPr>
      <w:r>
        <w:rPr>
          <w:rFonts w:ascii="Times New Roman;serif" w:hAnsi="Times New Roman;serif"/>
          <w:b/>
          <w:i/>
          <w:sz w:val="20"/>
        </w:rPr>
        <w:t>If we and Infinity complete the Merger, the combined company may need to raise additional capital by issuing equity securities or additional debt or through licensing arrangements, which may cause significant dilution to the combined company’s stockholders or restrict the combined company’s operations.</w:t>
      </w:r>
    </w:p>
    <w:p>
      <w:pPr>
        <w:pStyle w:val="TextBody"/>
        <w:spacing w:before="120" w:after="0"/>
        <w:jc w:val="left"/>
        <w:rPr>
          <w:rFonts w:ascii="Times New Roman" w:hAnsi="Times New Roman"/>
          <w:sz w:val="20"/>
        </w:rPr>
      </w:pPr>
      <w:r>
        <w:rPr>
          <w:rFonts w:ascii="Times New Roman;serif" w:hAnsi="Times New Roman;serif"/>
          <w:b w:val="false"/>
          <w:sz w:val="20"/>
        </w:rPr>
        <w:t>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our pre-Merger stockholders and Infinity’s former stockholders. It is also possible that the terms of any new equity securities may have preferences over the combined company’s common stock. Any debt financing the combined company enters into may involve covenants that restrict its operations. These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pStyle w:val="TextBody"/>
        <w:spacing w:before="240" w:after="0"/>
        <w:jc w:val="left"/>
        <w:rPr>
          <w:rFonts w:ascii="Times New Roman;serif" w:hAnsi="Times New Roman;serif"/>
          <w:b/>
          <w:i/>
          <w:sz w:val="20"/>
        </w:rPr>
      </w:pPr>
      <w:r>
        <w:rPr>
          <w:rFonts w:ascii="Times New Roman;serif" w:hAnsi="Times New Roman;serif"/>
          <w:b/>
          <w:i/>
          <w:sz w:val="20"/>
        </w:rPr>
        <w:t>Our directors and executive officers and Infinity directors and executive officers have interests in the Merger that are different from yours and that may influence them to support or approve the Merger without regard to your interests.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directors and executive officers and Infinity directors and executive officers have interests in the Merger that are different from, or in addition to, the interests of our stockholders and Infinity stockholders generally. These interests with respect to our directors and executive officers may include, among others, that Daniel P. Gold, Ph.D., Charles V. Baltic III, Thomas C. Reynolds, and Sujay R. Kango, members of our board of directors, will continue as directors after the Merger. In addition, following the Closing, David Urso (currently our Chief Operating Officer and General Counsel) is expected to serve as Chief Executive Officer of the combined company. These interests with respect to Infinity’s directors and executive officers may include, among others, (i) the acceleration of equity award vesting, (ii) that options to purchase shares of Infinity Common Stock will be converted into and become fully vested options to purchase shares of common stock of the combined company, (iii) retention payments for continued services to and through the Closing, (iv) severance payments if employment is terminated in a qualifying termination in connection with the Merger and (v) all of Infinity’s directors and executive officers are entitled to certain indemnification and liability insurance coverage pursuant to the terms of the Merger Agreement. In addition, following the Closing, Robert Ilaria, Jr., M.D. (currently Infinity’s Chief Medical Officer) is expected to serve as Chief Medical Officer of the combined company and Stéphane Peluso, Ph.D. (currently Infinity’s Chief Scientific Officer) is expected to serve as Chief Scientific Officer of the combined company.</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Sujay R. Kango serves on our board of directors and Infinity's board of directors. Our board of directors and Infinity's board of directors considered, among other things, that Mr. Kango holds stock options exercisable for shares of our common stock and Infinity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Further, the board of directors of the combined company will include certain of our current directors and executive officers and certain of Infinity's current directors and executive officers. Following the Closing, the board of directors of the combined company is expected to be composed of eight members, consisting of Norman C. Selby (currently Infinity’s Lead Independent Director), who is expected to chair the combined company board, David Urso (currently our Chief Operating Officer and General Counsel), Daniel P. Gold, Ph.D. (currently our Chief Executive Officer), Adelene Q. Perkins (currently Infinity’s Chief Executive Officer and Chair of the board of directors of Infinity), Richard Gaynor, M.D. (currently a director of Infinity), Charles V. Baltic III (currently our Chair of the board of directors), Thomas C. Reynolds, M.D., Ph.D. (currently one of our directors) and Sujay R. Kango (currently one of our directors and a director of Infinity). The non-employee directors of the combined company will be eligible to be compensated pursuant to our non-employee director compensation policy that is expected to remain in place following the Effective Time.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Our board of directors and Infinity's board of directors were aware of and considered those interests, among other matters, in reaching their decisions to approve and adopt the Merger Agreement and approve the Merger, and in the case of the Infinity board of directors, recommend the approval of the Merger Agreement to Infinity’s stockholders. These interests, among other factors, may have influenced our board of directors and Infinity's board of directors to support or approve the Merger.</w:t>
      </w:r>
    </w:p>
    <w:p>
      <w:pPr>
        <w:pStyle w:val="TextBody"/>
        <w:spacing w:before="240" w:after="0"/>
        <w:jc w:val="left"/>
        <w:rPr>
          <w:rFonts w:ascii="Times New Roman;serif" w:hAnsi="Times New Roman;serif"/>
          <w:b/>
          <w:i/>
          <w:sz w:val="20"/>
        </w:rPr>
      </w:pPr>
      <w:r>
        <w:rPr>
          <w:rFonts w:ascii="Times New Roman;serif" w:hAnsi="Times New Roman;serif"/>
          <w:b/>
          <w:i/>
          <w:sz w:val="20"/>
        </w:rPr>
        <w:t>Our securityholders and Infinity securityholders will have a reduced ownership and voting interest in, and will exercise less influence over the management of, the combined company following the completion of the Merger as compared to their current ownership and voting interests in the respective companies.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Applying the Exchange Ratio, the former Infinity stockholders immediately before the Merger are expected to own approximately 42% of the outstanding equity of the combined company immediately following the Merger, and our stockholders immediately before the Merger are expected to own approximately 58% of the outstanding equity of the combined company immediately following the Merger, subject to certain assumptions. If the combined company is unable to realize the full strategic and financial benefits currently anticipated from the Merger, our stockholders and Infinity stockholders will have experienced substantial dilution of their ownership and voting interests in the respective companies without receiving any commensurate benefit, or only receiving part of the commensurate benefit to the extent the combined company is able to realize only part of the strategic and financial benefits currently anticipated from the Merger.</w:t>
      </w:r>
    </w:p>
    <w:p>
      <w:pPr>
        <w:pStyle w:val="TextBody"/>
        <w:spacing w:before="240" w:after="0"/>
        <w:jc w:val="left"/>
        <w:rPr>
          <w:rFonts w:ascii="Times New Roman;serif" w:hAnsi="Times New Roman;serif"/>
          <w:b/>
          <w:i/>
          <w:sz w:val="20"/>
        </w:rPr>
      </w:pPr>
      <w:r>
        <w:rPr>
          <w:rFonts w:ascii="Times New Roman;serif" w:hAnsi="Times New Roman;serif"/>
          <w:b/>
          <w:i/>
          <w:sz w:val="20"/>
        </w:rPr>
        <w:t>If the Merger is not completed, our stock price may fluctuate significantly.</w:t>
      </w:r>
    </w:p>
    <w:p>
      <w:pPr>
        <w:pStyle w:val="TextBody"/>
        <w:spacing w:before="120" w:after="0"/>
        <w:jc w:val="left"/>
        <w:rPr>
          <w:rFonts w:ascii="Times New Roman" w:hAnsi="Times New Roman"/>
          <w:sz w:val="20"/>
        </w:rPr>
      </w:pPr>
      <w:r>
        <w:rPr>
          <w:rFonts w:ascii="Times New Roman;serif" w:hAnsi="Times New Roman;serif"/>
          <w:b w:val="false"/>
          <w:sz w:val="20"/>
        </w:rPr>
        <w:t>The market price of our common stock is subject to significant fluctuations. During the 12-month period ended April 14, 2023, the closing sales price of our common stock on The Nasdaq Capital Market ranged from a high of $13.00 on June 27, 2022 to a low of $4.20 on February 24, 2023.</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Market prices for securities of pharmaceutical, biotechnology and other life science companies have historically been particularly volatile. In addition, the market prices of our common stock and Infinity Common Stock will likely be volatile based on whether stockholders and other investors believe that we and Infinity can complete the Merger or otherwise raise additional capital to support the combined company’s operations if the Merger is not consummated and another strategic transaction cannot be identified, negotiated and consummated in a timely manner, if at all. The volatility of the market prices of our common stock and Infinity Common Stock are exacerbated by low trading volume. Additional factors that may cause the market prices of our common stock and Infinity Common Stock, respectively, to fluctuate include:</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initiation of, material developments in, or conclusion of litigation to enforce or defend its intellectual property rights or defend against claims involving the intellectual property rights of others;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entry into, or termination of, key agreements, including commercial partner agreements;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announcements by commercial partners or competitors of new commercial products, clinical progress or lack thereof, significant contracts, commercial relationships or capital commitments;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introduction of technological innovations or new therapies that compete with its future products;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loss of key employees;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future sales of its common stock;</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general and industry-specific economic conditions that may affect its research and development expenditures;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failure to meet industry analyst expectations;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period-to-period fluctuations in financial results.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Moreover, the stock markets in general have at times experienced substantial volatility that has often been unrelated to the operating performance of individual companies. These broad market fluctuations may also adversely affect the trading prices of our common stock and Infinity Common Stock. In the past, following periods of volatility in the market price of a company’s securities, stockholders have often instituted class action securities litigation against such companies.</w:t>
      </w:r>
    </w:p>
    <w:p>
      <w:pPr>
        <w:pStyle w:val="TextBody"/>
        <w:spacing w:before="240" w:after="0"/>
        <w:jc w:val="left"/>
        <w:rPr>
          <w:rFonts w:ascii="Times New Roman;serif" w:hAnsi="Times New Roman;serif"/>
          <w:b/>
          <w:i/>
          <w:sz w:val="20"/>
        </w:rPr>
      </w:pPr>
      <w:r>
        <w:rPr>
          <w:rFonts w:ascii="Times New Roman;serif" w:hAnsi="Times New Roman;serif"/>
          <w:b/>
          <w:i/>
          <w:sz w:val="20"/>
        </w:rPr>
        <w:t>During the pendency of the Merger, we may not be able to enter into a business combination with another party on more favorable terms because of restrictions in the Merger Agreement, which could adversely affect our business prospects.</w:t>
      </w:r>
    </w:p>
    <w:p>
      <w:pPr>
        <w:pStyle w:val="TextBody"/>
        <w:spacing w:before="120" w:after="0"/>
        <w:jc w:val="left"/>
        <w:rPr>
          <w:rFonts w:ascii="Times New Roman" w:hAnsi="Times New Roman"/>
          <w:sz w:val="20"/>
        </w:rPr>
      </w:pPr>
      <w:r>
        <w:rPr>
          <w:rFonts w:ascii="Times New Roman;serif" w:hAnsi="Times New Roman;serif"/>
          <w:b w:val="false"/>
          <w:sz w:val="20"/>
        </w:rPr>
        <w:t>Covenants in the Merger Agreement impede our ability and Infinity's ability to make acquisitions during the pendency of the Merger, subject to specified exceptions. As a result, if the Merger is not completed, we may be at a disadvantage to our competitors during that period. In addition, while the Merger Agreement is in effect, each party is generally prohibited from soliciting, initiating, inducing, encouraging, or facilitating any inquiries, proposals or offers that constitute or could reasonably be expected to lead to certain transactions involving a third party, including a merger, sale of assets or other business combination, subject to specified exceptions. Any such transactions could be favorable to our stockholders, but we may be unable to pursue them.</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Certain provisions of the Merger Agreement may discourage third parties from submitting competing proposals, including proposals that may be superior to the Merger.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terms of the Merger Agreement prohibits us and Infinity from soliciting or engaging in discussions with third parties regarding alternative acquisition proposals, except in limited circumstances when such party’s board of directors determines in good faith that an unsolicited acquisition proposal constitutes or could reasonably be expected to lead to a superior proposal and that failure to take such action would reasonably be expected to be inconsistent with its fiduciary duties under applicable law. In addition, if the Merger Agreement is terminated by us or Infinity under certain circumstances, including because of a decision by either company’s board of directors to accept a superior proposal, such company would be required to pay the other a termination fee. This termination fee may discourage third parties from submitting alternative takeover proposals to either company or its stockholders and may cause such company’s board of directors to be less inclined to recommend an alternative proposal.</w:t>
      </w:r>
    </w:p>
    <w:p>
      <w:pPr>
        <w:pStyle w:val="TextBody"/>
        <w:spacing w:before="240" w:after="0"/>
        <w:jc w:val="left"/>
        <w:rPr>
          <w:rFonts w:ascii="Times New Roman;serif" w:hAnsi="Times New Roman;serif"/>
          <w:b/>
          <w:i/>
          <w:sz w:val="20"/>
        </w:rPr>
      </w:pPr>
      <w:r>
        <w:rPr>
          <w:rFonts w:ascii="Times New Roman;serif" w:hAnsi="Times New Roman;serif"/>
          <w:b/>
          <w:i/>
          <w:sz w:val="20"/>
        </w:rPr>
        <w:t>The financial analyses, estimates and forecasts considered by us and Infinity in connection with the Merger may not be realized.</w:t>
      </w:r>
    </w:p>
    <w:p>
      <w:pPr>
        <w:pStyle w:val="TextBody"/>
        <w:spacing w:before="120" w:after="0"/>
        <w:jc w:val="left"/>
        <w:rPr>
          <w:rFonts w:ascii="Times New Roman" w:hAnsi="Times New Roman"/>
          <w:sz w:val="20"/>
        </w:rPr>
      </w:pPr>
      <w:r>
        <w:rPr>
          <w:rFonts w:ascii="Times New Roman;serif" w:hAnsi="Times New Roman;serif"/>
          <w:b w:val="false"/>
          <w:sz w:val="20"/>
        </w:rPr>
        <w:t>Our unaudited prospective financial information and Infinity's unaudited prospective financial information considered by us and Infinity in connection with the Merger was not prepared with a view toward public disclosure, and such information and the estimated synergies were not prepared with a view toward compliance with published guidelines of the SEC or the guidelines established by the American Institute of Certified Public Accountants for preparation and presentation of prospective financial information. The estimates and assumptions underlying the unaudited prospective financial information and estimated synergies involve judgments with respect to, among other things, future economic, competitive, regulatory and financial market conditions, future tax rates and future business decisions which may not be realized and that are inherently subject to significant business, economic, competitive and regulatory uncertainties and contingencies, including, among others, risks and uncertainties, all of which are difficult to predict and many of which are beyond our and/or Infinity's control. In addition, the unaudited prospective financial information and estimated synergies will be affected by our or Infinity’s, as applicable, ability to achieve strategic goals, objectives and targets over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applicable periods. As a result, there can be no assurance that the underlying assumptions will prove to be accurate or that the projected results or synergies will be realized, and actual results or synergies likely will differ, and may differ materially, from those reflected in the unaudited prospective financial information and the estimated synergies, whether or not the Merger is completed, which could have an adverse effect on our and Infinity’s business, financial condition and result of operations.</w:t>
      </w:r>
    </w:p>
    <w:p>
      <w:pPr>
        <w:pStyle w:val="TextBody"/>
        <w:spacing w:before="240" w:after="0"/>
        <w:jc w:val="left"/>
        <w:rPr>
          <w:rFonts w:ascii="Times New Roman;serif" w:hAnsi="Times New Roman;serif"/>
          <w:b/>
          <w:i/>
          <w:sz w:val="20"/>
        </w:rPr>
      </w:pPr>
      <w:r>
        <w:rPr>
          <w:rFonts w:ascii="Times New Roman;serif" w:hAnsi="Times New Roman;serif"/>
          <w:b/>
          <w:i/>
          <w:sz w:val="20"/>
        </w:rPr>
        <w:t>The announcement and pendency of the Merger, whether or not consummated, may adversely affect the trading price of our common stock and our business prospects.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announcement and pendency of the Merger, whether or not consummated, may adversely affect the trading price of our common stock and our business prospects. In the event that the Merger is not completed, the announcement of the termination of the Merger Agreement may also adversely affect the trading price of our common stock and our business prospects.</w:t>
      </w:r>
    </w:p>
    <w:p>
      <w:pPr>
        <w:pStyle w:val="TextBody"/>
        <w:spacing w:before="240" w:after="0"/>
        <w:jc w:val="left"/>
        <w:rPr>
          <w:rFonts w:ascii="Times New Roman;serif" w:hAnsi="Times New Roman;serif"/>
          <w:b/>
          <w:i/>
          <w:sz w:val="20"/>
        </w:rPr>
      </w:pPr>
      <w:r>
        <w:rPr>
          <w:rFonts w:ascii="Times New Roman;serif" w:hAnsi="Times New Roman;serif"/>
          <w:b/>
          <w:i/>
          <w:sz w:val="20"/>
        </w:rPr>
        <w:t>Failure to consummate the Merger may result in either us or Infinity paying a termination fee to the other party and could harm the common stock price of the party obligated to pay the termination fee and such party’s future business and operations.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Merger will not be consummated if the conditions precedent to the consummation of the transaction are not satisfied or waived, or if the Merger Agreement is terminated in accordance with its terms. If the Merger is not consummated, we and Infinity, as applicable, are subject to the following risks:</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Merger Agreement is terminated under certain circumstances, we may be required to pay Infinity a termination fee of $4,000,000 and/or reimburse Infinity’s reasonable out of pocket fees and expenses incurred in connection with the Merger Agreement and the transaction contemplated thereby up to a maximum of $1,000,000;</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if the Merger Agreement is terminated under certain circumstances, Infinity may be required to pay us a termination fee of $2,900,000 and/or reimburse our reasonable out of pocket fees and expenses incurred in connection with the Merger Agreement and the transaction contemplated thereby up to a maximum of $1,000,000;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price of either party’s common stock may decline and remain volatile.</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Merger does not close for any reason, either party’s board of directors may elect to, among other things, attempt to complete another strategic transaction, attempt to sell or otherwise dispose of such company’s various assets, dissolve or liquidate its assets, declare bankruptcy or seek to continue to operate its business. If either company seeks another strategic transaction or attempts to sell or otherwise dispose of its various assets, there is no assurance that it will be able to do so, that the terms would be equal to or superior to the terms of the Merger or as to the timing of such transaction. If either company decides to dissolve and liquidates its assets, such company would be required to pay all of its debts and contractual obligations, and to set aside certain reserves for potential future claims, and there can be no assurance as to the amount or timing of available cash left to distribute to stockholders after paying its debts and other obligations and setting aside funds for reserves.</w:t>
      </w:r>
    </w:p>
    <w:p>
      <w:pPr>
        <w:pStyle w:val="TextBody"/>
        <w:spacing w:before="240" w:after="0"/>
        <w:jc w:val="left"/>
        <w:rPr>
          <w:rFonts w:ascii="Times New Roman;serif" w:hAnsi="Times New Roman;serif"/>
          <w:b/>
          <w:i/>
          <w:sz w:val="20"/>
        </w:rPr>
      </w:pPr>
      <w:r>
        <w:rPr>
          <w:rFonts w:ascii="Times New Roman;serif" w:hAnsi="Times New Roman;serif"/>
          <w:b/>
          <w:i/>
          <w:sz w:val="20"/>
        </w:rPr>
        <w:t>If the Merger is not consummated, each of us and Infinity would need to determine whether to continue its business, consummate another strategic transaction, or dissolve and liquidate its assets.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Merger is not consummated, we and Infinity, as applicable, may be unable to retain the services of key remaining members of our respective management teams and, as a result, may be unable to seek or consummate another strategic transaction, properly dissolve and liquidate its assets or continue its business. If the Merger is not successfully consummated, our board of directors and Infinity's board of directors may dissolve or liquidate the respective company’s assets to pursue a dissolution and liquidation. In such an event, the amount of cash available for distribution to our stockholders or Infinity’s stockholders, as applicable, will depend heavily on the timing of such transaction or liquidation.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If the Merger does not close for any reason, the board of directors of Infinity may elect to, among other things, dissolve or liquidate its assets, which may include seeking protection from creditors in a bankruptcy proceeding. If Infinity decided to dissolve and liquidate its assets, it would be required to pay all of its debts and contractual obligations, and to set aside certain reserves for potential future claims, and there can be no assurances as to the amount or timing of available cash left to distribute to stockholders after paying its debts and other obligations and setting aside funds for reserves.</w:t>
      </w:r>
    </w:p>
    <w:p>
      <w:pPr>
        <w:pStyle w:val="TextBody"/>
        <w:spacing w:before="120" w:after="0"/>
        <w:jc w:val="left"/>
        <w:rPr>
          <w:rFonts w:ascii="Times New Roman" w:hAnsi="Times New Roman"/>
          <w:sz w:val="20"/>
        </w:rPr>
      </w:pPr>
      <w:r>
        <w:rPr>
          <w:rFonts w:ascii="Times New Roman;serif" w:hAnsi="Times New Roman;serif"/>
          <w:b w:val="false"/>
          <w:sz w:val="20"/>
        </w:rPr>
        <w:t>In the event of a dissolution and liquidation, the amount of cash available for distribution to our stockholders or Infinity’s stockholders, as applicable, will depend heavily on the timing of such decision and, ultimately, such liquidation, since the amount of cash available for distribution continues to decrease as we or Infinity, as applicable, fund our respective operations in preparation for the consummation of the Merger. Further, the Merger Agreement contains certain termination rights for each party, and provides that, upon termination under specified circumstances, either party may be required to pay the other a termination fee, which would further decrease such company’s’ available cash resources. If either party’s board of directors were to approve and recommend, and its stockholders were to approve, a dissolution and liquidation, such company would be required under Delaware corporate law to pay its outstanding obligations, as well as to make reasonable provision for contingent and unknown obligations, prior to making any distributions in liquidation to its stockholders. As applicable, our and Infinity’s commitments and contingent liabilities may include (i)</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120" w:after="0"/>
        <w:jc w:val="left"/>
        <w:rPr>
          <w:rFonts w:ascii="Times New Roman;serif" w:hAnsi="Times New Roman;serif"/>
          <w:b w:val="false"/>
          <w:sz w:val="20"/>
        </w:rPr>
      </w:pPr>
      <w:r>
        <w:rPr>
          <w:rFonts w:ascii="Times New Roman;serif" w:hAnsi="Times New Roman;serif"/>
          <w:b w:val="false"/>
          <w:sz w:val="20"/>
        </w:rPr>
        <w:t>regulatory and clinical obligations remaining under our respective clinical trials; (ii) obligations under its employment, separation and retention agreements with certain employees that provide for severance and other payments following a termination of employment occurring for various reasons, including a change in control; and (iii) potential litigation against such company, and other various claims and legal actions arising in the ordinary course of business. As a result of this requirement, a portion of our assets and Infinity’s assets, as applicable, may need to be reserved pending the resolution of such obligations. In addition, either company may be subject to litigation or other claims related to a dissolution and liquidation of such company. If a dissolution and liquidation were pursued, such company’s board of directors, in consultation with its advisors, would need to evaluate these matters and make a determination about a reasonable amount to reserve. Accordingly, holders of our common stock and Infinity Common Stock, as applicable, could lose all or a significant portion of their investment in the event of either companies liquidation, dissolution or winding up.</w:t>
      </w:r>
    </w:p>
    <w:p>
      <w:pPr>
        <w:pStyle w:val="TextBody"/>
        <w:spacing w:before="240" w:after="0"/>
        <w:jc w:val="left"/>
        <w:rPr>
          <w:rFonts w:ascii="Times New Roman;serif" w:hAnsi="Times New Roman;serif"/>
          <w:b/>
          <w:i/>
          <w:sz w:val="20"/>
        </w:rPr>
      </w:pPr>
      <w:r>
        <w:rPr>
          <w:rFonts w:ascii="Times New Roman;serif" w:hAnsi="Times New Roman;serif"/>
          <w:b/>
          <w:i/>
          <w:sz w:val="20"/>
        </w:rPr>
        <w:t>We or Infinity may waive one or more of the conditions to the Merger, and may do so without re-soliciting stockholder approval.</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We or Infinity may agree to waive, in whole or in part, some of the conditions to each party’s obligations to complete the Merger, to the extent permitted by applicable law. For example, it is a condition to our and Infinity’s respective obligations to close the Merger that certain of the representations and warranties of the other party are true and correct in all respects as of the date of the Closing (the “Closing Date”), except where the failure of such representations and warranties to be true and correct would not have a material adverse effect. However, if the board of directors of either party determines that it is in the best interests of the stockholders of that company to waive any such breach by the other party, then such board of directors may elect to waive that condition.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In the event of a waiver of a condition, our board of directors and Infinity's board of directors will evaluate the materiality of any such waiver to determine whether amendment of this joint proxy statement/prospectus and re-solicitation of proxies is necessary. In the event that the boards of directors of the waiving party, in its own reasonable discretion, determines any such waiver is not significant enough to require re-solicitation of its stockholders, it will have the discretion to cause the Merger to be completed without seeking further stockholder approval, which decision may have a material adverse effect on the stockholders of the combined company following the Merger. For example, the market could react negatively to such information, which may cause a substantial decline in the price of the common stock of the combined company following the Merger.</w:t>
      </w:r>
    </w:p>
    <w:p>
      <w:pPr>
        <w:pStyle w:val="TextBody"/>
        <w:spacing w:before="120" w:after="0"/>
        <w:jc w:val="left"/>
        <w:rPr>
          <w:rFonts w:ascii="Times New Roman" w:hAnsi="Times New Roman"/>
          <w:sz w:val="20"/>
        </w:rPr>
      </w:pPr>
      <w:r>
        <w:rPr>
          <w:rFonts w:ascii="Times New Roman;serif" w:hAnsi="Times New Roman;serif"/>
          <w:b w:val="false"/>
          <w:sz w:val="20"/>
        </w:rPr>
        <w:t>Notwithstanding the foregoing, certain closing conditions may not be waived due to applicable law, or otherwise. The following closing conditions may not be waived: receipt of the requisite stockholder approvals; the effectiveness of the registration statement of which this joint proxy statement/prospectus forms a part; and the absence of any order or injunction that has the effect of prohibiting the consummation of the Merger. The foregoing closing conditions are the only closing conditions to the Merger that may not be waived. All other closing conditions to the Merger may be waived by us and/or Infinity, as applicable.</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The Merger may not qualify as a “reorganization” within the meaning of Section 368(a) of the Code, resulting in recognition of taxable gain or loss by Infinity stockholders in respect of their Infinity Common Stock.</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Merger is intended to qualify as a “reorganization” within the meaning of Section 368(a) Code. However, Infinity has not sought and does not intend to seek a ruling from the IRS or an opinion of counsel regarding the intended tax treatment of the Merger. Consequently, there can be no assurance that the IRS will not challenge the intended tax treatment of the Merger and, if challenged, that a court would not sustain the IRS’s position. In the event that the Merger does not qualify as a “reorganization” within the meaning of Section 368(a) of the Code, each U.S. Holder would recognize gain or loss upon the exchange of shares of Infinity Common Stock for our common stock in the Merger equal to the difference between the fair market value of the shares of our common stock received in exchange for the shares of Infinity Common Stock (plus any cash received in lieu of a fractional share) and such U.S. Holder’s adjusted tax basis in the shares of Infinity Common Stock surrendered. Each Infinity stockholder is urged to consult with his, her or its own tax advisor with respect to the tax consequences of the Merger.</w:t>
      </w:r>
    </w:p>
    <w:p>
      <w:pPr>
        <w:pStyle w:val="TextBody"/>
        <w:spacing w:before="240" w:after="0"/>
        <w:jc w:val="left"/>
        <w:rPr>
          <w:rFonts w:ascii="Times New Roman;serif" w:hAnsi="Times New Roman;serif"/>
          <w:b/>
          <w:i/>
          <w:sz w:val="20"/>
        </w:rPr>
      </w:pPr>
      <w:r>
        <w:rPr>
          <w:rFonts w:ascii="Times New Roman;serif" w:hAnsi="Times New Roman;serif"/>
          <w:b/>
          <w:i/>
          <w:sz w:val="20"/>
        </w:rPr>
        <w:t>Lawsuits could delay or prevent the Merger.</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Putative stockholder complaints, including stockholder class action complaints, and other complaints may be threatened or filed against us, Infinity, and/or our respective boards of directors in connection with the transactions contemplated by the Merger Agreement. We, Infinity, and/or our respective boards of directors may not be successful in defending against any such claims. The outcome of litigation is uncertain, and any such lawsuits that may be threatened or filed against us, Infinity, and/or our respective boards of directors could delay or prevent the Merger from becoming effective or from becoming effective within the intended timeframe, divert the attention of our and/or Infinity’s management and employees from our respective day-to-day businesses and otherwise adversely affect their respective financial conditions.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For additional risk factors, please see our 2022 Annual Report.</w:t>
      </w:r>
    </w:p>
    <w:p>
      <w:pPr>
        <w:pStyle w:val="TextBody"/>
        <w:spacing w:before="240" w:after="0"/>
        <w:jc w:val="left"/>
        <w:rPr>
          <w:rFonts w:ascii="Times New Roman;serif" w:hAnsi="Times New Roman;serif"/>
          <w:b/>
          <w:sz w:val="20"/>
        </w:rPr>
      </w:pPr>
      <w:bookmarkStart w:id="16" w:name="item_2_unregistered_sales"/>
      <w:bookmarkEnd w:id="16"/>
      <w:r>
        <w:rPr>
          <w:rFonts w:ascii="Times New Roman;serif" w:hAnsi="Times New Roman;serif"/>
          <w:b/>
          <w:sz w:val="20"/>
        </w:rPr>
        <w:t>Item 2. Unregistered Sales of Equity Securities and Use of Proceeds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240" w:after="0"/>
        <w:jc w:val="left"/>
        <w:rPr>
          <w:rFonts w:ascii="Times New Roman;serif" w:hAnsi="Times New Roman;serif"/>
          <w:b/>
          <w:sz w:val="20"/>
        </w:rPr>
      </w:pPr>
      <w:bookmarkStart w:id="17" w:name="item_3_defaults"/>
      <w:bookmarkEnd w:id="17"/>
      <w:r>
        <w:rPr>
          <w:rFonts w:ascii="Times New Roman;serif" w:hAnsi="Times New Roman;serif"/>
          <w:b/>
          <w:sz w:val="20"/>
        </w:rPr>
        <w:t>Item 3. Defaults upon Senior Securities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sz w:val="20"/>
        </w:rPr>
      </w:pPr>
      <w:bookmarkStart w:id="18" w:name="item_4_mine_safety"/>
      <w:bookmarkEnd w:id="18"/>
      <w:r>
        <w:rPr>
          <w:rFonts w:ascii="Times New Roman;serif" w:hAnsi="Times New Roman;serif"/>
          <w:b/>
          <w:sz w:val="20"/>
        </w:rPr>
        <w:t>Item 4. Mine Safety Disclosures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sz w:val="20"/>
        </w:rPr>
      </w:pPr>
      <w:bookmarkStart w:id="19" w:name="item_5_other_info"/>
      <w:bookmarkEnd w:id="19"/>
      <w:r>
        <w:rPr>
          <w:rFonts w:ascii="Times New Roman;serif" w:hAnsi="Times New Roman;serif"/>
          <w:b/>
          <w:sz w:val="20"/>
        </w:rPr>
        <w:t>Item 5. Other Information</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0" w:after="0"/>
        <w:jc w:val="left"/>
        <w:rPr>
          <w:rFonts w:ascii="Times New Roman;serif" w:hAnsi="Times New Roman;serif"/>
          <w:b/>
          <w:sz w:val="20"/>
        </w:rPr>
      </w:pPr>
      <w:bookmarkStart w:id="20" w:name="item_6_exhibits"/>
      <w:bookmarkEnd w:id="20"/>
      <w:r>
        <w:rPr>
          <w:rFonts w:ascii="Times New Roman;serif" w:hAnsi="Times New Roman;serif"/>
          <w:b/>
          <w:sz w:val="20"/>
        </w:rPr>
        <w:t>Item 6. Exhibits</w:t>
      </w:r>
    </w:p>
    <w:p>
      <w:pPr>
        <w:pStyle w:val="TextBody"/>
        <w:spacing w:before="240" w:after="0"/>
        <w:jc w:val="center"/>
        <w:rPr>
          <w:rFonts w:ascii="Times New Roman;serif" w:hAnsi="Times New Roman;serif"/>
          <w:b/>
          <w:sz w:val="20"/>
        </w:rPr>
      </w:pPr>
      <w:r>
        <w:rPr>
          <w:rFonts w:ascii="Times New Roman;serif" w:hAnsi="Times New Roman;serif"/>
          <w:b/>
          <w:sz w:val="20"/>
        </w:rPr>
        <w:t>Exhibit Index</w:t>
      </w:r>
    </w:p>
    <w:p>
      <w:pPr>
        <w:pStyle w:val="TextBody"/>
        <w:spacing w:before="0" w:after="0"/>
        <w:jc w:val="left"/>
        <w:rPr/>
      </w:pPr>
      <w:r>
        <w:rPr/>
        <w:t> </w:t>
      </w:r>
    </w:p>
    <w:tbl>
      <w:tblPr>
        <w:tblW w:w="10539" w:type="dxa"/>
        <w:jc w:val="left"/>
        <w:tblInd w:w="0" w:type="dxa"/>
        <w:tblCellMar>
          <w:top w:w="28" w:type="dxa"/>
          <w:left w:w="28" w:type="dxa"/>
          <w:bottom w:w="28" w:type="dxa"/>
          <w:right w:w="28" w:type="dxa"/>
        </w:tblCellMar>
      </w:tblPr>
      <w:tblGrid>
        <w:gridCol w:w="765"/>
        <w:gridCol w:w="146"/>
        <w:gridCol w:w="9628"/>
      </w:tblGrid>
      <w:tr>
        <w:trPr/>
        <w:tc>
          <w:tcPr>
            <w:tcW w:w="76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28" w:type="dxa"/>
            <w:tcBorders/>
            <w:shd w:fill="auto" w:val="clear"/>
            <w:vAlign w:val="center"/>
          </w:tcPr>
          <w:p>
            <w:pPr>
              <w:pStyle w:val="TableContents"/>
              <w:spacing w:before="0" w:after="283"/>
              <w:rPr>
                <w:sz w:val="4"/>
                <w:szCs w:val="4"/>
              </w:rPr>
            </w:pPr>
            <w:r>
              <w:rPr>
                <w:sz w:val="4"/>
                <w:szCs w:val="4"/>
              </w:rPr>
            </w:r>
          </w:p>
        </w:tc>
      </w:tr>
      <w:tr>
        <w:trPr/>
        <w:tc>
          <w:tcPr>
            <w:tcW w:w="765" w:type="dxa"/>
            <w:tcBorders/>
            <w:shd w:fill="auto" w:val="clear"/>
            <w:vAlign w:val="center"/>
          </w:tcPr>
          <w:p>
            <w:pPr>
              <w:pStyle w:val="TableContents"/>
              <w:pBdr>
                <w:bottom w:val="single" w:sz="6" w:space="1" w:color="000000"/>
              </w:pBdr>
              <w:spacing w:before="0" w:after="0"/>
              <w:ind w:left="0" w:right="0" w:hanging="0"/>
              <w:jc w:val="center"/>
              <w:rPr>
                <w:rFonts w:ascii="Times New Roman;serif" w:hAnsi="Times New Roman;serif"/>
                <w:b/>
                <w:sz w:val="16"/>
              </w:rPr>
            </w:pPr>
            <w:r>
              <w:rPr>
                <w:rFonts w:ascii="Times New Roman;serif" w:hAnsi="Times New Roman;serif"/>
                <w:b/>
                <w:sz w:val="16"/>
              </w:rPr>
              <w:t>Exhibits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28" w:type="dxa"/>
            <w:tcBorders/>
            <w:shd w:fill="auto" w:val="clear"/>
            <w:vAlign w:val="center"/>
          </w:tcPr>
          <w:p>
            <w:pPr>
              <w:pStyle w:val="TableContents"/>
              <w:spacing w:before="0" w:after="0"/>
              <w:ind w:left="0" w:right="0" w:hanging="0"/>
              <w:jc w:val="center"/>
              <w:rPr/>
            </w:pPr>
            <w:r>
              <w:rPr/>
              <w:t> </w:t>
            </w:r>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Agreement and Plan of Merger, by and among the Company, Merger Sub, and Infinity, dated as of February 22, 2023 (incorporated by reference to Exhibit 2.1 to the Registrant's Current Report on Form 8-K filed on February 23, 2023 (File No. 000-50484))</w:t>
              </w:r>
            </w:hyperlink>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Certificate of Amendment to the Amended and Restated Certificate of Incorporation of MEI Pharma, Inc., filed with the Delaware Secretary of State on April 14, 2023 (incorporated by reference to Exhibit 3.1 to the Registrant's Current Report on Form 8-K filed on April 14, 2023 (File No. 000-50484)).</w:t>
              </w:r>
            </w:hyperlink>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Fifth Amended and Restated Bylaws of MEI Pharma, Inc., effective as of February 23, 2023 (incorporated by reference to Exhibit 3.1 to the Registrant's Current Report on Form 8-K filed on February 23, 2023 (File No. 000-50484))</w:t>
              </w:r>
            </w:hyperlink>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pPr>
            <w:hyperlink w:anchor="meip-ex31_1.htm">
              <w:r>
                <w:rPr>
                  <w:rStyle w:val="InternetLink"/>
                  <w:rFonts w:ascii="Times New Roman;serif" w:hAnsi="Times New Roman;serif"/>
                  <w:b w:val="false"/>
                  <w:sz w:val="20"/>
                  <w:u w:val="single"/>
                </w:rPr>
                <w:t>Rule 13a-14(a) or Rule 15d-14(a) Certification of Principal Executive Officer.</w:t>
              </w:r>
            </w:hyperlink>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28" w:type="dxa"/>
            <w:tcBorders/>
            <w:shd w:fill="auto" w:val="clear"/>
            <w:vAlign w:val="center"/>
          </w:tcPr>
          <w:p>
            <w:pPr>
              <w:pStyle w:val="TableContents"/>
              <w:spacing w:before="0" w:after="0"/>
              <w:ind w:left="0" w:right="0" w:hanging="0"/>
              <w:jc w:val="left"/>
              <w:rPr/>
            </w:pPr>
            <w:hyperlink w:anchor="meip-ex31_2.htm">
              <w:r>
                <w:rPr>
                  <w:rStyle w:val="InternetLink"/>
                  <w:rFonts w:ascii="Times New Roman;serif" w:hAnsi="Times New Roman;serif"/>
                  <w:b w:val="false"/>
                  <w:sz w:val="20"/>
                  <w:u w:val="single"/>
                </w:rPr>
                <w:t>Rule 13a-14(a) or Rule 15d-14(a) Certification of Principal Financial Officer.</w:t>
              </w:r>
            </w:hyperlink>
          </w:p>
        </w:tc>
      </w:tr>
      <w:tr>
        <w:trPr/>
        <w:tc>
          <w:tcPr>
            <w:tcW w:w="765"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28" w:type="dxa"/>
            <w:tcBorders/>
            <w:shd w:fill="auto" w:val="clear"/>
            <w:vAlign w:val="center"/>
          </w:tcPr>
          <w:p>
            <w:pPr>
              <w:pStyle w:val="TableContents"/>
              <w:spacing w:before="0" w:after="0"/>
              <w:ind w:left="0" w:right="0" w:hanging="0"/>
              <w:jc w:val="left"/>
              <w:rPr/>
            </w:pPr>
            <w:hyperlink w:anchor="meip-ex32_1.htm">
              <w:r>
                <w:rPr>
                  <w:rStyle w:val="InternetLink"/>
                  <w:rFonts w:ascii="Times New Roman;serif" w:hAnsi="Times New Roman;serif"/>
                  <w:b w:val="false"/>
                  <w:sz w:val="20"/>
                  <w:u w:val="single"/>
                </w:rPr>
                <w:t>Certification of Principal Executive Officer and Principal Financial Officer required by Rule 13a-14(b) or Rule 15d-14(b) and Section 1350 of Chapter 63 of Title 18 of the United States Code (18 U.S.C 1350).</w:t>
              </w:r>
            </w:hyperlink>
          </w:p>
        </w:tc>
      </w:tr>
      <w:tr>
        <w:trPr/>
        <w:tc>
          <w:tcPr>
            <w:tcW w:w="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vAlign w:val="center"/>
          </w:tcPr>
          <w:p>
            <w:pPr>
              <w:pStyle w:val="TableContents"/>
              <w:spacing w:before="0" w:after="283"/>
              <w:ind w:left="0" w:right="0" w:hanging="0"/>
              <w:rPr>
                <w:sz w:val="4"/>
                <w:szCs w:val="4"/>
              </w:rPr>
            </w:pPr>
            <w:r>
              <w:rPr>
                <w:sz w:val="4"/>
                <w:szCs w:val="4"/>
              </w:rPr>
            </w:r>
          </w:p>
        </w:tc>
        <w:tc>
          <w:tcPr>
            <w:tcW w:w="96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76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vAlign w:val="center"/>
          </w:tcPr>
          <w:p>
            <w:pPr>
              <w:pStyle w:val="TableContents"/>
              <w:spacing w:before="0" w:after="0"/>
              <w:ind w:left="0" w:right="0" w:hanging="0"/>
              <w:jc w:val="left"/>
              <w:rPr/>
            </w:pPr>
            <w:r>
              <w:rPr/>
              <w:t> </w:t>
            </w:r>
          </w:p>
        </w:tc>
        <w:tc>
          <w:tcPr>
            <w:tcW w:w="96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left"/>
        <w:rPr/>
      </w:pPr>
      <w:hyperlink w:anchor="toc_page">
        <w:r>
          <w:rPr>
            <w:rStyle w:val="InternetLink"/>
            <w:rFonts w:ascii="Times New Roman;serif" w:hAnsi="Times New Roman;serif"/>
            <w:b w:val="false"/>
            <w:sz w:val="20"/>
            <w:u w:val="single"/>
          </w:rPr>
          <w:t>Table of Contents</w:t>
        </w:r>
      </w:hyperlink>
    </w:p>
    <w:p>
      <w:pPr>
        <w:pStyle w:val="TextBody"/>
        <w:spacing w:before="0" w:after="0"/>
        <w:jc w:val="left"/>
        <w:rPr>
          <w:rFonts w:ascii="Times New Roman;serif" w:hAnsi="Times New Roman;serif"/>
          <w:b/>
          <w:sz w:val="20"/>
        </w:rPr>
      </w:pPr>
      <w:bookmarkStart w:id="21" w:name="signatures"/>
      <w:bookmarkEnd w:id="21"/>
      <w:r>
        <w:rPr>
          <w:rFonts w:ascii="Times New Roman;serif" w:hAnsi="Times New Roman;serif"/>
          <w:b/>
          <w:sz w:val="20"/>
        </w:rPr>
        <w:t>SIGNATURES</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Quarterly Report to be signed on its behalf by the undersigned, thereunto duly authorized.</w:t>
      </w:r>
    </w:p>
    <w:p>
      <w:pPr>
        <w:pStyle w:val="TextBody"/>
        <w:spacing w:before="0" w:after="0"/>
        <w:jc w:val="left"/>
        <w:rPr/>
      </w:pPr>
      <w:r>
        <w:rPr/>
        <w:t> </w:t>
      </w:r>
    </w:p>
    <w:tbl>
      <w:tblPr>
        <w:tblW w:w="3387" w:type="dxa"/>
        <w:jc w:val="left"/>
        <w:tblInd w:w="0" w:type="dxa"/>
        <w:tblCellMar>
          <w:top w:w="28" w:type="dxa"/>
          <w:left w:w="28" w:type="dxa"/>
          <w:bottom w:w="28" w:type="dxa"/>
          <w:right w:w="28" w:type="dxa"/>
        </w:tblCellMar>
      </w:tblPr>
      <w:tblGrid>
        <w:gridCol w:w="161"/>
        <w:gridCol w:w="3226"/>
      </w:tblGrid>
      <w:tr>
        <w:trPr/>
        <w:tc>
          <w:tcPr>
            <w:tcW w:w="161" w:type="dxa"/>
            <w:tcBorders/>
            <w:shd w:fill="auto" w:val="clear"/>
            <w:vAlign w:val="center"/>
          </w:tcPr>
          <w:p>
            <w:pPr>
              <w:pStyle w:val="TableContents"/>
              <w:spacing w:before="0" w:after="283"/>
              <w:rPr>
                <w:sz w:val="4"/>
                <w:szCs w:val="4"/>
              </w:rPr>
            </w:pPr>
            <w:r>
              <w:rPr>
                <w:sz w:val="4"/>
                <w:szCs w:val="4"/>
              </w:rPr>
            </w:r>
          </w:p>
        </w:tc>
        <w:tc>
          <w:tcPr>
            <w:tcW w:w="322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before="0" w:after="0"/>
              <w:ind w:left="0" w:right="15" w:hanging="0"/>
              <w:jc w:val="left"/>
              <w:rPr>
                <w:rFonts w:ascii="Times New Roman;serif" w:hAnsi="Times New Roman;serif"/>
                <w:b w:val="false"/>
                <w:sz w:val="20"/>
              </w:rPr>
            </w:pPr>
            <w:r>
              <w:rPr>
                <w:rFonts w:ascii="Times New Roman;serif" w:hAnsi="Times New Roman;serif"/>
                <w:b w:val="false"/>
                <w:sz w:val="20"/>
              </w:rPr>
              <w:t>MEI Pharma, Inc.</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Daniel P. Gold</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 P. Gold</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before="0" w:after="0"/>
              <w:ind w:left="0" w:right="15" w:hanging="0"/>
              <w:jc w:val="left"/>
              <w:rPr>
                <w:rFonts w:ascii="Times New Roman;serif" w:hAnsi="Times New Roman;serif"/>
                <w:b w:val="false"/>
                <w:sz w:val="20"/>
              </w:rPr>
            </w:pPr>
            <w:r>
              <w:rPr>
                <w:rFonts w:ascii="Times New Roman;serif" w:hAnsi="Times New Roman;serif"/>
                <w:b w:val="false"/>
                <w:sz w:val="20"/>
              </w:rPr>
              <w:t>President and Chief Executive Officer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226" w:type="dxa"/>
            <w:tcBorders/>
            <w:shd w:fill="auto" w:val="clear"/>
            <w:tcMar>
              <w:top w:w="0" w:type="dxa"/>
              <w:left w:w="0" w:type="dxa"/>
              <w:bottom w:w="0" w:type="dxa"/>
              <w:right w:w="0" w:type="dxa"/>
            </w:tcMar>
            <w:vAlign w:val="center"/>
          </w:tcPr>
          <w:p>
            <w:pPr>
              <w:pStyle w:val="TableContents"/>
              <w:spacing w:before="0" w:after="0"/>
              <w:ind w:left="0" w:right="15" w:hanging="0"/>
              <w:jc w:val="left"/>
              <w:rPr>
                <w:rFonts w:ascii="Times New Roman;serif" w:hAnsi="Times New Roman;serif"/>
                <w:b w:val="false"/>
                <w:sz w:val="20"/>
              </w:rPr>
            </w:pPr>
            <w:r>
              <w:rPr>
                <w:rFonts w:ascii="Times New Roman;serif" w:hAnsi="Times New Roman;serif"/>
                <w:b w:val="false"/>
                <w:sz w:val="20"/>
              </w:rPr>
              <w:t>Date: May 11, 2023</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r>
        <w:br w:type="page"/>
      </w:r>
    </w:p>
    <w:p>
      <w:pPr>
        <w:pStyle w:val="TextBody"/>
        <w:spacing w:before="0" w:after="0"/>
        <w:jc w:val="left"/>
        <w:rPr/>
      </w:pPr>
      <w:bookmarkStart w:id="22" w:name="meip-ex31_1.htm"/>
      <w:bookmarkStart w:id="23" w:name="ksmeipex31_1"/>
      <w:bookmarkEnd w:id="22"/>
      <w:bookmarkEnd w:id="23"/>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40" w:after="0"/>
        <w:jc w:val="left"/>
        <w:rPr>
          <w:rFonts w:ascii="Times New Roman" w:hAnsi="Times New Roman"/>
          <w:sz w:val="20"/>
        </w:rPr>
      </w:pPr>
      <w:r>
        <w:rPr>
          <w:rFonts w:ascii="Times New Roman;serif" w:hAnsi="Times New Roman;serif"/>
          <w:b w:val="false"/>
          <w:sz w:val="20"/>
        </w:rPr>
        <w:t>I, Daniel P. Gold, certify that:</w:t>
      </w:r>
      <w:r>
        <w:rPr>
          <w:rFonts w:ascii="Times New Roman" w:hAnsi="Times New Roman"/>
          <w:sz w:val="20"/>
        </w:rPr>
        <w:t xml:space="preserve"> </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MEI Pharma, Inc.;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544" w:type="dxa"/>
        <w:jc w:val="left"/>
        <w:tblInd w:w="0" w:type="dxa"/>
        <w:tblCellMar>
          <w:top w:w="28" w:type="dxa"/>
          <w:left w:w="28" w:type="dxa"/>
          <w:bottom w:w="28" w:type="dxa"/>
          <w:right w:w="28" w:type="dxa"/>
        </w:tblCellMar>
      </w:tblPr>
      <w:tblGrid>
        <w:gridCol w:w="1741"/>
        <w:gridCol w:w="109"/>
        <w:gridCol w:w="109"/>
        <w:gridCol w:w="109"/>
        <w:gridCol w:w="247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6" w:type="dxa"/>
            <w:tcBorders/>
            <w:shd w:fill="auto" w:val="clear"/>
            <w:tcMar>
              <w:top w:w="0" w:type="dxa"/>
              <w:left w:w="0" w:type="dxa"/>
              <w:bottom w:w="0" w:type="dxa"/>
              <w:right w:w="0" w:type="dxa"/>
            </w:tcMar>
            <w:vAlign w:val="center"/>
          </w:tcPr>
          <w:p>
            <w:pPr>
              <w:pStyle w:val="TableContents"/>
              <w:pBdr>
                <w:bottom w:val="single" w:sz="8" w:space="1" w:color="000000"/>
              </w:pBdr>
              <w:spacing w:before="0" w:after="0"/>
              <w:ind w:left="0" w:right="0" w:hanging="0"/>
              <w:jc w:val="left"/>
              <w:rPr>
                <w:rFonts w:ascii="Times New Roman;serif" w:hAnsi="Times New Roman;serif"/>
                <w:b w:val="false"/>
                <w:sz w:val="20"/>
              </w:rPr>
            </w:pPr>
            <w:r>
              <w:rPr>
                <w:rFonts w:ascii="Times New Roman;serif" w:hAnsi="Times New Roman;serif"/>
                <w:b w:val="false"/>
                <w:sz w:val="20"/>
              </w:rPr>
              <w:t>/s/ Daniel P. Gold</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 P. Gold</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4" w:name="meip-ex31_2.htm"/>
      <w:bookmarkStart w:id="25" w:name="ksmeipex31_2"/>
      <w:bookmarkEnd w:id="24"/>
      <w:bookmarkEnd w:id="25"/>
      <w:r>
        <w:rPr/>
        <w:t> </w:t>
      </w:r>
    </w:p>
    <w:p>
      <w:pPr>
        <w:pStyle w:val="TextBody"/>
        <w:spacing w:before="100" w:after="0"/>
        <w:jc w:val="right"/>
        <w:rPr>
          <w:rFonts w:ascii="Times New Roman;serif" w:hAnsi="Times New Roman;serif"/>
          <w:b/>
          <w:sz w:val="20"/>
        </w:rPr>
      </w:pPr>
      <w:r>
        <w:rPr>
          <w:rFonts w:ascii="Times New Roman;serif" w:hAnsi="Times New Roman;serif"/>
          <w:b/>
          <w:sz w:val="20"/>
        </w:rPr>
        <w:t>Exhibit 31.2</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 Brian G. Drazba, certify that:</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I have reviewed this Quarterly Report on Form 10-Q of MEI Pharma, Inc.;</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spacing w:before="120" w:after="0"/>
        <w:jc w:val="left"/>
        <w:rPr>
          <w:rFonts w:ascii="Times New Roman" w:hAnsi="Times New Roman"/>
          <w:b w:val="false"/>
          <w:sz w:val="20"/>
        </w:rPr>
      </w:pPr>
      <w:r>
        <w:rPr>
          <w:rFonts w:ascii="Times New Roman" w:hAnsi="Times New Roman"/>
          <w:b w:val="false"/>
          <w:sz w:val="20"/>
        </w:rPr>
        <w:t>3.</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spacing w:before="120" w:after="0"/>
        <w:jc w:val="left"/>
        <w:rPr>
          <w:rFonts w:ascii="Times New Roman" w:hAnsi="Times New Roman"/>
          <w:b w:val="false"/>
          <w:sz w:val="20"/>
        </w:rPr>
      </w:pPr>
      <w:r>
        <w:rPr>
          <w:rFonts w:ascii="Times New Roman" w:hAnsi="Times New Roman"/>
          <w:b w:val="false"/>
          <w:sz w:val="20"/>
        </w:rPr>
        <w:t>4.</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120" w:after="0"/>
        <w:jc w:val="left"/>
        <w:rPr>
          <w:rFonts w:ascii="Times New Roman" w:hAnsi="Times New Roman"/>
          <w:b w:val="false"/>
          <w:sz w:val="20"/>
        </w:rPr>
      </w:pPr>
      <w:r>
        <w:rPr>
          <w:rFonts w:ascii="Times New Roman" w:hAnsi="Times New Roman"/>
          <w:b w:val="false"/>
          <w:sz w:val="20"/>
        </w:rPr>
        <w:t>(c)</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the Quarterly Report our conclusions about the effectiveness of the disclosure controls and procedures, as of the end of the period covered by this Quarterly Report based on such evaluation; and</w:t>
      </w:r>
    </w:p>
    <w:p>
      <w:pPr>
        <w:pStyle w:val="TextBody"/>
        <w:spacing w:before="120" w:after="0"/>
        <w:jc w:val="left"/>
        <w:rPr>
          <w:rFonts w:ascii="Times New Roman" w:hAnsi="Times New Roman"/>
          <w:b w:val="false"/>
          <w:sz w:val="20"/>
        </w:rPr>
      </w:pPr>
      <w:r>
        <w:rPr>
          <w:rFonts w:ascii="Times New Roman" w:hAnsi="Times New Roman"/>
          <w:b w:val="false"/>
          <w:sz w:val="20"/>
        </w:rPr>
        <w:t>(d)</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spacing w:before="120" w:after="0"/>
        <w:jc w:val="left"/>
        <w:rPr>
          <w:rFonts w:ascii="Times New Roman" w:hAnsi="Times New Roman"/>
          <w:b w:val="false"/>
          <w:sz w:val="20"/>
        </w:rPr>
      </w:pPr>
      <w:r>
        <w:rPr>
          <w:rFonts w:ascii="Times New Roman" w:hAnsi="Times New Roman"/>
          <w:b w:val="false"/>
          <w:sz w:val="20"/>
        </w:rPr>
        <w:t>5.</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other certifying officer and I have disclosed, based on our most recent evaluation of internal control over financial reporting, to the registrant’s auditors and the audit committee of the registrant’s board of directors:</w:t>
      </w:r>
    </w:p>
    <w:p>
      <w:pPr>
        <w:pStyle w:val="TextBody"/>
        <w:spacing w:before="120" w:after="0"/>
        <w:jc w:val="left"/>
        <w:rPr>
          <w:rFonts w:ascii="Times New Roman" w:hAnsi="Times New Roman"/>
          <w:b w:val="false"/>
          <w:sz w:val="20"/>
        </w:rPr>
      </w:pPr>
      <w:r>
        <w:rPr>
          <w:rFonts w:ascii="Times New Roman" w:hAnsi="Times New Roman"/>
          <w:b w:val="false"/>
          <w:sz w:val="20"/>
        </w:rPr>
        <w:t>(a)</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120" w:after="0"/>
        <w:jc w:val="left"/>
        <w:rPr>
          <w:rFonts w:ascii="Times New Roman" w:hAnsi="Times New Roman"/>
          <w:b w:val="false"/>
          <w:sz w:val="20"/>
        </w:rPr>
      </w:pPr>
      <w:r>
        <w:rPr>
          <w:rFonts w:ascii="Times New Roman" w:hAnsi="Times New Roman"/>
          <w:b w:val="false"/>
          <w:sz w:val="20"/>
        </w:rPr>
        <w:t>(b)</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spacing w:before="0" w:after="0"/>
        <w:jc w:val="left"/>
        <w:rPr/>
      </w:pPr>
      <w:r>
        <w:rPr/>
        <w:t> </w:t>
      </w:r>
    </w:p>
    <w:tbl>
      <w:tblPr>
        <w:tblW w:w="4484" w:type="dxa"/>
        <w:jc w:val="left"/>
        <w:tblInd w:w="0" w:type="dxa"/>
        <w:tblCellMar>
          <w:top w:w="28" w:type="dxa"/>
          <w:left w:w="28" w:type="dxa"/>
          <w:bottom w:w="28" w:type="dxa"/>
          <w:right w:w="28" w:type="dxa"/>
        </w:tblCellMar>
      </w:tblPr>
      <w:tblGrid>
        <w:gridCol w:w="1741"/>
        <w:gridCol w:w="109"/>
        <w:gridCol w:w="109"/>
        <w:gridCol w:w="109"/>
        <w:gridCol w:w="2416"/>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11,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16" w:type="dxa"/>
            <w:tcBorders/>
            <w:shd w:fill="auto" w:val="clear"/>
            <w:tcMar>
              <w:top w:w="0" w:type="dxa"/>
              <w:left w:w="0" w:type="dxa"/>
              <w:bottom w:w="0" w:type="dxa"/>
              <w:right w:w="0" w:type="dxa"/>
            </w:tcMar>
            <w:vAlign w:val="center"/>
          </w:tcPr>
          <w:p>
            <w:pPr>
              <w:pStyle w:val="TableContents"/>
              <w:pBdr>
                <w:bottom w:val="single" w:sz="8" w:space="1" w:color="000000"/>
              </w:pBdr>
              <w:spacing w:before="0" w:after="0"/>
              <w:ind w:left="0" w:right="0" w:hanging="0"/>
              <w:jc w:val="left"/>
              <w:rPr>
                <w:rFonts w:ascii="Times New Roman;serif" w:hAnsi="Times New Roman;serif"/>
                <w:b w:val="false"/>
                <w:sz w:val="20"/>
              </w:rPr>
            </w:pPr>
            <w:r>
              <w:rPr>
                <w:rFonts w:ascii="Times New Roman;serif" w:hAnsi="Times New Roman;serif"/>
                <w:b w:val="false"/>
                <w:sz w:val="20"/>
              </w:rPr>
              <w:t>/s/ Brian G. Drazba</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Brian G. Drazba</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spacing w:before="0" w:after="0"/>
        <w:jc w:val="left"/>
        <w:rPr/>
      </w:pPr>
      <w:r>
        <w:rPr/>
        <w:t> </w:t>
      </w:r>
    </w:p>
    <w:p>
      <w:pPr>
        <w:pStyle w:val="HorizontalLine"/>
        <w:rPr/>
      </w:pPr>
      <w:r>
        <w:rPr/>
      </w:r>
      <w:r>
        <w:br w:type="page"/>
      </w:r>
    </w:p>
    <w:p>
      <w:pPr>
        <w:pStyle w:val="TextBody"/>
        <w:spacing w:before="0" w:after="0"/>
        <w:jc w:val="left"/>
        <w:rPr/>
      </w:pPr>
      <w:bookmarkStart w:id="26" w:name="meip-ex32_1.htm"/>
      <w:bookmarkStart w:id="27" w:name="ksmeipex32_1"/>
      <w:bookmarkEnd w:id="26"/>
      <w:bookmarkEnd w:id="2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240" w:after="0"/>
        <w:jc w:val="center"/>
        <w:rPr>
          <w:rFonts w:ascii="Times New Roman;serif" w:hAnsi="Times New Roman;serif"/>
          <w:b/>
          <w:sz w:val="20"/>
        </w:rPr>
      </w:pPr>
      <w:r>
        <w:rPr>
          <w:rFonts w:ascii="Times New Roman;serif" w:hAnsi="Times New Roman;serif"/>
          <w:b/>
          <w:sz w:val="20"/>
        </w:rPr>
        <w:t>CERTIFICATION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 set forth in Rule 13a-14(b) or Rule 15d-14(b) of the Securities Exchange Act of 1934, as amended, and Section 1350 of Chapter 63 of Title 18 of the United States Code (18 U.S.C. § 1350), Daniel P. Gold, the Chief Executive Officer of MEI Pharma, Inc. (the “Registrant”), and Brian G. Drazba, the Chief Financial Officer of the Registrant, each hereby certifies that, to his knowledge:</w:t>
      </w:r>
    </w:p>
    <w:p>
      <w:pPr>
        <w:pStyle w:val="TextBody"/>
        <w:spacing w:before="120" w:after="0"/>
        <w:jc w:val="left"/>
        <w:rPr>
          <w:rFonts w:ascii="Times New Roman" w:hAnsi="Times New Roman"/>
          <w:b w:val="false"/>
          <w:sz w:val="20"/>
        </w:rPr>
      </w:pPr>
      <w:r>
        <w:rPr>
          <w:rFonts w:ascii="Times New Roman" w:hAnsi="Times New Roman"/>
          <w:b w:val="false"/>
          <w:sz w:val="20"/>
        </w:rPr>
        <w:t>1.</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Registrant’s Quarterly Report on Form 10-Q for the period ended March 31, 2023, (the “Form 10-Q”) to which this Certification is attached as Exhibit 32.1, fully complies with the requirements of Section 13(a) or Section 15(d) of the Securities Exchange Act of 1934, as amended; and</w:t>
      </w:r>
    </w:p>
    <w:p>
      <w:pPr>
        <w:pStyle w:val="TextBody"/>
        <w:spacing w:before="120" w:after="0"/>
        <w:jc w:val="left"/>
        <w:rPr>
          <w:rFonts w:ascii="Times New Roman" w:hAnsi="Times New Roman"/>
          <w:b w:val="false"/>
          <w:sz w:val="20"/>
        </w:rPr>
      </w:pPr>
      <w:r>
        <w:rPr>
          <w:rFonts w:ascii="Times New Roman" w:hAnsi="Times New Roman"/>
          <w:b w:val="false"/>
          <w:sz w:val="20"/>
        </w:rPr>
        <w:t>2.</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The information contained in the Form 10-Q fairly presents, in all material respects, the financial condition of the Registrant at the end of the period covered by the Form 10-Q and results of operations of the registrant for the period covered by the Form 10-Q.</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These certifications accompanying the Form 10-Q to which they relate,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Dated: May 11, 2023</w:t>
      </w:r>
    </w:p>
    <w:tbl>
      <w:tblPr>
        <w:tblW w:w="5189" w:type="dxa"/>
        <w:jc w:val="left"/>
        <w:tblInd w:w="0" w:type="dxa"/>
        <w:tblCellMar>
          <w:top w:w="28" w:type="dxa"/>
          <w:left w:w="28" w:type="dxa"/>
          <w:bottom w:w="28" w:type="dxa"/>
          <w:right w:w="28" w:type="dxa"/>
        </w:tblCellMar>
      </w:tblPr>
      <w:tblGrid>
        <w:gridCol w:w="2446"/>
        <w:gridCol w:w="109"/>
        <w:gridCol w:w="109"/>
        <w:gridCol w:w="109"/>
        <w:gridCol w:w="2416"/>
      </w:tblGrid>
      <w:tr>
        <w:trPr/>
        <w:tc>
          <w:tcPr>
            <w:tcW w:w="24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r>
      <w:tr>
        <w:trPr/>
        <w:tc>
          <w:tcPr>
            <w:tcW w:w="2446" w:type="dxa"/>
            <w:tcBorders/>
            <w:shd w:fill="auto" w:val="clear"/>
            <w:tcMar>
              <w:top w:w="0" w:type="dxa"/>
              <w:left w:w="0" w:type="dxa"/>
              <w:bottom w:w="0" w:type="dxa"/>
              <w:right w:w="0" w:type="dxa"/>
            </w:tcMar>
            <w:vAlign w:val="center"/>
          </w:tcPr>
          <w:p>
            <w:pPr>
              <w:pStyle w:val="TableContents"/>
              <w:pBdr>
                <w:bottom w:val="single" w:sz="8" w:space="1" w:color="000000"/>
              </w:pBdr>
              <w:spacing w:before="0" w:after="0"/>
              <w:ind w:left="0" w:right="0" w:hanging="0"/>
              <w:jc w:val="left"/>
              <w:rPr>
                <w:rFonts w:ascii="Times New Roman;serif" w:hAnsi="Times New Roman;serif"/>
                <w:b w:val="false"/>
                <w:sz w:val="20"/>
              </w:rPr>
            </w:pPr>
            <w:r>
              <w:rPr>
                <w:rFonts w:ascii="Times New Roman;serif" w:hAnsi="Times New Roman;serif"/>
                <w:b w:val="false"/>
                <w:sz w:val="20"/>
              </w:rPr>
              <w:t>/s/ Daniel P. Gold</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16" w:type="dxa"/>
            <w:tcBorders/>
            <w:shd w:fill="auto" w:val="clear"/>
            <w:tcMar>
              <w:top w:w="0" w:type="dxa"/>
              <w:left w:w="0" w:type="dxa"/>
              <w:bottom w:w="0" w:type="dxa"/>
              <w:right w:w="0" w:type="dxa"/>
            </w:tcMar>
            <w:vAlign w:val="center"/>
          </w:tcPr>
          <w:p>
            <w:pPr>
              <w:pStyle w:val="TableContents"/>
              <w:pBdr>
                <w:bottom w:val="single" w:sz="8" w:space="1" w:color="000000"/>
              </w:pBdr>
              <w:spacing w:before="0" w:after="0"/>
              <w:ind w:left="0" w:right="0" w:hanging="0"/>
              <w:jc w:val="left"/>
              <w:rPr>
                <w:rFonts w:ascii="Times New Roman;serif" w:hAnsi="Times New Roman;serif"/>
                <w:b w:val="false"/>
                <w:sz w:val="20"/>
              </w:rPr>
            </w:pPr>
            <w:r>
              <w:rPr>
                <w:rFonts w:ascii="Times New Roman;serif" w:hAnsi="Times New Roman;serif"/>
                <w:b w:val="false"/>
                <w:sz w:val="20"/>
              </w:rPr>
              <w:t>/s/ Brian G. Drazba</w:t>
            </w:r>
          </w:p>
        </w:tc>
      </w:tr>
      <w:tr>
        <w:trPr/>
        <w:tc>
          <w:tcPr>
            <w:tcW w:w="24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Daniel P. Gold</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Brian G. Drazba</w:t>
            </w:r>
          </w:p>
        </w:tc>
      </w:tr>
      <w:tr>
        <w:trPr/>
        <w:tc>
          <w:tcPr>
            <w:tcW w:w="24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1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Officer)</w:t>
            </w:r>
          </w:p>
        </w:tc>
      </w:tr>
    </w:tbl>
    <w:p>
      <w:pPr>
        <w:pStyle w:val="TextBody"/>
        <w:spacing w:before="0" w:after="0"/>
        <w:jc w:val="left"/>
        <w:rPr/>
      </w:pPr>
      <w:r>
        <w:rPr/>
        <w:t> </w:t>
      </w:r>
    </w:p>
    <w:p>
      <w:pPr>
        <w:pStyle w:val="HorizontalLine"/>
        <w:pBdr>
          <w:bottom w:val="double" w:sz="2" w:space="0" w:color="808080"/>
        </w:pBdr>
        <w:spacing w:before="0" w:after="283"/>
        <w:rPr/>
      </w:pPr>
      <w:r>
        <w:rPr/>
      </w:r>
    </w:p>
    <w:sectPr>
      <w:type w:val="nextPage"/>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62104/000119312523046815/d428092dex21.htm" TargetMode="External"/><Relationship Id="rId4" Type="http://schemas.openxmlformats.org/officeDocument/2006/relationships/hyperlink" Target="https://www.sec.gov/Archives/edgar/data/1262104/000119312523102213/d483010dex31.htm" TargetMode="External"/><Relationship Id="rId5" Type="http://schemas.openxmlformats.org/officeDocument/2006/relationships/hyperlink" Target="https://www.sec.gov/Archives/edgar/data/1262104/000119312523046815/d428092dex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24452</Words>
  <CharactersWithSpaces>160093</CharactersWithSpaces>
  <Paragraphs>3500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