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7"/>
          <w:szCs w:val="7"/>
          <w:b w:val="1"/>
          <w:bCs w:val="1"/>
          <w:color w:val="auto"/>
        </w:rPr>
        <w:t>--</w:t>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2959100</wp:posOffset>
            </wp:positionH>
            <wp:positionV relativeFrom="paragraph">
              <wp:posOffset>132715</wp:posOffset>
            </wp:positionV>
            <wp:extent cx="1224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428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2959100</wp:posOffset>
            </wp:positionH>
            <wp:positionV relativeFrom="paragraph">
              <wp:posOffset>164465</wp:posOffset>
            </wp:positionV>
            <wp:extent cx="1224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42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219" w:lineRule="exact"/>
        <w:rPr>
          <w:rFonts w:ascii="MS PGothic" w:cs="MS PGothic" w:eastAsia="MS PGothic" w:hAnsi="MS PGothic"/>
          <w:sz w:val="20"/>
          <w:szCs w:val="20"/>
          <w:color w:val="auto"/>
        </w:rPr>
      </w:pPr>
    </w:p>
    <w:p>
      <w:pPr>
        <w:ind w:left="414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For the fiscal year ended June 30, 2022</w:t>
      </w:r>
    </w:p>
    <w:p>
      <w:pPr>
        <w:spacing w:after="0" w:line="211" w:lineRule="exact"/>
        <w:rPr>
          <w:rFonts w:ascii="MS PGothic" w:cs="MS PGothic" w:eastAsia="MS PGothic" w:hAnsi="MS PGothic"/>
          <w:sz w:val="20"/>
          <w:szCs w:val="20"/>
          <w:color w:val="auto"/>
        </w:rPr>
      </w:pPr>
    </w:p>
    <w:p>
      <w:pPr>
        <w:ind w:left="548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OR</w:t>
      </w:r>
    </w:p>
    <w:p>
      <w:pPr>
        <w:spacing w:after="0" w:line="247"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10" w:lineRule="exact"/>
        <w:rPr>
          <w:sz w:val="24"/>
          <w:szCs w:val="24"/>
          <w:color w:val="auto"/>
        </w:rPr>
      </w:pPr>
    </w:p>
    <w:tbl>
      <w:tblPr>
        <w:tblLayout w:type="fixed"/>
        <w:tblInd w:w="34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439"/>
        </w:trPr>
        <w:tc>
          <w:tcPr>
            <w:tcW w:w="440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Commission File Number: 000-50484</w:t>
            </w:r>
          </w:p>
        </w:tc>
        <w:tc>
          <w:tcPr>
            <w:tcW w:w="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2959100</wp:posOffset>
            </wp:positionH>
            <wp:positionV relativeFrom="paragraph">
              <wp:posOffset>128270</wp:posOffset>
            </wp:positionV>
            <wp:extent cx="1224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4280" cy="8255"/>
                    </a:xfrm>
                    <a:prstGeom prst="rect">
                      <a:avLst/>
                    </a:prstGeom>
                    <a:noFill/>
                  </pic:spPr>
                </pic:pic>
              </a:graphicData>
            </a:graphic>
          </wp:anchor>
        </w:drawing>
      </w: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MEI Pharma,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2959100</wp:posOffset>
            </wp:positionH>
            <wp:positionV relativeFrom="paragraph">
              <wp:posOffset>132715</wp:posOffset>
            </wp:positionV>
            <wp:extent cx="1224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428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tbl>
      <w:tblPr>
        <w:tblLayout w:type="fixed"/>
        <w:tblInd w:w="1900" w:type="dxa"/>
        <w:tblCellMar>
          <w:top w:w="0" w:type="dxa"/>
          <w:left w:w="0" w:type="dxa"/>
          <w:bottom w:w="0" w:type="dxa"/>
          <w:right w:w="0" w:type="dxa"/>
        </w:tblCellMar>
      </w:tblPr>
      <w:tr>
        <w:trPr>
          <w:trHeight w:val="212"/>
        </w:trPr>
        <w:tc>
          <w:tcPr>
            <w:tcW w:w="3960" w:type="dxa"/>
            <w:vAlign w:val="bottom"/>
          </w:tcPr>
          <w:p>
            <w:pPr>
              <w:jc w:val="center"/>
              <w:ind w:right="2005"/>
              <w:spacing w:after="0"/>
              <w:rPr>
                <w:sz w:val="20"/>
                <w:szCs w:val="20"/>
                <w:color w:val="auto"/>
              </w:rPr>
            </w:pPr>
            <w:r>
              <w:rPr>
                <w:rFonts w:ascii="Times New Roman" w:cs="Times New Roman" w:eastAsia="Times New Roman" w:hAnsi="Times New Roman"/>
                <w:sz w:val="16"/>
                <w:szCs w:val="16"/>
                <w:b w:val="1"/>
                <w:bCs w:val="1"/>
                <w:color w:val="auto"/>
                <w:w w:val="97"/>
              </w:rPr>
              <w:t>DELAWARE</w:t>
            </w:r>
          </w:p>
        </w:tc>
        <w:tc>
          <w:tcPr>
            <w:tcW w:w="3220" w:type="dxa"/>
            <w:vAlign w:val="bottom"/>
          </w:tcPr>
          <w:p>
            <w:pPr>
              <w:jc w:val="center"/>
              <w:ind w:left="2005"/>
              <w:spacing w:after="0"/>
              <w:rPr>
                <w:sz w:val="20"/>
                <w:szCs w:val="20"/>
                <w:color w:val="auto"/>
              </w:rPr>
            </w:pPr>
            <w:r>
              <w:rPr>
                <w:rFonts w:ascii="Times New Roman" w:cs="Times New Roman" w:eastAsia="Times New Roman" w:hAnsi="Times New Roman"/>
                <w:sz w:val="16"/>
                <w:szCs w:val="16"/>
                <w:b w:val="1"/>
                <w:bCs w:val="1"/>
                <w:color w:val="auto"/>
              </w:rPr>
              <w:t>51-0407811</w:t>
            </w:r>
          </w:p>
        </w:tc>
      </w:tr>
      <w:tr>
        <w:trPr>
          <w:trHeight w:val="305"/>
        </w:trPr>
        <w:tc>
          <w:tcPr>
            <w:tcW w:w="3960" w:type="dxa"/>
            <w:vAlign w:val="bottom"/>
          </w:tcPr>
          <w:p>
            <w:pPr>
              <w:jc w:val="center"/>
              <w:ind w:right="2005"/>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20" w:type="dxa"/>
            <w:vAlign w:val="bottom"/>
          </w:tcPr>
          <w:p>
            <w:pPr>
              <w:jc w:val="center"/>
              <w:ind w:left="2025"/>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8"/>
        </w:trPr>
        <w:tc>
          <w:tcPr>
            <w:tcW w:w="3960" w:type="dxa"/>
            <w:vAlign w:val="bottom"/>
          </w:tcPr>
          <w:p>
            <w:pPr>
              <w:jc w:val="center"/>
              <w:ind w:right="200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20" w:type="dxa"/>
            <w:vAlign w:val="bottom"/>
          </w:tcPr>
          <w:p>
            <w:pPr>
              <w:jc w:val="center"/>
              <w:ind w:left="202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11455 El Camino Real, San Diego, CA 92130</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369-7100</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2959100</wp:posOffset>
            </wp:positionH>
            <wp:positionV relativeFrom="paragraph">
              <wp:posOffset>141605</wp:posOffset>
            </wp:positionV>
            <wp:extent cx="122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428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0"/>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7"/>
                <w:szCs w:val="17"/>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120" w:type="dxa"/>
            <w:vAlign w:val="bottom"/>
          </w:tcPr>
          <w:p>
            <w:pPr>
              <w:spacing w:after="0"/>
              <w:rPr>
                <w:sz w:val="17"/>
                <w:szCs w:val="17"/>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06"/>
        </w:trPr>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$0.00000002 par value</w:t>
            </w:r>
          </w:p>
        </w:tc>
        <w:tc>
          <w:tcPr>
            <w:tcW w:w="14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MEIP</w:t>
            </w:r>
          </w:p>
        </w:tc>
        <w:tc>
          <w:tcPr>
            <w:tcW w:w="1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2959100</wp:posOffset>
            </wp:positionH>
            <wp:positionV relativeFrom="paragraph">
              <wp:posOffset>141605</wp:posOffset>
            </wp:positionV>
            <wp:extent cx="122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4280" cy="8255"/>
                    </a:xfrm>
                    <a:prstGeom prst="rect">
                      <a:avLst/>
                    </a:prstGeom>
                    <a:noFill/>
                  </pic:spPr>
                </pic:pic>
              </a:graphicData>
            </a:graphic>
          </wp:anchor>
        </w:drawing>
      </w: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Indicate by a check mark if the registrant is a well-known seasoned issuer, as defined in Rule 405 of the Securities Act.</w:t>
            </w:r>
          </w:p>
        </w:tc>
        <w:tc>
          <w:tcPr>
            <w:tcW w:w="7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8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78"/>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w w:val="99"/>
              </w:rPr>
              <w:t>Indicate by a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180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284"/>
        </w:trPr>
        <w:tc>
          <w:tcPr>
            <w:tcW w:w="8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80"/>
        <w:spacing w:after="0" w:line="22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2" w:lineRule="exact"/>
        <w:rPr>
          <w:sz w:val="20"/>
          <w:szCs w:val="20"/>
          <w:color w:val="auto"/>
        </w:rPr>
      </w:pPr>
    </w:p>
    <w:p>
      <w:pPr>
        <w:ind w:right="60"/>
        <w:spacing w:after="0" w:line="22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5"/>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5"/>
        </w:trPr>
        <w:tc>
          <w:tcPr>
            <w:tcW w:w="18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18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5" w:lineRule="exact"/>
        <w:rPr>
          <w:sz w:val="20"/>
          <w:szCs w:val="20"/>
          <w:color w:val="auto"/>
        </w:rPr>
      </w:pPr>
    </w:p>
    <w:p>
      <w:pPr>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1" w:lineRule="exact"/>
        <w:rPr>
          <w:sz w:val="20"/>
          <w:szCs w:val="20"/>
          <w:color w:val="auto"/>
        </w:rPr>
      </w:pPr>
    </w:p>
    <w:p>
      <w:pPr>
        <w:ind w:right="20"/>
        <w:spacing w:after="0" w:line="22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83" w:lineRule="exact"/>
        <w:rPr>
          <w:sz w:val="20"/>
          <w:szCs w:val="20"/>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9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 aggregate market value of the voting common equity held by non-affiliates of the registrant was approximately $353.2 million as of December 31, 2021, based on the closing price of the registrant’s Common Stock as reported on the Nasdaq Capital Market on such date. For purposes of this calculation, shares of the registrant’s common stock held by directors and executive officers have been excluded. This number is provided only for purposes of this Annual Report on Form 10-K and does not represent an admission that any particular person or entity is an affiliate of the registrant.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6, 2022, there were 133,260,865 shares of the registrant’s common stock, par value $0.00000002 per share, outstanding.</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07"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Certain information required by Part III of this Annual Report on Form 10-K is incorporated by reference from the registrant’s definitive proxy statement for the annual meeting of stockholders to be held in December 2022, which will be filed with the Securities and Exchange Commission within 120 days after the close of the registrant’s fiscal year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MEI PHARMA,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27"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40" w:type="dxa"/>
            <w:vAlign w:val="bottom"/>
            <w:gridSpan w:val="5"/>
          </w:tcPr>
          <w:p>
            <w:pPr>
              <w:spacing w:after="0" w:line="155" w:lineRule="exact"/>
              <w:rPr>
                <w:sz w:val="20"/>
                <w:szCs w:val="20"/>
                <w:color w:val="auto"/>
              </w:rPr>
            </w:pPr>
            <w:r>
              <w:rPr>
                <w:rFonts w:ascii="Times New Roman" w:cs="Times New Roman" w:eastAsia="Times New Roman" w:hAnsi="Times New Roman"/>
                <w:sz w:val="16"/>
                <w:szCs w:val="16"/>
                <w:b w:val="1"/>
                <w:bCs w:val="1"/>
                <w:color w:val="0000FF"/>
              </w:rPr>
              <w:t>PART I</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auto"/>
              </w:rPr>
              <w:t>Item 1:</w:t>
            </w:r>
          </w:p>
        </w:tc>
        <w:tc>
          <w:tcPr>
            <w:tcW w:w="620" w:type="dxa"/>
            <w:vAlign w:val="bottom"/>
            <w:gridSpan w:val="4"/>
          </w:tcPr>
          <w:p>
            <w:pPr>
              <w:spacing w:after="0"/>
              <w:rPr>
                <w:sz w:val="24"/>
                <w:szCs w:val="24"/>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Business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Item 1A:</w:t>
            </w:r>
          </w:p>
        </w:tc>
        <w:tc>
          <w:tcPr>
            <w:tcW w:w="9320" w:type="dxa"/>
            <w:vAlign w:val="bottom"/>
            <w:gridSpan w:val="20"/>
            <w:vMerge w:val="restart"/>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9320" w:type="dxa"/>
            <w:vAlign w:val="bottom"/>
            <w:gridSpan w:val="20"/>
            <w:vMerge w:val="continue"/>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Item 1B:</w:t>
            </w:r>
          </w:p>
        </w:tc>
        <w:tc>
          <w:tcPr>
            <w:tcW w:w="9320" w:type="dxa"/>
            <w:vAlign w:val="bottom"/>
            <w:gridSpan w:val="20"/>
            <w:vMerge w:val="restart"/>
          </w:tcPr>
          <w:p>
            <w:pPr>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9320" w:type="dxa"/>
            <w:vAlign w:val="bottom"/>
            <w:gridSpan w:val="20"/>
            <w:vMerge w:val="continue"/>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Item 2:</w:t>
            </w:r>
          </w:p>
        </w:tc>
        <w:tc>
          <w:tcPr>
            <w:tcW w:w="1840" w:type="dxa"/>
            <w:vAlign w:val="bottom"/>
            <w:tcBorders>
              <w:top w:val="single" w:sz="8" w:color="0000FF"/>
            </w:tcBorders>
            <w:gridSpan w:val="8"/>
            <w:vMerge w:val="restart"/>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7480" w:type="dxa"/>
            <w:vAlign w:val="bottom"/>
            <w:gridSpan w:val="12"/>
            <w:vMerge w:val="restart"/>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840" w:type="dxa"/>
            <w:vAlign w:val="bottom"/>
            <w:gridSpan w:val="8"/>
            <w:vMerge w:val="continue"/>
          </w:tcPr>
          <w:p>
            <w:pPr>
              <w:spacing w:after="0"/>
              <w:rPr>
                <w:sz w:val="14"/>
                <w:szCs w:val="14"/>
                <w:color w:val="auto"/>
              </w:rPr>
            </w:pPr>
          </w:p>
        </w:tc>
        <w:tc>
          <w:tcPr>
            <w:tcW w:w="7480" w:type="dxa"/>
            <w:vAlign w:val="bottom"/>
            <w:gridSpan w:val="12"/>
            <w:vMerge w:val="continue"/>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Item 3:</w:t>
            </w:r>
          </w:p>
        </w:tc>
        <w:tc>
          <w:tcPr>
            <w:tcW w:w="9320" w:type="dxa"/>
            <w:vAlign w:val="bottom"/>
            <w:gridSpan w:val="20"/>
            <w:vMerge w:val="restart"/>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9320" w:type="dxa"/>
            <w:vAlign w:val="bottom"/>
            <w:gridSpan w:val="20"/>
            <w:vMerge w:val="continue"/>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Item 4:</w:t>
            </w:r>
          </w:p>
        </w:tc>
        <w:tc>
          <w:tcPr>
            <w:tcW w:w="9320" w:type="dxa"/>
            <w:vAlign w:val="bottom"/>
            <w:gridSpan w:val="20"/>
            <w:vMerge w:val="restart"/>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9320" w:type="dxa"/>
            <w:vAlign w:val="bottom"/>
            <w:gridSpan w:val="20"/>
            <w:vMerge w:val="continue"/>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0000FF"/>
                <w:w w:val="96"/>
              </w:rPr>
              <w:t>PART II</w:t>
            </w:r>
          </w:p>
        </w:tc>
        <w:tc>
          <w:tcPr>
            <w:tcW w:w="540" w:type="dxa"/>
            <w:vAlign w:val="bottom"/>
            <w:gridSpan w:val="3"/>
            <w:vMerge w:val="restart"/>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600" w:type="dxa"/>
            <w:vAlign w:val="bottom"/>
            <w:tcBorders>
              <w:bottom w:val="single" w:sz="8" w:color="0000FF"/>
            </w:tcBorders>
            <w:gridSpan w:val="2"/>
            <w:vMerge w:val="continue"/>
          </w:tcPr>
          <w:p>
            <w:pPr>
              <w:spacing w:after="0"/>
              <w:rPr>
                <w:sz w:val="24"/>
                <w:szCs w:val="24"/>
                <w:color w:val="auto"/>
              </w:rPr>
            </w:pPr>
          </w:p>
        </w:tc>
        <w:tc>
          <w:tcPr>
            <w:tcW w:w="54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5:</w:t>
            </w:r>
          </w:p>
        </w:tc>
        <w:tc>
          <w:tcPr>
            <w:tcW w:w="932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Market for the Registrant’s Common Equity, Related Stockholder Matters and Issuer Purchases of Equity Securities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Item 6:</w:t>
            </w:r>
          </w:p>
        </w:tc>
        <w:tc>
          <w:tcPr>
            <w:tcW w:w="720" w:type="dxa"/>
            <w:vAlign w:val="bottom"/>
            <w:tcBorders>
              <w:top w:val="single" w:sz="8" w:color="0000FF"/>
            </w:tcBorders>
            <w:gridSpan w:val="3"/>
            <w:vMerge w:val="restart"/>
          </w:tcPr>
          <w:p>
            <w:pPr>
              <w:spacing w:after="0"/>
              <w:rPr>
                <w:sz w:val="20"/>
                <w:szCs w:val="20"/>
                <w:color w:val="auto"/>
              </w:rPr>
            </w:pPr>
            <w:r>
              <w:rPr>
                <w:rFonts w:ascii="Times New Roman" w:cs="Times New Roman" w:eastAsia="Times New Roman" w:hAnsi="Times New Roman"/>
                <w:sz w:val="16"/>
                <w:szCs w:val="16"/>
                <w:color w:val="0000FF"/>
                <w:w w:val="99"/>
              </w:rPr>
              <w:t>[Reserved]</w:t>
            </w:r>
          </w:p>
        </w:tc>
        <w:tc>
          <w:tcPr>
            <w:tcW w:w="6780" w:type="dxa"/>
            <w:vAlign w:val="bottom"/>
            <w:tcBorders>
              <w:top w:val="single" w:sz="8" w:color="0000FF"/>
            </w:tcBorders>
            <w:gridSpan w:val="16"/>
            <w:vMerge w:val="restart"/>
          </w:tcPr>
          <w:p>
            <w:pPr>
              <w:spacing w:after="0"/>
              <w:rPr>
                <w:sz w:val="15"/>
                <w:szCs w:val="15"/>
                <w:color w:val="auto"/>
              </w:rPr>
            </w:pPr>
          </w:p>
        </w:tc>
        <w:tc>
          <w:tcPr>
            <w:tcW w:w="1820" w:type="dxa"/>
            <w:vAlign w:val="bottom"/>
            <w:vMerge w:val="restart"/>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720" w:type="dxa"/>
            <w:vAlign w:val="bottom"/>
            <w:tcBorders>
              <w:bottom w:val="single" w:sz="8" w:color="0000FF"/>
            </w:tcBorders>
            <w:gridSpan w:val="3"/>
            <w:vMerge w:val="continue"/>
          </w:tcPr>
          <w:p>
            <w:pPr>
              <w:spacing w:after="0"/>
              <w:rPr>
                <w:sz w:val="14"/>
                <w:szCs w:val="14"/>
                <w:color w:val="auto"/>
              </w:rPr>
            </w:pPr>
          </w:p>
        </w:tc>
        <w:tc>
          <w:tcPr>
            <w:tcW w:w="6780" w:type="dxa"/>
            <w:vAlign w:val="bottom"/>
            <w:gridSpan w:val="16"/>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Item 7:</w:t>
            </w:r>
          </w:p>
        </w:tc>
        <w:tc>
          <w:tcPr>
            <w:tcW w:w="5820" w:type="dxa"/>
            <w:vAlign w:val="bottom"/>
            <w:gridSpan w:val="16"/>
            <w:vMerge w:val="restart"/>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500" w:type="dxa"/>
            <w:vAlign w:val="bottom"/>
            <w:gridSpan w:val="4"/>
            <w:vMerge w:val="restart"/>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5820" w:type="dxa"/>
            <w:vAlign w:val="bottom"/>
            <w:tcBorders>
              <w:bottom w:val="single" w:sz="8" w:color="0000FF"/>
            </w:tcBorders>
            <w:gridSpan w:val="16"/>
            <w:vMerge w:val="continue"/>
          </w:tcPr>
          <w:p>
            <w:pPr>
              <w:spacing w:after="0"/>
              <w:rPr>
                <w:sz w:val="14"/>
                <w:szCs w:val="14"/>
                <w:color w:val="auto"/>
              </w:rPr>
            </w:pPr>
          </w:p>
        </w:tc>
        <w:tc>
          <w:tcPr>
            <w:tcW w:w="3500" w:type="dxa"/>
            <w:vAlign w:val="bottom"/>
            <w:gridSpan w:val="4"/>
            <w:vMerge w:val="continue"/>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Item 7a:</w:t>
            </w:r>
          </w:p>
        </w:tc>
        <w:tc>
          <w:tcPr>
            <w:tcW w:w="9320" w:type="dxa"/>
            <w:vAlign w:val="bottom"/>
            <w:gridSpan w:val="20"/>
            <w:vMerge w:val="restart"/>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9320" w:type="dxa"/>
            <w:vAlign w:val="bottom"/>
            <w:gridSpan w:val="20"/>
            <w:vMerge w:val="continue"/>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Item 8:</w:t>
            </w:r>
          </w:p>
        </w:tc>
        <w:tc>
          <w:tcPr>
            <w:tcW w:w="3880" w:type="dxa"/>
            <w:vAlign w:val="bottom"/>
            <w:tcBorders>
              <w:top w:val="single" w:sz="8" w:color="0000FF"/>
            </w:tcBorders>
            <w:gridSpan w:val="13"/>
            <w:vMerge w:val="restart"/>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5440" w:type="dxa"/>
            <w:vAlign w:val="bottom"/>
            <w:gridSpan w:val="7"/>
            <w:vMerge w:val="restart"/>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3880" w:type="dxa"/>
            <w:vAlign w:val="bottom"/>
            <w:gridSpan w:val="13"/>
            <w:vMerge w:val="continue"/>
          </w:tcPr>
          <w:p>
            <w:pPr>
              <w:spacing w:after="0"/>
              <w:rPr>
                <w:sz w:val="14"/>
                <w:szCs w:val="14"/>
                <w:color w:val="auto"/>
              </w:rPr>
            </w:pPr>
          </w:p>
        </w:tc>
        <w:tc>
          <w:tcPr>
            <w:tcW w:w="5440" w:type="dxa"/>
            <w:vAlign w:val="bottom"/>
            <w:gridSpan w:val="7"/>
            <w:vMerge w:val="continue"/>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Item 9:</w:t>
            </w:r>
          </w:p>
        </w:tc>
        <w:tc>
          <w:tcPr>
            <w:tcW w:w="5840" w:type="dxa"/>
            <w:vAlign w:val="bottom"/>
            <w:gridSpan w:val="17"/>
            <w:vMerge w:val="restart"/>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3480" w:type="dxa"/>
            <w:vAlign w:val="bottom"/>
            <w:gridSpan w:val="3"/>
            <w:vMerge w:val="restart"/>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5840" w:type="dxa"/>
            <w:vAlign w:val="bottom"/>
            <w:tcBorders>
              <w:bottom w:val="single" w:sz="8" w:color="0000FF"/>
            </w:tcBorders>
            <w:gridSpan w:val="17"/>
            <w:vMerge w:val="continue"/>
          </w:tcPr>
          <w:p>
            <w:pPr>
              <w:spacing w:after="0"/>
              <w:rPr>
                <w:sz w:val="14"/>
                <w:szCs w:val="14"/>
                <w:color w:val="auto"/>
              </w:rPr>
            </w:pPr>
          </w:p>
        </w:tc>
        <w:tc>
          <w:tcPr>
            <w:tcW w:w="3480" w:type="dxa"/>
            <w:vAlign w:val="bottom"/>
            <w:gridSpan w:val="3"/>
            <w:vMerge w:val="continue"/>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Item 9A:</w:t>
            </w:r>
          </w:p>
        </w:tc>
        <w:tc>
          <w:tcPr>
            <w:tcW w:w="162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700" w:type="dxa"/>
            <w:vAlign w:val="bottom"/>
            <w:gridSpan w:val="13"/>
            <w:vMerge w:val="restart"/>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620" w:type="dxa"/>
            <w:vAlign w:val="bottom"/>
            <w:tcBorders>
              <w:bottom w:val="single" w:sz="8" w:color="0000FF"/>
            </w:tcBorders>
            <w:gridSpan w:val="7"/>
            <w:vMerge w:val="continue"/>
          </w:tcPr>
          <w:p>
            <w:pPr>
              <w:spacing w:after="0"/>
              <w:rPr>
                <w:sz w:val="14"/>
                <w:szCs w:val="14"/>
                <w:color w:val="auto"/>
              </w:rPr>
            </w:pPr>
          </w:p>
        </w:tc>
        <w:tc>
          <w:tcPr>
            <w:tcW w:w="7700" w:type="dxa"/>
            <w:vAlign w:val="bottom"/>
            <w:gridSpan w:val="13"/>
            <w:vMerge w:val="continue"/>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Item 9B:</w:t>
            </w:r>
          </w:p>
        </w:tc>
        <w:tc>
          <w:tcPr>
            <w:tcW w:w="9320" w:type="dxa"/>
            <w:vAlign w:val="bottom"/>
            <w:gridSpan w:val="20"/>
            <w:vMerge w:val="restart"/>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9320" w:type="dxa"/>
            <w:vAlign w:val="bottom"/>
            <w:gridSpan w:val="20"/>
            <w:vMerge w:val="continue"/>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6"/>
                <w:szCs w:val="16"/>
                <w:color w:val="auto"/>
              </w:rPr>
              <w:t>Item 9C:</w:t>
            </w:r>
          </w:p>
        </w:tc>
        <w:tc>
          <w:tcPr>
            <w:tcW w:w="9320" w:type="dxa"/>
            <w:vAlign w:val="bottom"/>
            <w:gridSpan w:val="20"/>
          </w:tcPr>
          <w:p>
            <w:pPr>
              <w:spacing w:after="0" w:line="176" w:lineRule="exact"/>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b w:val="1"/>
                <w:bCs w:val="1"/>
                <w:color w:val="0000FF"/>
                <w:w w:val="96"/>
              </w:rPr>
              <w:t>PART III</w:t>
            </w:r>
          </w:p>
        </w:tc>
        <w:tc>
          <w:tcPr>
            <w:tcW w:w="48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10:</w:t>
            </w:r>
          </w:p>
        </w:tc>
        <w:tc>
          <w:tcPr>
            <w:tcW w:w="932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Item 11:</w:t>
            </w:r>
          </w:p>
        </w:tc>
        <w:tc>
          <w:tcPr>
            <w:tcW w:w="3680" w:type="dxa"/>
            <w:vAlign w:val="bottom"/>
            <w:tcBorders>
              <w:top w:val="single" w:sz="8" w:color="0000FF"/>
            </w:tcBorders>
            <w:gridSpan w:val="12"/>
            <w:vMerge w:val="restart"/>
          </w:tcPr>
          <w:p>
            <w:pPr>
              <w:spacing w:after="0"/>
              <w:rPr>
                <w:sz w:val="20"/>
                <w:szCs w:val="20"/>
                <w:color w:val="auto"/>
              </w:rPr>
            </w:pPr>
            <w:r>
              <w:rPr>
                <w:rFonts w:ascii="Times New Roman" w:cs="Times New Roman" w:eastAsia="Times New Roman" w:hAnsi="Times New Roman"/>
                <w:sz w:val="16"/>
                <w:szCs w:val="16"/>
                <w:color w:val="0000FF"/>
              </w:rPr>
              <w:t>Executive Compensation</w:t>
            </w:r>
          </w:p>
        </w:tc>
        <w:tc>
          <w:tcPr>
            <w:tcW w:w="5640" w:type="dxa"/>
            <w:vAlign w:val="bottom"/>
            <w:gridSpan w:val="8"/>
            <w:vMerge w:val="restart"/>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3680" w:type="dxa"/>
            <w:vAlign w:val="bottom"/>
            <w:gridSpan w:val="12"/>
            <w:vMerge w:val="continue"/>
          </w:tcPr>
          <w:p>
            <w:pPr>
              <w:spacing w:after="0"/>
              <w:rPr>
                <w:sz w:val="14"/>
                <w:szCs w:val="14"/>
                <w:color w:val="auto"/>
              </w:rPr>
            </w:pPr>
          </w:p>
        </w:tc>
        <w:tc>
          <w:tcPr>
            <w:tcW w:w="5640" w:type="dxa"/>
            <w:vAlign w:val="bottom"/>
            <w:gridSpan w:val="8"/>
            <w:vMerge w:val="continue"/>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Item 12:</w:t>
            </w:r>
          </w:p>
        </w:tc>
        <w:tc>
          <w:tcPr>
            <w:tcW w:w="9320" w:type="dxa"/>
            <w:vAlign w:val="bottom"/>
            <w:gridSpan w:val="20"/>
            <w:vMerge w:val="restart"/>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9320" w:type="dxa"/>
            <w:vAlign w:val="bottom"/>
            <w:gridSpan w:val="20"/>
            <w:vMerge w:val="continue"/>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Item 13:</w:t>
            </w:r>
          </w:p>
        </w:tc>
        <w:tc>
          <w:tcPr>
            <w:tcW w:w="6560" w:type="dxa"/>
            <w:vAlign w:val="bottom"/>
            <w:tcBorders>
              <w:top w:val="single" w:sz="8" w:color="0000FF"/>
            </w:tcBorders>
            <w:gridSpan w:val="18"/>
            <w:vMerge w:val="restart"/>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2760" w:type="dxa"/>
            <w:vAlign w:val="bottom"/>
            <w:gridSpan w:val="2"/>
            <w:vMerge w:val="restart"/>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6560" w:type="dxa"/>
            <w:vAlign w:val="bottom"/>
            <w:gridSpan w:val="18"/>
            <w:vMerge w:val="continue"/>
          </w:tcPr>
          <w:p>
            <w:pPr>
              <w:spacing w:after="0"/>
              <w:rPr>
                <w:sz w:val="14"/>
                <w:szCs w:val="14"/>
                <w:color w:val="auto"/>
              </w:rPr>
            </w:pPr>
          </w:p>
        </w:tc>
        <w:tc>
          <w:tcPr>
            <w:tcW w:w="2760" w:type="dxa"/>
            <w:vAlign w:val="bottom"/>
            <w:gridSpan w:val="2"/>
            <w:vMerge w:val="continue"/>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Item 14:</w:t>
            </w:r>
          </w:p>
        </w:tc>
        <w:tc>
          <w:tcPr>
            <w:tcW w:w="4900" w:type="dxa"/>
            <w:vAlign w:val="bottom"/>
            <w:tcBorders>
              <w:top w:val="single" w:sz="8" w:color="0000FF"/>
            </w:tcBorders>
            <w:gridSpan w:val="15"/>
            <w:vMerge w:val="restart"/>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4420" w:type="dxa"/>
            <w:vAlign w:val="bottom"/>
            <w:gridSpan w:val="5"/>
            <w:vMerge w:val="restart"/>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900" w:type="dxa"/>
            <w:vAlign w:val="bottom"/>
            <w:gridSpan w:val="15"/>
            <w:vMerge w:val="continue"/>
          </w:tcPr>
          <w:p>
            <w:pPr>
              <w:spacing w:after="0"/>
              <w:rPr>
                <w:sz w:val="14"/>
                <w:szCs w:val="14"/>
                <w:color w:val="auto"/>
              </w:rPr>
            </w:pPr>
          </w:p>
        </w:tc>
        <w:tc>
          <w:tcPr>
            <w:tcW w:w="4420" w:type="dxa"/>
            <w:vAlign w:val="bottom"/>
            <w:gridSpan w:val="5"/>
            <w:vMerge w:val="continue"/>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0000FF"/>
              </w:rPr>
              <w:t>PART IV</w:t>
            </w:r>
          </w:p>
        </w:tc>
        <w:tc>
          <w:tcPr>
            <w:tcW w:w="5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1140" w:type="dxa"/>
            <w:vAlign w:val="bottom"/>
            <w:gridSpan w:val="5"/>
            <w:vMerge w:val="continue"/>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auto"/>
              </w:rPr>
              <w:t>Item 15:</w:t>
            </w:r>
          </w:p>
        </w:tc>
        <w:tc>
          <w:tcPr>
            <w:tcW w:w="500" w:type="dxa"/>
            <w:vAlign w:val="bottom"/>
            <w:gridSpan w:val="2"/>
          </w:tcPr>
          <w:p>
            <w:pPr>
              <w:spacing w:after="0"/>
              <w:rPr>
                <w:sz w:val="24"/>
                <w:szCs w:val="24"/>
                <w:color w:val="auto"/>
              </w:rPr>
            </w:pPr>
          </w:p>
        </w:tc>
        <w:tc>
          <w:tcPr>
            <w:tcW w:w="2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Exhibits, Financial Statement Schedules</w:t>
            </w:r>
          </w:p>
        </w:tc>
        <w:tc>
          <w:tcPr>
            <w:tcW w:w="6700" w:type="dxa"/>
            <w:vAlign w:val="bottom"/>
            <w:gridSpan w:val="10"/>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Item 16:</w:t>
            </w:r>
          </w:p>
        </w:tc>
        <w:tc>
          <w:tcPr>
            <w:tcW w:w="9320" w:type="dxa"/>
            <w:vAlign w:val="bottom"/>
            <w:gridSpan w:val="20"/>
            <w:vMerge w:val="restart"/>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9320" w:type="dxa"/>
            <w:vAlign w:val="bottom"/>
            <w:gridSpan w:val="20"/>
            <w:vMerge w:val="continue"/>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5"/>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7"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This Annual Report on Form 10-K ("Annual Report") includes forward-looking statements, which involve a number of risks and uncertainties. These forward-looking statements can generally be identified as such because the context of the statement will include words such as “may,” “will,” “intend,” “plan,” “believe,” “anticipate,” “expect,” “estimate,” “predict,” “potential,” “continue,” “likely,” or “opportunity,” the negative of these words or other similar words. Similarly, statements that describe our future plans, strategies, intentions, expectations, objectives, goals or prospects and other statements that are not historical facts are also forward-looking statements. Discussions containing these forward-looking statements may be found, among other places, in “Business” and “Management’s Discussion and Analysis of Financial Condition and Results of Operations” in this Annual Report. For such statements, we claim the protection of the Private Securities Litigation Reform Act of 1995. Readers of this Annual Report are cautioned not to place undue reliance on these forward-looking statements, which speak only as of the time this Annual Report was filed with the Securities and Exchange Commission, or SEC. These forward-looking statements are based largely on our expectations and projections about future events and future trends affecting our business, and are subject to risks and uncertainties that could cause actual results to differ materially from those anticipated in the forward-looking statements. These risks and uncertainties include, without limitation, those discussed in “Risk Factors” and in “Management’s Discussion and Analysis of Financial Condition and Results of Operations” of this Annual Report. Other sections of this report and our other filings with the SEC may include additional factors which could adversely impact our business and financial performance. Moreover, we operate in a very competitive and rapidly changing environment. There is substantial uncertainty regarding the impact of rising inflation and the increase in interest rates as a result, the ongoing COVID-19 pandemic, and the ongoing conflict in the Ukraine on our business, industry, global economic conditions and government policy. 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 In addition, past financial 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results of operations and financial condition. Except as required by law, we undertake no obligation to update publicly or revise our forward-looking statements to reflect events or circumstances that arise after the filing of this Annual Report or documents incorporated by reference herein that include forward-looking statements.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the context requires otherwise, references in this Annual Report to “MEI Pharma,” “we,” “us” and “our” refer to MEI Pharma, Inc.</w:t>
      </w:r>
    </w:p>
    <w:p>
      <w:pPr>
        <w:spacing w:after="0" w:line="103"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MEI Pharma, Inc. and our corporate logo are registered service marks of MEI Pharma. Any other brand names or trademarks appearing in this Annual Report are the property of their respective holders.</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MEI Pharma, Inc. is a late-stage pharmaceutical company committed to the development and commercialization of novel cancer therapies intended to improve outcomes for patients. Our portfolio of drug candidates includes three clinical-stage assets, including zandelisib (f/k/a ME-401), currently in multiple ongoing clinical studies intended to support marketing applications with the U.S. Food and Drug Administration (“FDA”) and other regulatory authorities globally. Our approach to building our pipeline is to license or acquire promising cancer agents and build value in programs through development, commercialization and strategic partnerships, as appropriate. Our common stock is listed on the Nasdaq Capital Market under the symbol “MEIP.”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229"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We build our pipeline by licensing or acquiring promising cancer agents and creating value in programs through development, commercialization and strategic partnerships, as appropriate. Our objective is to leverage the mechanisms and properties of our pipeline drug candidates to optimize the balance between efficacy and tolerability to meet the needs of patients with cancer. Our drug candidate pipeline includes:</w:t>
      </w:r>
    </w:p>
    <w:p>
      <w:pPr>
        <w:spacing w:after="0" w:line="81"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Zandelisib, an oral phosphatidylinositol 3-kinase delta (“PI3Kδ”) inhibitor;</w:t>
      </w:r>
    </w:p>
    <w:p>
      <w:pPr>
        <w:spacing w:after="0" w:line="15" w:lineRule="exact"/>
        <w:rPr>
          <w:rFonts w:ascii="Times New Roman" w:cs="Times New Roman" w:eastAsia="Times New Roman" w:hAnsi="Times New Roman"/>
          <w:sz w:val="18"/>
          <w:szCs w:val="18"/>
          <w:color w:val="auto"/>
        </w:rPr>
      </w:pPr>
    </w:p>
    <w:p>
      <w:pPr>
        <w:ind w:left="1020" w:hanging="504"/>
        <w:spacing w:after="0" w:line="23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Voruciclib, an oral cyclin-dependent kinase 9 (“CDK9”) inhibitor; and</w:t>
      </w: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ME-344, a mitochondrial inhibitor targeting the oxidative phosphorylation (“OXPHOS”) complex.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132715</wp:posOffset>
            </wp:positionV>
            <wp:extent cx="5993765" cy="2894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93765" cy="2894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40" w:right="280" w:hanging="505"/>
        <w:spacing w:after="0" w:line="267" w:lineRule="auto"/>
        <w:tabs>
          <w:tab w:leader="none" w:pos="20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Study evaluating patients with Indolent B-cell non-Hodgkin's lymphoma (iB-NHL) without small lymphocytic lymphoma (SLL), lymphoplasmacytic lymphoma (LPL), and Waldenström's macroglobulinemia (WM) conducted by Kyowa Kirin.</w:t>
      </w:r>
    </w:p>
    <w:p>
      <w:pPr>
        <w:spacing w:after="0" w:line="1" w:lineRule="exact"/>
        <w:rPr>
          <w:rFonts w:ascii="Times New Roman" w:cs="Times New Roman" w:eastAsia="Times New Roman" w:hAnsi="Times New Roman"/>
          <w:sz w:val="17"/>
          <w:szCs w:val="17"/>
          <w:color w:val="auto"/>
        </w:rPr>
      </w:pPr>
    </w:p>
    <w:p>
      <w:pPr>
        <w:ind w:left="2040" w:hanging="505"/>
        <w:spacing w:after="0" w:line="236" w:lineRule="auto"/>
        <w:tabs>
          <w:tab w:leader="none" w:pos="2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arm initiated under clinical collaboration with BeiGene, Ltd.</w:t>
      </w:r>
    </w:p>
    <w:p>
      <w:pPr>
        <w:ind w:left="2040" w:hanging="505"/>
        <w:spacing w:after="0"/>
        <w:tabs>
          <w:tab w:leader="none" w:pos="2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Investigator-initiated trial.</w:t>
      </w:r>
    </w:p>
    <w:p>
      <w:pPr>
        <w:spacing w:after="0" w:line="189"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i w:val="1"/>
          <w:iCs w:val="1"/>
          <w:u w:val="single" w:color="auto"/>
          <w:color w:val="auto"/>
        </w:rPr>
        <w:t>Zandelisib: PI3Kδ Inhibitor in Multiple Trials Intended to Support Marketing Approvals in Relapsed or Refractory Follicular and Marginal Zone Lymphomas</w:t>
      </w:r>
    </w:p>
    <w:p>
      <w:pPr>
        <w:spacing w:after="0" w:line="17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Zandelisib is an oral, once-daily, selective PI3Kδ inhibitor in clinical development for the treatment of B-cell malignancies. Registrational and combination clinical studies are focused on the time-limited, intermittent dosing ("ID"), of zandelisib in patients with</w:t>
      </w:r>
    </w:p>
    <w:p>
      <w:pPr>
        <w:spacing w:after="0" w:line="1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14"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relapsed or refractory (“r/r”) indolent non-Hodgkin lymphomas and chronic lymphocytic leukemia ("CLL"). “Time-limited” therapy is treatment which is to be administered for a fixed period of time and not based on an event like disease progression or tolerability to study drug.</w:t>
      </w:r>
    </w:p>
    <w:p>
      <w:pPr>
        <w:spacing w:after="0" w:line="16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March 2020, the FDA granted zandelisib Fast Track designation for the treatment of adult patients with r/r follicular lymphoma (“FL”) who have received at least two prior systemic therapies. In November 2021, the FDA granted orphan-drug designation to zandelisib for the treatment of follicular lymphoma. In April 2020, we entered into a global license, development and commercialization agreement to further develop and commercialize zandelisib with Kyowa Kirin Co., Ltd. (“KKC”). MEI Pharma and KKC will co-develop and co-promote zandelisib in the U.S., with MEI Pharma recording all revenue from U.S. sales. KKC has exclusive commercialization rights outside of the U.S.</w:t>
      </w:r>
    </w:p>
    <w:p>
      <w:pPr>
        <w:spacing w:after="0" w:line="176"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are conducting multiple ongoing studies evaluating zandelisib. Our studies include TIDAL, a global Phase 2 study evaluating zandelisib as a monotherapy in patients with r/r FL and marginal zone lymphoma (“MZL”) patients who have received at least two prior lines of treatment. Enrollment in the FL cohort of the study is complete. Data from the TIDAL study as reported at the American Society of Clinical Oncology Annual Meeting 2022 and the European Hematology Association 2022 Hybrid Congress in the cohort of patients with FL, demonstrated an overall response rate of 70.3% in the primary efficacy population of 91 patients as determined by Independent Review Committee assessment; the complete response rate was 35.2%. It was also reported that zandelisib was generally well tolerated in the TIDAL study; with 9.4 months (range: 0.8-24) median duration of follow-up in the total study population of 121 patients with FL, interim data demonstrated a discontinuation rate due to any drug related adverse event of 9.9%. Patients enrolled in the study continue to be followed for safety as well as duration of response.</w:t>
      </w:r>
    </w:p>
    <w:p>
      <w:pPr>
        <w:spacing w:after="0" w:line="18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On March 24, 2022, we reported on the outcome of a meeting with the FDA. Specifically, the FDA stated that a randomized trial is needed to adequately assess drug efficacy and safety of PI3K inhibitor drug candidates, including zandelisib. Based on this view, the agency discouraged a planned filing based on the single arm Phase 2 TIDAL study data and emphasized that the Company continue efforts with the ongoing, randomized Phase 3 COASTAL study as planned. On April 21, 2022, the FDA’s Oncology Drugs Advisory Committee concluded that, to better assess potential safety concerns, companies developing PI3Kδ inhibitors for hematologic malignancies should conduct randomized trials, not single arm studies, to support approval. Subsequently, the FDA communicated a broader initiative called Project FrontRunner, replacing its long-standing approach to accelerated approvals generally. In brief, under Project FrontRunner, the FDA communicated its intent to consider support for accelerated approval of cancer drugs based on data from randomized studies, rendering data generated by single arm studies, such as TIDAL, generally insufficient in the eyes of the FDA to adequately assess risk and benefit, and thus support an accelerated approval marketing authorization. Accordingly, in line with the FDA’s recommendation and Project FrontRunner, we no longer plan to submit an FDA marketing application based on the single arm Phase 2 TIDAL study.</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while the FDA stated that safety on the 60 mg intermittent schedule appears reasonable, it recommended continued dose exploration. We will continue to evaluate our existing data and any other additional efforts, as appropriate, to ensure we address questions concerning the selection of our current zandelisib dose and schedule.</w:t>
      </w:r>
    </w:p>
    <w:p>
      <w:pPr>
        <w:spacing w:after="0" w:line="16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COASTAL is an ongoing Phase 3, randomized, study evaluating the ID and time-limited therapy of zandelisib in combination with rituximab in patients with r/r FL and MZL who have received at least one prior line of treatment. COASTAL is intended to support marketing applications in the U.S. and globally in r/r FL and MZL patients receiving at least one prior line of treatment.</w:t>
      </w:r>
    </w:p>
    <w:p>
      <w:pPr>
        <w:spacing w:after="0" w:line="16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We are also conducting a multi-arm, open-label, Phase 1b dose finding and expansion trial evaluating zandelisib as a monotherapy and in</w:t>
      </w:r>
    </w:p>
    <w:p>
      <w:pPr>
        <w:spacing w:after="0" w:line="27"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8"/>
          <w:szCs w:val="18"/>
          <w:color w:val="auto"/>
        </w:rPr>
        <w:t>combination with other therapies in patients with relapsed or refractory B-cell malignancies. Other initiated studies include Phase 1 and Phase 2 studies ("MIRAGE") being conducted by KKC evaluating zandelisib as a monotherapy in patients in Japan with indolent B-cell malignancies pursuant to our agreement with KKC.</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Zandelisib: Potentially Highly Differentiated Pharmaceutical Properties within a Clinically Validated Class of Treatments</w:t>
      </w:r>
    </w:p>
    <w:p>
      <w:pPr>
        <w:spacing w:after="0" w:line="213"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While PI3Kδ inhibitors as a group are a clinically validated class for the treatment of B-cell malignancies, earlier entrants to the class have been challenged by toxicities, modest efficacy and/or inconvenience of administration route. We believe this provides an opportunity for the development of a next-generation candidate with pharmaceutical properties that may realize the therapeutic potential of PI3Kδ inhibition by limiting toxicities and improving upon modest efficacy, which together hinder clinical utility.</w:t>
      </w:r>
    </w:p>
    <w:p>
      <w:pPr>
        <w:spacing w:after="0" w:line="176" w:lineRule="exact"/>
        <w:rPr>
          <w:sz w:val="20"/>
          <w:szCs w:val="20"/>
          <w:color w:val="auto"/>
        </w:rPr>
      </w:pPr>
    </w:p>
    <w:p>
      <w:pPr>
        <w:ind w:right="260" w:firstLine="509"/>
        <w:spacing w:after="0" w:line="244" w:lineRule="auto"/>
        <w:rPr>
          <w:sz w:val="20"/>
          <w:szCs w:val="20"/>
          <w:color w:val="auto"/>
        </w:rPr>
      </w:pPr>
      <w:r>
        <w:rPr>
          <w:rFonts w:ascii="Times New Roman" w:cs="Times New Roman" w:eastAsia="Times New Roman" w:hAnsi="Times New Roman"/>
          <w:sz w:val="18"/>
          <w:szCs w:val="18"/>
          <w:color w:val="auto"/>
        </w:rPr>
        <w:t>The molecular structure and pharmacodynamic characteristics of zandelisib are distinct from the FDA approved PI3Kδ inhibitors. Clinical and preclinical data demonstrate that zandelisib’s distinct characteristics include prolonged target binding, preferential cellular accumulation, high volume of distribution throughout the body tissues, and an approximately 28-hour half-life suitable for once daily oral administration. The properties of zandelisib support the evaluation of an ID regimen. The ID regimen consists of daily dosing only in the first seven days of each 28-day dosing cycle. The unique zandelisib ID regimen is hypothesized to allow for the recovery of regulatory T cells, which in turn may lead to fewer and/or less severe immune-related adverse events. This may provide long-term disease control through maintenance therapy, without the need for dose reductions or premature discontinuations. Clinical evaluation of the ID regimen to date has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demonstrated the potential to maintain clinical benefit while minimizing immune-related toxicities common to other PI3Kδ agents, either as a monotherapy or in combination with other therapies.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KKC License, Development and Commercialization Agreement</w:t>
      </w:r>
    </w:p>
    <w:p>
      <w:pPr>
        <w:spacing w:after="0" w:line="22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7"/>
          <w:szCs w:val="17"/>
          <w:color w:val="auto"/>
        </w:rPr>
        <w:t>In April 2020, we entered into a License, Development and Commercialization Agreement with KKC (the “KKC Commercialization Agreement”). We granted to KKC a co-exclusive, sublicensable, payment-bearing license under certain patents and know-how controlled by us to develop and commercialize zandelisib and any pharmaceutical product containing zandelisib for all human indications in the U.S., and an exclusive (subject to certain retained rights to perform obligations under the agreement), sublicensable, payment-bearing, license under certain patents and know-how controlled by us to develop and commercialize zandelisib and any pharmaceutical product containing zandelisib for all human indications in countries outside of the U.S. (the “Ex-U.S.”). KKC grants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The KKC Commercialization Agreement substantially retains and consolidates the terms of the 2018 license agreement with KKC to develop and commercialize zandelisib in Japan.</w:t>
      </w:r>
    </w:p>
    <w:p>
      <w:pPr>
        <w:spacing w:after="0" w:line="172"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KKC will be responsible for the development and commercialization of zandelisib in the Ex-U.S. and, subject to certain exceptions, will be solely responsible for all costs related thereto. We will co-develop and co-promote zandelisib with KKC in the U.S., with the Company recording all revenue from U.S. sales. We will share U.S. profits and costs (including development costs) on a 50-50 basis with KKC. We will also provide to KKC certain drug supplies necessary for the development and commercialization of zandelisib in the Ex-U.S. pursuant to supply agreements to be entered into on customary terms, with the understanding that KKC will assume responsibility for manufacturing for the Ex-U.S. as soon as practicable.</w:t>
      </w:r>
    </w:p>
    <w:p>
      <w:pPr>
        <w:spacing w:after="0" w:line="17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Under the terms of the KKC Commercialization Agreement, KKC paid us an initial payment of $100 million. We may also earn up to approximately $582.5 million in potential development, regulatory and commercialization milestone payments, plus royalties on net sales of zandelisib in the Ex-U.S., which are tiered beginning in the teens. During the fiscal year ended June 30, 2022, two $10 million milestones were received in connection with the initiation of the Phase 3 COASTAL study.</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Zandelisib Scientific Overview: at the Crossroads of B-cell Signaling Pathways</w:t>
      </w:r>
    </w:p>
    <w:p>
      <w:pPr>
        <w:spacing w:after="0" w:line="227"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The PI3K/AKT/mTOR pathway is an important signaling pathway for many cellular functions such as cell survival, cell cycle progression and cellular growth. PI3Ks are a family of enzymes within this pathway that have been shown to play a critical role in the proliferation and survival of certain cancer cells.</w:t>
      </w:r>
    </w:p>
    <w:p>
      <w:pPr>
        <w:spacing w:after="0" w:line="176"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There are several isoforms of PI3K that are expressed in different types of cells. The PI3Kδ isoform is at the crossroads of B-cell receptor signaling pathways that are major drivers of survival and proliferation of many B-cell malignancies. Because the δ isoform is often overexpressed in cancer cells of the B-lymphocyte lineage, such as B-cell leukemias and lymphomas, it is understood to be important for survival of these cells. Zandelisib displays high selectivity for the PI3K delta isoform and functions to inhibit its activity.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Clinical Program Overview</w:t>
      </w:r>
    </w:p>
    <w:p>
      <w:pPr>
        <w:spacing w:after="0" w:line="213"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We are conducting multiple ongoing studies evaluating zandelisib including TIDAL, a global, single arm, Phase 2 trial evaluating patients with r/r FL and MZL with at least two prior of lines of therapy, and COASTAL, a global, randomized, Phase 3 study evaluating patients with r/r FL and MZL with at least one prior line of therapy. COASTAL is intended to support full marketing authorization with the FDA as well as regulatory authorities globally. Clinical evaluation is focused on ID of zandelisib as part of time-limited therapy.</w:t>
      </w:r>
    </w:p>
    <w:p>
      <w:pPr>
        <w:spacing w:after="0" w:line="176"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Additionally, we are conducting a multi-arm, open-label, Phase 1b dose escalation and expansion trial as a monotherapy and in combination with rituximab or zanubrutinib in patients with FL and other B-cell malignancies. Zanubrutinib (marketed as BRUKINSA®), is an inhibitor of Bruton’s tyrosine kinase developed by BeiGene, Ltd. (“BeiGene”). This study arm completed the safety evaluation stage in patients with B-cell malignancies and expanded into disease specific FL and mantle cell lymphoma ("MCL") cohorts. The evaluation of zandelisib in combination with zanubrutinib is conducted under a collaboration established with BeiGene in October 2018, pursuant to which the cost of the combination trial is being equally shared, and each company is supplying its own investigational agent. We retain all commercial rights to zandelisib (subject to the KKC Commercialization Agreement), and BeiGene retains all commercial rights to zanubrutinib.</w:t>
      </w:r>
    </w:p>
    <w:p>
      <w:pPr>
        <w:spacing w:after="0" w:line="186"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Ongoing clinical trials also include Phase 1 and Phase 2 studies conducted by KKC evaluating zandelisib as a monotherapy in patients in Japan with indolent B-cell malignancies. The Phase 2 study is intended to support marketing authorization in Japan.</w:t>
      </w:r>
    </w:p>
    <w:p>
      <w:pPr>
        <w:spacing w:after="0" w:line="14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to other planned and ongoing clinical studies sponsored by us, such as the Phase 2 CORAL study evaluating zandelisib in combination with venetoclax plus rituximab in patients with CLL, in which we plan to dose the first patient by the end of calendar year 2022,</w:t>
      </w:r>
    </w:p>
    <w:p>
      <w:pPr>
        <w:sectPr>
          <w:pgSz w:w="11900" w:h="16838" w:orient="portrait"/>
          <w:cols w:equalWidth="0" w:num="1">
            <w:col w:w="11220"/>
          </w:cols>
          <w:pgMar w:left="320" w:top="414" w:right="359"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also are supporting select investigator-initiated studies, including one being conducted at the Cleveland Clinic evaluating zandelisib combined with standard of care in patients with newly diagnosed diffuse large B-cell lymphoma (“DLBCL”).</w:t>
      </w:r>
    </w:p>
    <w:p>
      <w:pPr>
        <w:spacing w:after="0" w:line="161"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All ongoing studies, as well as planned studies, utilize zandelisib's unique ID regimen intended to optimize zandelisib's therapeutic profile and also support its potential as a backbone for combination approaches with other modalities in the treatment of B-cell malignancies.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Phase 1b Multi-Arm Trial</w:t>
      </w:r>
    </w:p>
    <w:p>
      <w:pPr>
        <w:spacing w:after="0" w:line="213"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In July 2022, results from the Phase 1b study evaluating zandelisib with continuous or ID as monotherapy or in combination with rituximab in patients with relapsed or refractory B-cell malignancy were published in The Lancet Oncology. The manuscript reports on a total of 97 patients, including 31 patients in the dose escalation stage that established 60 mg once daily as the recommended Phase 2 dose. The study evaluated zandelisib in 56 patients as a monotherapy and 41 patients in combination with rituximab. Zandelisib was administered either on a continuous schedule of 60 mg once daily (38 patients) or an ID schedule of 60 mg once daily for the initial two 28-day cycles followed by the ID schedule of 60 mg once daily on days 1-7 starting in cycle 3 (59 patients).</w:t>
      </w:r>
    </w:p>
    <w:p>
      <w:pPr>
        <w:spacing w:after="0" w:line="17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 xml:space="preserve">In the initial monotherapy dose-finding part of the study, no dose-limiting toxicities were observed across the evaluated doses of 60 mg, 120 mg and 180 mg given daily continuously, and anti-tumor activity was similar across doses. With a median duration of treatment of 10.4 months and 15.2 months, in the continuous and ID group respectively, Grade 3 or worse adverse events of special interest occurred less frequently in the ID group than in the continuous dosing group. For example, Grade 3 diarrhea or colitis in 8% </w:t>
      </w:r>
      <w:r>
        <w:rPr>
          <w:rFonts w:ascii="Times New Roman" w:cs="Times New Roman" w:eastAsia="Times New Roman" w:hAnsi="Times New Roman"/>
          <w:sz w:val="18"/>
          <w:szCs w:val="18"/>
          <w:i w:val="1"/>
          <w:iCs w:val="1"/>
          <w:color w:val="auto"/>
        </w:rPr>
        <w:t>vs</w:t>
      </w:r>
      <w:r>
        <w:rPr>
          <w:rFonts w:ascii="Times New Roman" w:cs="Times New Roman" w:eastAsia="Times New Roman" w:hAnsi="Times New Roman"/>
          <w:sz w:val="18"/>
          <w:szCs w:val="18"/>
          <w:color w:val="auto"/>
        </w:rPr>
        <w:t xml:space="preserve"> 24%, and Grade 3 lung infection or pneumonia occurred in 2% </w:t>
      </w:r>
      <w:r>
        <w:rPr>
          <w:rFonts w:ascii="Times New Roman" w:cs="Times New Roman" w:eastAsia="Times New Roman" w:hAnsi="Times New Roman"/>
          <w:sz w:val="18"/>
          <w:szCs w:val="18"/>
          <w:i w:val="1"/>
          <w:iCs w:val="1"/>
          <w:color w:val="auto"/>
        </w:rPr>
        <w:t>vs</w:t>
      </w:r>
      <w:r>
        <w:rPr>
          <w:rFonts w:ascii="Times New Roman" w:cs="Times New Roman" w:eastAsia="Times New Roman" w:hAnsi="Times New Roman"/>
          <w:sz w:val="18"/>
          <w:szCs w:val="18"/>
          <w:color w:val="auto"/>
        </w:rPr>
        <w:t xml:space="preserve"> 16%, of patients in the ID group </w:t>
      </w:r>
      <w:r>
        <w:rPr>
          <w:rFonts w:ascii="Times New Roman" w:cs="Times New Roman" w:eastAsia="Times New Roman" w:hAnsi="Times New Roman"/>
          <w:sz w:val="18"/>
          <w:szCs w:val="18"/>
          <w:i w:val="1"/>
          <w:iCs w:val="1"/>
          <w:color w:val="auto"/>
        </w:rPr>
        <w:t>vs</w:t>
      </w:r>
      <w:r>
        <w:rPr>
          <w:rFonts w:ascii="Times New Roman" w:cs="Times New Roman" w:eastAsia="Times New Roman" w:hAnsi="Times New Roman"/>
          <w:sz w:val="18"/>
          <w:szCs w:val="18"/>
          <w:color w:val="auto"/>
        </w:rPr>
        <w:t xml:space="preserve"> the continuous dosing group, respectively. Grade 3 or worse aspartate aminotransferase ("AST") or alanine aminotransferase ("ALT") elevation and rash were uncommon (5% each in each dosing schedule). There was a continued increased risk of Grade 3 diarrhea or colitis in the continuous dosing group, compared with a decreased risk over time in the ID group after switching to the ID. At a median follow-up of 24.9 months in the continuous dosing group and 15.7 months (95% CI 6·5-33·9) in the ID group the cumulative incidence of Grade 3 or worse adverse events of special interest was 45% in the continuous dosing group and 20% in the ID group. ID showed comparable efficacy to continuous dosing. Patients with indolent B-cell malignancies (follicular lymphoma, chronic lymphocytic leukemia or small lymphocytic lymphoma, and marginal zone lymphoma) demonstrated an objective overall response rate of 87%.</w:t>
      </w:r>
    </w:p>
    <w:p>
      <w:pPr>
        <w:spacing w:after="0" w:line="199"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In June 2022, updated data from the Phase 1b clinical trial was also featured in a poster presentation at the European Hematology Association 2022. The poster included the report of data of 32 patients with FL administered zandelisib 60 mg on ID regimen from cycle 1 plus zanubrutinib 80 mg twice daily. The overall response rate in patients treated with zandelisib plus zanubrutinib was 82.1% (23/28). The median duration of response was not yet mature in this group of patients, with median drug exposure of 7.1 months. The safety and tolerability of zandelisib plus zanubrutinib was generally well tolerated. One patient in this group had reversible Grade 4 drug rash with eosinophilia and systemic symptoms (DRESS) syndrome. The Phase 1b study also enrolled patients with r/r MCL in an expansion cohort evaluating the combination of zandelisib 60 mg administered on days 1-7 starting Cycle 1 and zanubrutinib administered at 80 mg twice daily.</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TIDAL: </w:t>
      </w:r>
      <w:r>
        <w:rPr>
          <w:rFonts w:ascii="Times New Roman" w:cs="Times New Roman" w:eastAsia="Times New Roman" w:hAnsi="Times New Roman"/>
          <w:sz w:val="18"/>
          <w:szCs w:val="18"/>
          <w:i w:val="1"/>
          <w:iCs w:val="1"/>
          <w:color w:val="auto"/>
        </w:rPr>
        <w:t>A Phase 2 Trial Evaluating Zandelisib as a Single-Agent in Follicular and Marginal Zone Lymphoma Patients</w:t>
      </w:r>
    </w:p>
    <w:p>
      <w:pPr>
        <w:spacing w:after="0" w:line="213"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TIDAL is an ongoing global Phase 2 trial evaluating the intermittent administration of zandelisib as a monotherapy across two study cohorts: the first study cohort for the treatment of adults with r/r FL and the second study cohort for r/r MZL, in both cases after failure of at least two prior systemic therapies including chemotherapy and an anti-CD20 antibody. The study is evaluating zandelisib administered once daily at 60 mg for two 28-day cycles and then on the ID regimen of once daily dosing for the first seven days of each subsequent 28-day cycle. The primary efficacy endpoint is the rate of objective responses to therapy and other endpoints include duration of response and tolerability of zandelisib. The primary efficacy population ("PEP") sample size for r/r FL is 91 patients. Total study enrollment in the FL cohort is 121 patients administered zandelisib on the ID regimen after 2 cycles (56 days) of daily dosing, and also 16 FL patients administered zandelisib once daily continuously, to provide additional safety data. Enrollment of the FL cohort of the TIDAL study is complete. To support and focus enrollment on the Phase 3 COASTAL study, we have closed enrollment of the MZL cohort in the TIDAL study and will follow enrolled MZL patients to assess safety and tolerability as well as response and durability of response.</w:t>
      </w:r>
    </w:p>
    <w:p>
      <w:pPr>
        <w:spacing w:after="0" w:line="198"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In November 2021, we first reported data from the TIDAL study, which data was also reported at the American Society of Clinical Oncology Annual Meeting 2022 and the European Hematology Association 2022 Hybrid Congress.</w:t>
      </w:r>
    </w:p>
    <w:p>
      <w:pPr>
        <w:spacing w:after="0" w:line="16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primary endpoint of overall response rates ("ORR") of zandelisib as a single agent in the PEP was 70.3% (64 patients) as assessed by Independent Review Committee; the complete response rate was 35.2% (32 patients). Responses across sub-groups (i.e. response to last treatment, number of prior therapies and POD24) were all greater than 63%. Responses were first observed in the first two cycles of therapy in 87.5% of all responses (56 patients) and 75% of all CRs (24 patients) were observed in the first four cycles. As of the data cutoff date, the data are not sufficiently mature to accurately estimate the final duration of response in the PEP.</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40" w:firstLine="554"/>
        <w:spacing w:after="0" w:line="243" w:lineRule="auto"/>
        <w:rPr>
          <w:sz w:val="20"/>
          <w:szCs w:val="20"/>
          <w:color w:val="auto"/>
        </w:rPr>
      </w:pPr>
      <w:r>
        <w:rPr>
          <w:rFonts w:ascii="Times New Roman" w:cs="Times New Roman" w:eastAsia="Times New Roman" w:hAnsi="Times New Roman"/>
          <w:sz w:val="18"/>
          <w:szCs w:val="18"/>
          <w:color w:val="auto"/>
        </w:rPr>
        <w:t>With a median follow-up of 9.4 months (range 0.8 to 24 months) in the safety population of 121 patients, 9.9% (12 patients) of patients had discontinued therapy due to any drug-related adverse event. Grade 3 adverse events of special interest ("AESI") were diarrhea in 5% (6 patients), colitis in 1.7% (2 patients), cutaneous rash in 3.3% (4 patients), stomatitis in 2.5% (3 patients), and 0.8% (1 patient) each for AST and ALT elevation, and non-infectious pneumonitis. Grade 3 AESIs primarily (83%, 15 of 18) occurred in cycles 1-3, with only 3 cases reported on ID in Cycles 4 or more. No Grade 4 or Grade 5 AESI were recorded. Treatment-emergent COVID-19 infections were reported in 8.3% of patients (10), and 8.3% of patients (10) reported other Grade 3 infections. Four COVID infections were fatal, as were one case each of pneumonia and Tumor Lysis Syndrome.</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plan to report complete data from the FL cohort in the Phase 2 TIDAL study by the end of calendar year 2022.</w:t>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COASTAL: A Phase 3 Trial Intended to Support Full FDA and Global Marketing Authorizations</w:t>
      </w:r>
    </w:p>
    <w:p>
      <w:pPr>
        <w:spacing w:after="0" w:line="21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COASTAL is a global, randomized, two-arm Phase 3 trial comparing the intermittent and time-limited administration of zandelisib plus rituximab to standard of care chemotherapy plus rituximab, in patients with r/r FL or MZL who received at least one prior line of therapy, which must have included an anti-CD20 antibody in combination with chemotherapy or lenalidomide. COASTAL is expected to enroll 534 patients. Zandelisib will be administered once daily for two 28-day cycles followed by an intermittent schedule of once daily dosing for seven days of each subsequent 28-day cycle for a total of 24 months, in combination with rituximab ("R") in the first six months only. The control arm will consist of six cycles of the standard chemoimmunotherapy regimens R-CHOP or R-bendamustine. The primary efficacy endpoint is progression-free survival; secondary endpoints include overall response rate, overall survival, patient reported outcomes assessments, and safety and tolerability.</w:t>
      </w:r>
    </w:p>
    <w:p>
      <w:pPr>
        <w:spacing w:after="0" w:line="186"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COASTAL is intended to support marketing applications in the U.S. and globally in r/r FL and MZL patients who have received at least one prior line of treatment.</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Impact of Current Events on the TIDAL and COASTAL Studies</w:t>
      </w:r>
    </w:p>
    <w:p>
      <w:pPr>
        <w:spacing w:after="0" w:line="213"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extent to which the ongoing COVID-19 pandemic will further impact the progress of the zandelisib development program, including the enrollment and completion of the COASTAL and TIDAL studies, is subject to future developments, which are highly uncertain and cannot be predicted with confidence. Currently, we believe that the integrity of the program and individual studies remains intact; however, the pandemic did have a negative impact on the rate of enrollment in the TIDAL study. Enrollment in the FL cohort of the TIDAL study was completed in August 2021, and data was reported in November 2021; enrollment in the MZL cohort was discontinued in August 2022. The COASTAL study was initiated in 2021, with the first patient enrolled in July 2021. There is a potential that the ongoing COVID-19 pandemic and the ongoing military conflict between Russia and Ukraine could have a continuing negative impact on the execution of the COASTAL study. We will continue to closely monitor for potential negative impacts on the development program related to current events. We will also continue efforts to be proactive in managing the impact from the pandemic and the ongoing military conflict between Russia and Ukraine, including various actions to communicate with sites and investigators, and making accommodations to patients consistent with FDA guidance and guidance from other regulatory authorities, as we may deem appropriate.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Voruciclib: Potent Orally Administered CDK9 Inhibitor in Phase 1 Studies CDK Inhibitor with CDK9 Inhibition in Phase 1 Studies</w:t>
      </w:r>
    </w:p>
    <w:p>
      <w:pPr>
        <w:spacing w:after="0" w:line="227"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Voruciclib is a potent orally administered CDK9 inhibitor. Voruciclib is being evaluated in a Phase 1 trial evaluating dose and schedule in patients with acute myeloid leukemia (“AML”) and B-cell malignancies. Voruciclib is also being evaluated in pre-clinical studies to explore the potential synergistic activity in various solid tumor cancers of voruciclib in combination with drug-candidates that targets in the RAS signaling pathway, including KRAS.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Voruciclib Scientific Overview: Cell Cycle Signaling</w:t>
      </w:r>
    </w:p>
    <w:p>
      <w:pPr>
        <w:spacing w:after="0" w:line="2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CDK9 has important functions in cell cycle regulation, including the modulation of two therapeutic targets in cancer:</w:t>
      </w:r>
    </w:p>
    <w:p>
      <w:pPr>
        <w:spacing w:after="0" w:line="103" w:lineRule="exact"/>
        <w:rPr>
          <w:sz w:val="20"/>
          <w:szCs w:val="20"/>
          <w:color w:val="auto"/>
        </w:rPr>
      </w:pPr>
    </w:p>
    <w:p>
      <w:pPr>
        <w:jc w:val="both"/>
        <w:ind w:left="1020" w:right="120" w:hanging="504"/>
        <w:spacing w:after="0" w:line="26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CDK9 is a transcriptional regulator of the myeloid leukemia cell differentiation protein ("MCL1"), a member of the family of anti-apoptotic proteins which, when elevated, may prevent the cell from undergoing cell death. Inhibition of CDK9 blocks the production of MCL1, which is an established resistance mechanism to the B-cell lymphoma ("BCL2") inhibitor venetoclax (marketed as Venclexta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020" w:right="340" w:hanging="504"/>
        <w:spacing w:after="0" w:line="24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CDK9 is a transcriptional regulator of the MYC proto-oncogene protein ("MYC") which regulates cell proliferation and growth. Upregulation of MYC is implicated in many human cancers and is frequently associated with poor prognosis and unfavorable patient survival. CDK9, in addition to being a transcription factor for MYC, also decreases phosphorylation of MYC protein that is implicated in stabilizing MYC in KRAS mutant cancers. Targeting MYC directly has historically been difficult, but CDK9 is a promising approach to target this oncogene.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Voruciclib: Inhibition of MCL1</w:t>
      </w:r>
    </w:p>
    <w:p>
      <w:pPr>
        <w:spacing w:after="0" w:line="21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pre-clinical studies, voruciclib shows dose-dependent suppression of MCL1; in December 2017, a study of voruciclib published in the journal </w:t>
      </w:r>
      <w:r>
        <w:rPr>
          <w:rFonts w:ascii="Times New Roman" w:cs="Times New Roman" w:eastAsia="Times New Roman" w:hAnsi="Times New Roman"/>
          <w:sz w:val="18"/>
          <w:szCs w:val="18"/>
          <w:i w:val="1"/>
          <w:iCs w:val="1"/>
          <w:color w:val="auto"/>
        </w:rPr>
        <w:t xml:space="preserve">Nature Scientific Reports </w:t>
      </w:r>
      <w:r>
        <w:rPr>
          <w:rFonts w:ascii="Times New Roman" w:cs="Times New Roman" w:eastAsia="Times New Roman" w:hAnsi="Times New Roman"/>
          <w:sz w:val="18"/>
          <w:szCs w:val="18"/>
          <w:color w:val="auto"/>
        </w:rPr>
        <w:t>reported that the combination of voruciclib plus the BCL-2 inhibitor venetoclax was capable of inhibiting two master regulators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cell survival, MCL-1 and BCL-2, and achieved synergistic antitumor effect in an aggressive subset of DLBCL pre-clinical models.</w:t>
      </w:r>
    </w:p>
    <w:p>
      <w:pPr>
        <w:spacing w:after="0" w:line="168"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In a peer reviewed manuscript published in 2020 by Luedtke et al, it was reported that the inhibition of CDK9 by voruciclib synergistically enhances cell death induced by the Bcl-2 selective inhibitor venetoclax in preclinical models of AML. The data demonstrated that voruciclib synergizes with venetoclax to induce programmed cell death, or apoptosis, in both AML cell lines and primary patient samples. It was also demonstrated that voruciclib downregulates MCL1, which is relevant for the synergy between voruciclib and venetoclax, and further that voruciclib also downregulates MYC, which also contributes to the synergies with venetoclax.</w:t>
      </w:r>
    </w:p>
    <w:p>
      <w:pPr>
        <w:spacing w:after="0" w:line="180"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The research presented suggests that voruciclib is an attractive therapeutic target for treating cancers in combination with venetoclax or other BCL-2 inhibitors, and is supportive of our ongoing clinical evaluation of voruciclib in B-cell malignancies and AML.</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Voruciclib: Inhibition of MYC</w:t>
      </w:r>
    </w:p>
    <w:p>
      <w:pPr>
        <w:spacing w:after="0" w:line="213" w:lineRule="exact"/>
        <w:rPr>
          <w:sz w:val="20"/>
          <w:szCs w:val="20"/>
          <w:color w:val="auto"/>
        </w:rPr>
      </w:pPr>
    </w:p>
    <w:p>
      <w:pPr>
        <w:jc w:val="both"/>
        <w:ind w:right="680" w:firstLine="509"/>
        <w:spacing w:after="0" w:line="258" w:lineRule="auto"/>
        <w:rPr>
          <w:sz w:val="20"/>
          <w:szCs w:val="20"/>
          <w:color w:val="auto"/>
        </w:rPr>
      </w:pPr>
      <w:r>
        <w:rPr>
          <w:rFonts w:ascii="Times New Roman" w:cs="Times New Roman" w:eastAsia="Times New Roman" w:hAnsi="Times New Roman"/>
          <w:sz w:val="18"/>
          <w:szCs w:val="18"/>
          <w:color w:val="auto"/>
        </w:rPr>
        <w:t>Many cancers are associated with overexpression of MYC, a transcription factor regulating cell proliferation and growth. CDK9 is a known regulator of MYC transcription and a modulator of MYC protein phosphorylation. Data reported at the American Association for Cancer Research ("AACR") Annual Meeting 2021 in preclinical models demonstrates that voruciclib:</w:t>
      </w:r>
    </w:p>
    <w:p>
      <w:pPr>
        <w:spacing w:after="0" w:line="61" w:lineRule="exact"/>
        <w:rPr>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rapid decrease in the phosphorylation of proteins that promote MYC transcription;</w:t>
      </w:r>
    </w:p>
    <w:p>
      <w:pPr>
        <w:spacing w:after="0" w:line="27"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decreases phosphorylation of MYC protein on Ser62, a site implicated in stabilizing MYC in KRAS mutant cancers;</w:t>
      </w:r>
    </w:p>
    <w:p>
      <w:pPr>
        <w:ind w:left="1020" w:hanging="504"/>
        <w:spacing w:after="0" w:line="23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Possesses single agent activity against multiple KRAS mutant cancer cell lines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w:t>
      </w: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Synergistically inhibits KRAS G12C mutant cancer cell lines in combination with KRAS G12C inhibitors,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p>
    <w:p>
      <w:pPr>
        <w:spacing w:after="0" w:line="20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research presented suggests that voruciclib could be an attractive therapeutic agent for cancers, including solid tumors, dependent on the activity of MYC.</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Clinical Program</w:t>
      </w:r>
    </w:p>
    <w:p>
      <w:pPr>
        <w:spacing w:after="0" w:line="227"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We are evaluating patients with hematological malignancies in a Phase 1 clinical trial evaluating the dose and schedule of voruciclib. The trial started with the evaluation of dose and schedule of voruciclib as a monotherapy in patients with relapsed and refractory B-cell malignancies and AML after failure of prior standard therapies to determine the safety, preliminary efficacy and maximum tolerated dose. We are now also starting to evaluate the dose and schedule of voruciclib in combination with venetoclax, a BCL2 inhibitor, to assess synergies and the opportunity for combination treatments, initially in patients with AML and subsequently across multiple indications.</w:t>
      </w:r>
    </w:p>
    <w:p>
      <w:pPr>
        <w:spacing w:after="0" w:line="180"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As reported at the American Society of Hematology 2021 annual meeting in a poster presentation, data to date from the Phase 1 study evaluating voruciclib as a monotherapy on an optimized schedule of 14 consecutive days in a 28-day cycle was well tolerated. No dose limiting toxicities were observed and no significant myelosuppression was seen in patients with B-cell malignancies, suggesting a lower likelihood of additive toxicities in combination with venetoclax. Disease stabilization was observed in heavily pretreated patients and differentiation syndrome was observed in AML patients, which is indicative of biologic activity. We are initiating a Phase 1 study to evaluate voruciclib in combination with venetoclax in patients with AML by the end of calendar year 2022.</w:t>
      </w:r>
    </w:p>
    <w:p>
      <w:pPr>
        <w:spacing w:after="0" w:line="17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 In one clinical study, voruciclib was evaluated in combination with vemurafenib (marketed as Zelboraf®) in nine patients with BRAF mutated advanced/inoperable malignant melanoma. Three of three BRAF/MEK naive patients achieved a response: two partial responses and one complete response. In this study voruciclib was dosed at 150 mg daily plus vemurafenib 720 mg or 960 mg twice daily in 28-day cycles. The most common adverse events were fatigue, constipation, diarrhea, arthralgia and headache. One instance of grade 3 fatigue was dose limiting and no serious adverse events related to voruciclib were reported. Other clinical studies evaluated voruciclib at doses up to 850 mg in patients with solid tumors, demonstrating additional evidence of potential biologic activity and an adverse event profile generally consistent with other drugs in its class.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Impact of COVID-19 on the Voruciclib Clinical Development Program</w:t>
      </w:r>
    </w:p>
    <w:p>
      <w:pPr>
        <w:spacing w:after="0" w:line="213" w:lineRule="exact"/>
        <w:rPr>
          <w:sz w:val="20"/>
          <w:szCs w:val="20"/>
          <w:color w:val="auto"/>
        </w:rPr>
      </w:pPr>
    </w:p>
    <w:p>
      <w:pPr>
        <w:ind w:right="300" w:firstLine="509"/>
        <w:spacing w:after="0" w:line="246" w:lineRule="auto"/>
        <w:rPr>
          <w:sz w:val="20"/>
          <w:szCs w:val="20"/>
          <w:color w:val="auto"/>
        </w:rPr>
      </w:pPr>
      <w:r>
        <w:rPr>
          <w:rFonts w:ascii="Times New Roman" w:cs="Times New Roman" w:eastAsia="Times New Roman" w:hAnsi="Times New Roman"/>
          <w:sz w:val="18"/>
          <w:szCs w:val="18"/>
          <w:color w:val="auto"/>
        </w:rPr>
        <w:t>While the extent to which the ongoing COVID-19 pandemic will further impact the progress of the voruciclib clinical development program, including the ongoing Phase 1 study, is subject to future developments, which are highly uncertain and cannot be predicted with confidence, the study remains ongoing and is continuing to enroll patients; however, the rate of enrollment of patients has been negatively impacted by the pandemic. We will continue efforts to be proactive in managing the impact from the pandemic, including various actions to communicate with sites and investigators, and making accommodations to patients consistent with FDA guidance as we may deem appropriate.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ME-344: Clinical Stage Mitochondrial Inhibitor with Combinatorial Potential</w:t>
      </w:r>
    </w:p>
    <w:p>
      <w:pPr>
        <w:spacing w:after="0" w:line="213" w:lineRule="exact"/>
        <w:rPr>
          <w:sz w:val="20"/>
          <w:szCs w:val="20"/>
          <w:color w:val="auto"/>
        </w:rPr>
      </w:pPr>
    </w:p>
    <w:p>
      <w:pPr>
        <w:ind w:right="160" w:firstLine="509"/>
        <w:spacing w:after="0" w:line="232" w:lineRule="auto"/>
        <w:rPr>
          <w:sz w:val="20"/>
          <w:szCs w:val="20"/>
          <w:color w:val="auto"/>
        </w:rPr>
      </w:pPr>
      <w:r>
        <w:rPr>
          <w:rFonts w:ascii="Times New Roman" w:cs="Times New Roman" w:eastAsia="Times New Roman" w:hAnsi="Times New Roman"/>
          <w:sz w:val="18"/>
          <w:szCs w:val="18"/>
          <w:color w:val="auto"/>
        </w:rPr>
        <w:t xml:space="preserve">ME-344 is our novel and tumor selective, isoflavone-derived mitochondrial inhibitor drug candidate. It directly targets the OXPHOS complex 1, a pathway involved in adenosine triphosphate ("ATP") production in the mitochondria. ME-344 was studied in an investigator-initiated, multi-center, randomized clinical trial in combination with the vascular endothelial growth factor (“VEGF”) inhibitor bevacizumab (marketed as Avastin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 a total of 42 patients with human epidermal growth factor receptor 2 (“HER2”) negative breast cancer.</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ME-344 Scientific Overview: Cancer Metabolism</w:t>
      </w:r>
    </w:p>
    <w:p>
      <w:pPr>
        <w:spacing w:after="0" w:line="213" w:lineRule="exact"/>
        <w:rPr>
          <w:sz w:val="20"/>
          <w:szCs w:val="20"/>
          <w:color w:val="auto"/>
        </w:rPr>
      </w:pPr>
    </w:p>
    <w:p>
      <w:pPr>
        <w:jc w:val="both"/>
        <w:ind w:right="460" w:firstLine="509"/>
        <w:spacing w:after="0" w:line="258" w:lineRule="auto"/>
        <w:rPr>
          <w:sz w:val="20"/>
          <w:szCs w:val="20"/>
          <w:color w:val="auto"/>
        </w:rPr>
      </w:pPr>
      <w:r>
        <w:rPr>
          <w:rFonts w:ascii="Times New Roman" w:cs="Times New Roman" w:eastAsia="Times New Roman" w:hAnsi="Times New Roman"/>
          <w:sz w:val="18"/>
          <w:szCs w:val="18"/>
          <w:color w:val="auto"/>
        </w:rPr>
        <w:t>Tumor cells often display a high metabolic rate to support cell division and growth. This heightened metabolism requires a continual supply of energy in the form of ATP. The two major sources of ATP are the specialized cellular organelles termed mitochondria and through the metabolism of carbohydrates, proteins and lipids.</w:t>
      </w:r>
    </w:p>
    <w:p>
      <w:pPr>
        <w:spacing w:after="0" w:line="16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ME-344 was identified through a screen of more than 400 new chemical structures originally created based on the central design of naturally occurring plant isoflavones. We believe that some of these synthetic compounds, including our drug candidate ME-344, interact with specific mitochondrial enzyme targets, resulting in the inhibition of ATP generation. When these compounds interact with their target, a rapid reduction in ATP occurs, which leads to a cascade of biochemical events within the cell and ultimately to cell death.</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Clinical Program</w:t>
      </w:r>
    </w:p>
    <w:p>
      <w:pPr>
        <w:spacing w:after="0" w:line="213" w:lineRule="exact"/>
        <w:rPr>
          <w:sz w:val="20"/>
          <w:szCs w:val="20"/>
          <w:color w:val="auto"/>
        </w:rPr>
      </w:pPr>
    </w:p>
    <w:p>
      <w:pPr>
        <w:ind w:right="180" w:firstLine="509"/>
        <w:spacing w:after="0" w:line="243" w:lineRule="auto"/>
        <w:rPr>
          <w:sz w:val="20"/>
          <w:szCs w:val="20"/>
          <w:color w:val="auto"/>
        </w:rPr>
      </w:pPr>
      <w:r>
        <w:rPr>
          <w:rFonts w:ascii="Times New Roman" w:cs="Times New Roman" w:eastAsia="Times New Roman" w:hAnsi="Times New Roman"/>
          <w:sz w:val="18"/>
          <w:szCs w:val="18"/>
          <w:color w:val="auto"/>
        </w:rPr>
        <w:t>ME-344 demonstrated evidence of single agent activity against refractory solid tumors in a Phase 1 trial, and in pre-clinical studies tumor cells treated with ME-344 resulted in a rapid loss of ATP and cancer cell death. In addition to single agent activity, ME-344 may also have significant potential in combination with anti-angiogenic therapeutics. In pre-clinical studies, it was shown that one outcome of anti-angiogenics was to reduce the rate of glycolysis in tumors as a mechanism to slow tumor growth. However, tumor metabolism was able to shift to mitochondrial metabolism for energy production to support continued tumor proliferation. In such cases of tumor plasticity in the presence of treatment with anti-angiogenics, targeting the alternative metabolic source with ME-344 may open an important therapeutic opportunity.</w:t>
      </w:r>
    </w:p>
    <w:p>
      <w:pPr>
        <w:spacing w:after="0" w:line="197"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 xml:space="preserve">Support for this combinatorial use of ME-344 was first published in the June 2016 edition of </w:t>
      </w:r>
      <w:r>
        <w:rPr>
          <w:rFonts w:ascii="Times New Roman" w:cs="Times New Roman" w:eastAsia="Times New Roman" w:hAnsi="Times New Roman"/>
          <w:sz w:val="18"/>
          <w:szCs w:val="18"/>
          <w:i w:val="1"/>
          <w:iCs w:val="1"/>
          <w:color w:val="auto"/>
        </w:rPr>
        <w:t>Cell Reports</w:t>
      </w:r>
      <w:r>
        <w:rPr>
          <w:rFonts w:ascii="Times New Roman" w:cs="Times New Roman" w:eastAsia="Times New Roman" w:hAnsi="Times New Roman"/>
          <w:sz w:val="18"/>
          <w:szCs w:val="18"/>
          <w:color w:val="auto"/>
        </w:rPr>
        <w:t>; pre-clinical data from a collaboration with the Spanish National Cancer Research Centre in Madrid demonstrated mitochondria-specific effects of ME-344 in cancer cells, including substantially enhanced anti-tumor activity when combined with agents that inhibit the activity of VEGF. These data demonstrating the potential anti-cancer effects of combining ME-344 with a VEGF inhibitor due to an inhibition of both mitochondrial and glycolytic metabolism provided a basis for commencement of an investigator-initiated trial of ME-344 in combination with bevacizumab in HER2 negative breast cancer patients.</w:t>
      </w:r>
    </w:p>
    <w:p>
      <w:pPr>
        <w:spacing w:after="0" w:line="182" w:lineRule="exact"/>
        <w:rPr>
          <w:sz w:val="20"/>
          <w:szCs w:val="20"/>
          <w:color w:val="auto"/>
        </w:rPr>
      </w:pPr>
    </w:p>
    <w:p>
      <w:pPr>
        <w:ind w:right="540" w:firstLine="509"/>
        <w:spacing w:after="0" w:line="258" w:lineRule="auto"/>
        <w:rPr>
          <w:sz w:val="20"/>
          <w:szCs w:val="20"/>
          <w:color w:val="auto"/>
        </w:rPr>
      </w:pPr>
      <w:r>
        <w:rPr>
          <w:rFonts w:ascii="Times New Roman" w:cs="Times New Roman" w:eastAsia="Times New Roman" w:hAnsi="Times New Roman"/>
          <w:sz w:val="18"/>
          <w:szCs w:val="18"/>
          <w:color w:val="auto"/>
        </w:rPr>
        <w:t>Results published in the November 2019 issue of Clinical Cancer Research from a multicenter, investigator-initiated, randomized, open-label, clinical trial that evaluated the combination of ME-344 and bevacizumab in 42 women with early HER2-negative breast cancer further support the combinatorial use of ME-344 with anti-angiogenic therapeutics.</w:t>
      </w:r>
    </w:p>
    <w:p>
      <w:pPr>
        <w:spacing w:after="0" w:line="16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primary objective of the trial was to show proof of ME-344 biologic activity as measured by Ki67 reductions in the presence of the nuclear protein Ki67 (expression of which is strongly associated with tumor cell proliferation and growth) from days 0 to 28 compared to the control group who received bevacizumab alone. Secondary objectives included determining whether ME-344 biologic activity correlates with vascular normalization. The data demonstrate significant biologic activity in the ME-344 treatment group:</w:t>
      </w:r>
    </w:p>
    <w:p>
      <w:pPr>
        <w:spacing w:after="0" w:line="81" w:lineRule="exact"/>
        <w:rPr>
          <w:sz w:val="20"/>
          <w:szCs w:val="20"/>
          <w:color w:val="auto"/>
        </w:rPr>
      </w:pPr>
    </w:p>
    <w:p>
      <w:pPr>
        <w:ind w:left="1020" w:right="120" w:hanging="504"/>
        <w:spacing w:after="0" w:line="24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ME-344 treated patients, mean absolute Ki67 decreases were 13.3 compared to an increase of 1.1 in the bevacizumab monotherapy group (P=0.01).</w:t>
      </w:r>
    </w:p>
    <w:p>
      <w:pPr>
        <w:ind w:left="1020" w:right="440" w:hanging="504"/>
        <w:spacing w:after="0" w:line="24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ME-344 treated patients, mean relative Ki67 decreases were 23% compared to an increase of 186% in the bevacizumab monotherapy group (P &lt; 0.01).</w:t>
      </w:r>
    </w:p>
    <w:p>
      <w:pPr>
        <w:jc w:val="both"/>
        <w:ind w:left="1020" w:right="220" w:hanging="504"/>
        <w:spacing w:after="0" w:line="239"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 relative Ki67 reduction in patients experiencing vascular normalization in the ME-344 treated patients was 33%, compared to an increase of 11.8% in normalized patients from the bevacizumab monotherapy group (P=0.09). Approximately one-third of patients in each arm had vascular normalization.</w:t>
      </w:r>
    </w:p>
    <w:p>
      <w:pPr>
        <w:sectPr>
          <w:pgSz w:w="11900" w:h="16838" w:orient="portrait"/>
          <w:cols w:equalWidth="0" w:num="1">
            <w:col w:w="11240"/>
          </w:cols>
          <w:pgMar w:left="320" w:top="414" w:right="339" w:bottom="144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Treatment was generally well tolerated; three grade 3 adverse events of high blood pressure were reported, two in the ME-344 arm and one in the bevacizumab monotherapy arm.</w:t>
      </w:r>
    </w:p>
    <w:p>
      <w:pPr>
        <w:spacing w:after="0" w:line="161"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 xml:space="preserve">Results from our earlier, first-in-human, single-agent Phase 1 clinical trial of ME-344 in patients with refractory solid tumors were published in the April 1, 2015 issue of </w:t>
      </w:r>
      <w:r>
        <w:rPr>
          <w:rFonts w:ascii="Times New Roman" w:cs="Times New Roman" w:eastAsia="Times New Roman" w:hAnsi="Times New Roman"/>
          <w:sz w:val="18"/>
          <w:szCs w:val="18"/>
          <w:i w:val="1"/>
          <w:iCs w:val="1"/>
          <w:color w:val="auto"/>
        </w:rPr>
        <w:t>Cancer</w:t>
      </w:r>
      <w:r>
        <w:rPr>
          <w:rFonts w:ascii="Times New Roman" w:cs="Times New Roman" w:eastAsia="Times New Roman" w:hAnsi="Times New Roman"/>
          <w:sz w:val="18"/>
          <w:szCs w:val="18"/>
          <w:color w:val="auto"/>
        </w:rPr>
        <w:t>. The results indicated that eight of 21 evaluable patients (38%) treated with ME-344 achieved stable disease or better, including five who experienced progression-free survival that was at least twice the duration of their last prior treatment before entry into the trial. In addition, one of these patients, a heavily pre-treated patient with small cell lung cancer, achieved a confirmed partial response and remained on study for two years. ME-344 was generally well tolerated at doses equal to or less than 10 mg/kg delivered on a weekly schedule for extended durations. Treatment-related adverse events included nausea, dizziness and fatigue. Dose-limiting toxicities were observed at both the 15 mg/kg and 20 mg/kg dose levels, consisting primarily of grade 3 peripheral neuropathy. We are planning to advance ME-344 in combination with the anti-angiogenic antibody bevacizumab in a Phase 1b study evaluating patients with relapsed colorectal cancer in the first half of calendar year 2023.</w:t>
      </w:r>
    </w:p>
    <w:p>
      <w:pPr>
        <w:spacing w:after="0" w:line="198"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Additionally, ME-344 may also have clinical potential against hematological malignancies. At the AACR Annual Meeting 2022, a poster presentation reported results from preclinical studies exploring the ability of ME-344 to enhance the activity of venetoclax against AML. Data from the in vitro and in vivo preclinical studies evaluating the combination of ME-344 with venetoclax in standard-of-care-resistant AML cell lines and relapsed or refractory AML patient samples suggest that ME-344, both alone and in combination with venetoclax, inhibits purine biosynthesis, suppresses oxidative phosphorylation, induces apoptosis and decreases MCL-1, which together target metabolic vulnerabilities of AML cells. The data demonstrated that ME-344 and venetoclax prolong survival in MV4-11 and MV4-11/AraC-R-derived xenograft AML models. The poster concludes that ME-344 enhances venetoclax activity against AML cells including resistant AML.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15"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marketplace for our drug candidates is highly competitive. A number of other companies have products or drug candidates in various stages of pre-clinical or clinical development that are intended for the same therapeutic indications for which our drug candidates are being developed. Some of these potential competing drug candidates are further advanced in development than our drug candidates and may be commercialized sooner. Even if we are successful in developing products that receive regulatory approval, such products may not compete successfully with products produced by our competitors or with products that may subsequently receive regulatory approval.</w:t>
      </w:r>
    </w:p>
    <w:p>
      <w:pPr>
        <w:spacing w:after="0" w:line="176"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Our competitors include pharmaceutical companies and biotechnology companies, as well as universities and public and private research institutions. In addition, companies active in different but related fields represent substantial competition for us. Many of our competitors developing oncology drugs have significantly greater capital resources, larger research and development staffs and facilities, and greater experience in drug development, regulation, manufacturing, marketing and commercialization than we do. They compete with us in recruiting sites and eligible patients to participate in clinical studies and in attracting development and/or commercialization partners. They also license technologies that are competitive with our technologies. As a result, our competitors may be able to more easily develop technologies and products that would render our technologies or our drug candidates obsolete or non-competitive.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15"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We own, by assignment or exclusive license, worldwide rights to each of our current drug candidates. Our intellectual property portfolio includes approximately 36 issued U.S. patents, 209 issued foreign patents, 17 pending U.S. patent applications, and 137 pending foreign applications.</w:t>
      </w:r>
    </w:p>
    <w:p>
      <w:pPr>
        <w:spacing w:after="0" w:line="149"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We have acquired, by assignment, worldwide rights to zandelisib and other related compounds from Pathway Therapeutics, Inc. The U.S. Patent and Trademark Office (“USPTO”) has issued seven patents covering zandelisib as composition of matter, pharmaceutical compositions, and methods of use to treat cancer. The issued U.S. patents with composition of matter claims covering zandelisib are projected to expire in January 2031 and December 2032, not including any patent term extension. There are approximately 49 foreign patents granted or allowed. There are seven pending U.S. patent applications, one pending international patent application filed under the Patent Cooperation Treaty ("PCT application"), and approximately 98 pending foreign patent applications directed to zandelisib and related compounds or methods of use thereof.</w:t>
      </w:r>
    </w:p>
    <w:p>
      <w:pPr>
        <w:spacing w:after="0" w:line="178"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7"/>
          <w:szCs w:val="17"/>
          <w:color w:val="auto"/>
        </w:rPr>
        <w:t>We have acquired exclusive worldwide rights to develop, manufacture and commercialize voruciclib from Presage Biosciences, Inc. (“Presage”). The USPTO has issued 18 U.S. patents covering the composition of matter, pharmaceutical compositions, and methods of use to treat cancer which are projected to expire between April 2024 and December 2037, not including any patent term extension. There are approximately 90 allowed or issued foreign patents, seven pending U.S. patent applications, and 34 pending foreign patent applications for voruciclib, related compounds, and related methods of use.</w:t>
      </w:r>
    </w:p>
    <w:p>
      <w:pPr>
        <w:spacing w:after="0" w:line="162" w:lineRule="exact"/>
        <w:rPr>
          <w:sz w:val="20"/>
          <w:szCs w:val="20"/>
          <w:color w:val="auto"/>
        </w:rPr>
      </w:pPr>
    </w:p>
    <w:p>
      <w:pPr>
        <w:ind w:right="860" w:firstLine="509"/>
        <w:spacing w:after="0" w:line="266" w:lineRule="auto"/>
        <w:rPr>
          <w:sz w:val="20"/>
          <w:szCs w:val="20"/>
          <w:color w:val="auto"/>
        </w:rPr>
      </w:pPr>
      <w:r>
        <w:rPr>
          <w:rFonts w:ascii="Times New Roman" w:cs="Times New Roman" w:eastAsia="Times New Roman" w:hAnsi="Times New Roman"/>
          <w:sz w:val="18"/>
          <w:szCs w:val="18"/>
          <w:color w:val="auto"/>
        </w:rPr>
        <w:t>We have acquired, by assignment, patents and patent applications from Novogen, our former majority shareholder, relating to a family of isoflavonoid compounds, including ME-344. The USPTO has issued 11 patents covering ME-344 as composition of matter, pharmaceutical</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compositions, and methods of use to treat cancer. There are approximately 70 foreign patents granted or allowed. The issued U.S. patents with composition of matter claims covering ME-344 are expected to expire in March 2027 and November 2031, not including patent term extension. There are three pending U.S. patent applications, one pending PCT application, and three pending foreign patent applications directed to ME-344 and related compounds or methods of use thereof.</w:t>
      </w:r>
    </w:p>
    <w:p>
      <w:pPr>
        <w:spacing w:after="0" w:line="176"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Our success depends in large part on our ability to protect our proprietary technologies, compounds and information, and to operate without infringing the proprietary rights of third parties. We rely on a combination of patent, trade secret, copyright, and trademark laws, as well as confidentiality, licensing and other agreements, to establish and protect our proprietary rights. We seek patent protection for our key inventions, including drug candidates we identify, routes for chemical synthesis and pharmaceutical formulations. There is no assurance that any of our pending patent applications will issue, or that any of our patents will be enforceable or will cover a drug or other commercially significant product or method. In addition, we regularly review our patent portfolio to identify patents and patent applications that we deem to have relatively low value to our ongoing business operations for potential abandonment. There is also no assurance that we will correctly identify which of our patents and patent applications should be maintained and which should be abandoned. The term of most of our other current patents commenced, and most of our future patents, if any, will commence, on the date of issuance and terminate 20 years from the earliest effective filing date of the patent application. Because any marketing and regulatory approval for a drug often occurs several years after the related patent application is filed, the resulting market exclusivity afforded by any patent on our drug candidates and technologies will likely be substantially less than 20 years.</w:t>
      </w:r>
    </w:p>
    <w:p>
      <w:pPr>
        <w:spacing w:after="0" w:line="185"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As most patent applications in the U.S. are maintained as confidential until published by the USPTO at 18 months from filing for all cases filed after November 29, 2000, or at issue, for cases filed prior to November 29, 2000, we cannot be certain that we or Presage were the first to make the inventions covered by the patents and applications referred to above. Additionally, publication of discoveries in the scientific or patent literature often lags behind the actual discoveries. Moreover, pursuant to the terms of the Uruguay Round Agreements Act, patents filed on or after June 8, 1995 have a term of twenty years from the date of such filing except for provisional applications, irrespective of the period of time it may take for such patent to ultimately issue. This may shorten the period of patent protection afforded to therapeutic uses of zandelisib, voruciclib or ME-344 as patent applications in the biopharmaceutical sector often take considerable time to issue. However, in some countries the patent term may be extended.</w:t>
      </w:r>
    </w:p>
    <w:p>
      <w:pPr>
        <w:spacing w:after="0" w:line="199"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In order to protect the confidentiality of our technology, including trade secrets and know-how and other proprietary technical and business information, we require all of our consultants, advisors and collaborators to enter into agreements that prohibit the use or disclosure of information that is deemed confidential. These agreements also oblige our consultants, advisors and collaborators to assign to us, or negotiate a license to developments, discoveries and inventions made by such persons in connection with their work relating to our products. We cannot be sure that confidentiality will be maintained by those from whom we have acquired technology or disclosure prevented by these agreements. We also cannot be sure that our proprietary information or intellectual property will be protected by these agreements or that others will not independently develop substantially equivalent proprietary information or intellectual property.</w:t>
      </w:r>
    </w:p>
    <w:p>
      <w:pPr>
        <w:spacing w:after="0" w:line="198"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The pharmaceutical industry is highly competitive, and patents may have been applied for by, and issued to, other parties relating to products competitive with zandelisib, voruciclib or ME-344. Use of these compounds and any other drug candidates may give rise to claims that they infringe the patents or proprietary rights of other parties, existing now and in the future. An adverse claim could subject us to significant liabilities to such other parties and/or require disputed rights to be licensed from such other parties. We cannot be sure that any license required under any such patents or proprietary rights would be made available on terms acceptable to us, if at all. If we do not obtain such licenses, we may encounter delays in product market introductions, or may find that the development, manufacture or sale of products requiring such licenses may be precluded.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1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objective of our research and development program is the generation of data sufficient to achieve regulatory approval of our drug candidates in one or more dosage forms in major markets such as the U.S., to meet medical needs and develop a clinical and commercial profile with attractive attributes, and/or to allow us to enter into a development and/or commercial relationship with another party. The data are generated by our pre-clinical studies and clinical trial programs.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key aspects of our research and development program are to provide more complete characterization of the following:</w:t>
      </w:r>
    </w:p>
    <w:p>
      <w:pPr>
        <w:spacing w:after="0" w:line="103" w:lineRule="exact"/>
        <w:rPr>
          <w:sz w:val="20"/>
          <w:szCs w:val="20"/>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molecular targets of action of our drug candidates;</w:t>
      </w:r>
    </w:p>
    <w:p>
      <w:pPr>
        <w:spacing w:after="0" w:line="27" w:lineRule="exact"/>
        <w:rPr>
          <w:rFonts w:ascii="Times New Roman" w:cs="Times New Roman" w:eastAsia="Times New Roman" w:hAnsi="Times New Roman"/>
          <w:sz w:val="18"/>
          <w:szCs w:val="18"/>
          <w:color w:val="auto"/>
        </w:rPr>
      </w:pPr>
    </w:p>
    <w:p>
      <w:pPr>
        <w:ind w:left="1020" w:right="360" w:hanging="504"/>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therapeutic benefits and indications for use of our drug candidates as a monotherapy or as part of combinational therapy with other agents; and</w:t>
      </w: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appropriate therapeutic indications and dosage forms for zandelisib, voruciclib and ME-344.</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U.S. Regulatory Requirements</w:t>
      </w:r>
    </w:p>
    <w:p>
      <w:pPr>
        <w:spacing w:after="0" w:line="213"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FDA, and comparable regulatory agencies in other countries, regulate and impose substantial requirements upon the research, development, pre-clinical and clinical testing, labeling, manufacture, quality control, storage, approval, advertising, promotion, marketing, distribution, import, and export of pharmaceutical products including biologics, as well as significant reporting and record-keeping obligations. State governments may also impose obligations in these and other areas. These requirements are extensive and are frequently changing. For example, there may be changes as a result of the upcoming user fee act reauthorization legislation.</w:t>
      </w:r>
    </w:p>
    <w:p>
      <w:pPr>
        <w:spacing w:after="0" w:line="17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the U.S., pharmaceutical products are regulated by the FDA under the Federal Food, Drug, and Cosmetic Act (“FDCA”) and other laws, including in the case of biologics, the Public Health Service Act. We believe, but cannot be certain, that our products will be regulated as drugs by the FDA. The process required by the FDA before drugs may be marketed in the U.S. generally involves the following:</w:t>
      </w:r>
    </w:p>
    <w:p>
      <w:pPr>
        <w:spacing w:after="0" w:line="81" w:lineRule="exact"/>
        <w:rPr>
          <w:sz w:val="20"/>
          <w:szCs w:val="20"/>
          <w:color w:val="auto"/>
        </w:rPr>
      </w:pPr>
    </w:p>
    <w:p>
      <w:pPr>
        <w:ind w:left="1020" w:right="80" w:hanging="504"/>
        <w:spacing w:after="0" w:line="24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evaluations, including formulation and stability testing, and animal tests performed under the FDA’s Good Laboratory Practices ("GLP") regulations to assess pharmacological activity and toxicity potential;</w:t>
      </w:r>
    </w:p>
    <w:p>
      <w:pPr>
        <w:ind w:left="1020" w:right="880" w:hanging="504"/>
        <w:spacing w:after="0" w:line="256"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and approval of an investigational new drug ("IND") application, including results of pre-clinical tests, manufacturing information, and protocols for clinical tests, which must become effective before clinical trials may begin in the U.S.;</w:t>
      </w:r>
    </w:p>
    <w:p>
      <w:pPr>
        <w:ind w:left="1020" w:hanging="504"/>
        <w:spacing w:after="0" w:line="23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of IRBs to administer the products to human subjects in clinical trials;</w:t>
      </w: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of the product for the product’s intended use;</w:t>
      </w:r>
    </w:p>
    <w:p>
      <w:pPr>
        <w:spacing w:after="0" w:line="7" w:lineRule="exact"/>
        <w:rPr>
          <w:rFonts w:ascii="Times New Roman" w:cs="Times New Roman" w:eastAsia="Times New Roman" w:hAnsi="Times New Roman"/>
          <w:sz w:val="18"/>
          <w:szCs w:val="18"/>
          <w:color w:val="auto"/>
        </w:rPr>
      </w:pPr>
    </w:p>
    <w:p>
      <w:pPr>
        <w:ind w:left="1020" w:right="320" w:hanging="504"/>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manufacturing processes which conform to the FDA’s current Good Manufacturing Practices (“cGMP”), as confirmed by FDA inspection or remote regulatory assessments;</w:t>
      </w:r>
    </w:p>
    <w:p>
      <w:pPr>
        <w:ind w:left="1020" w:right="160" w:hanging="504"/>
        <w:spacing w:after="0" w:line="24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results for pre-clinical, toxicology, and clinical studies, and chemistry, manufacture and control information on the product to the FDA in a non-disclosure agreement ("NDA"); and</w:t>
      </w: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an NDA, prior to any commercial sale or shipment of a product.</w:t>
      </w:r>
    </w:p>
    <w:p>
      <w:pPr>
        <w:spacing w:after="0" w:line="191"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we cannot be certain that we will be able to ultimately submit marketing applications for any of our product candidates, that our development efforts will prove to be successful, that our studies will have positive outcomes, or that any approval will be granted on a timely basis, if at all.</w:t>
      </w:r>
    </w:p>
    <w:p>
      <w:pPr>
        <w:spacing w:after="0" w:line="168"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The results of the pre-clinical studies, together with initial specified manufacturing information, the proposed clinical trial protocol, and information about the participating investigators are submitted to the FDA as part of an IND, which must become effective before we may begin human clinical trials in the U.S. Clinical trials must be conducted in accordance with federal regulations and Good Clinical Practice (“GCP”) requirements, and with investigational products that follow cGMP. GCPs include, among other requirements, the requirements related to monitoring, drug accountability, data integrity, and that all research subjects provide their informed consent in writing for their participation in any clinical trial. Additionally, an independent IRB must review and approve each study protocol and oversee conduct of the trial. An IND becomes effective 30 days after receipt by the FDA, unless the FDA, within the 30-day period, raises concerns or questions about the conduct of the trials as outlined in the IND and imposes a clinical hold. If the FDA imposes a clinical hold, the IND sponsor must resolve the FDA’s concerns before clinical trials can begin. Pre-clinical tests and studies can take several years to complete, and there is no guarantee that an IND that is submitted based on such tests and studies will become effective within any specific time period, if at all.</w:t>
      </w:r>
    </w:p>
    <w:p>
      <w:pPr>
        <w:spacing w:after="0" w:line="183"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Sponsors must make certain reports and submissions to FDA and global health authorities, as appropriate, and to clinical investigators who, in turn, make certain reports and submissions to the IRB or ethics committee, including annual reports, and reports of investigator financial interests, serious adverse events and other significant safety information, study amendments, and new study protocols. Information about certain clinical trials, including a description of the study and study results, must also be submitted within specific timeframes to the National Institutes of Health, or NIH, for public dissemination on the clinicaltrials.gov website. Sponsors of investigational products for serious diseases must also have a publicly available policy on requests for expanded access.</w:t>
      </w:r>
    </w:p>
    <w:p>
      <w:pPr>
        <w:spacing w:after="0" w:line="178" w:lineRule="exact"/>
        <w:rPr>
          <w:sz w:val="20"/>
          <w:szCs w:val="20"/>
          <w:color w:val="auto"/>
        </w:rPr>
      </w:pPr>
    </w:p>
    <w:p>
      <w:pPr>
        <w:ind w:right="220" w:firstLine="509"/>
        <w:spacing w:after="0" w:line="295" w:lineRule="auto"/>
        <w:rPr>
          <w:sz w:val="20"/>
          <w:szCs w:val="20"/>
          <w:color w:val="auto"/>
        </w:rPr>
      </w:pPr>
      <w:r>
        <w:rPr>
          <w:rFonts w:ascii="Times New Roman" w:cs="Times New Roman" w:eastAsia="Times New Roman" w:hAnsi="Times New Roman"/>
          <w:sz w:val="17"/>
          <w:szCs w:val="17"/>
          <w:color w:val="auto"/>
        </w:rPr>
        <w:t>Investigational drugs and active ingredients imported into the U.S. are also subject to regulation by the FDA. Further, the export of investigational products outside of the U.S. is subject to regulatory requirements of the receiving country as well as U.S. export requirements under the FDCA.</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w:t>
      </w:r>
    </w:p>
    <w:p>
      <w:pPr>
        <w:spacing w:after="0" w:line="101" w:lineRule="exact"/>
        <w:rPr>
          <w:sz w:val="20"/>
          <w:szCs w:val="20"/>
          <w:color w:val="auto"/>
        </w:rPr>
      </w:pPr>
    </w:p>
    <w:p>
      <w:pPr>
        <w:ind w:left="1020" w:right="460" w:hanging="504"/>
        <w:spacing w:after="0" w:line="26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The drug is initially introduced into healthy human subjects or patients and tested for safety and dosage tolerance. Absorption,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metabolism, distribution, and excretion testing is generally performed at this stage.</w:t>
      </w:r>
    </w:p>
    <w:p>
      <w:pPr>
        <w:spacing w:after="0" w:line="63" w:lineRule="exact"/>
        <w:rPr>
          <w:rFonts w:ascii="Times New Roman" w:cs="Times New Roman" w:eastAsia="Times New Roman" w:hAnsi="Times New Roman"/>
          <w:sz w:val="18"/>
          <w:szCs w:val="18"/>
          <w:color w:val="auto"/>
        </w:rPr>
      </w:pPr>
    </w:p>
    <w:p>
      <w:pPr>
        <w:ind w:left="1020" w:right="20" w:hanging="504"/>
        <w:spacing w:after="0" w:line="26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The drug is studied in controlled, exploratory therapeutic trials in a limited number of subjects with the disease or medical condition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which the new drug is intended to be used in order to identify possible adverse effects and safety risks, to determine</w:t>
      </w:r>
    </w:p>
    <w:p>
      <w:pPr>
        <w:sectPr>
          <w:pgSz w:w="11900" w:h="16838" w:orient="portrait"/>
          <w:cols w:equalWidth="0" w:num="1">
            <w:col w:w="11240"/>
          </w:cols>
          <w:pgMar w:left="320" w:top="414"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20"/>
        <w:spacing w:after="0" w:line="266" w:lineRule="auto"/>
        <w:rPr>
          <w:sz w:val="20"/>
          <w:szCs w:val="20"/>
          <w:color w:val="auto"/>
        </w:rPr>
      </w:pPr>
      <w:r>
        <w:rPr>
          <w:rFonts w:ascii="Times New Roman" w:cs="Times New Roman" w:eastAsia="Times New Roman" w:hAnsi="Times New Roman"/>
          <w:sz w:val="18"/>
          <w:szCs w:val="18"/>
          <w:color w:val="auto"/>
        </w:rPr>
        <w:t>the preliminary or potential efficacy of the product for specific targeted diseases or medical conditions, and to determine dosage tolerance and the optimal effective dose.</w:t>
      </w:r>
    </w:p>
    <w:p>
      <w:pPr>
        <w:spacing w:after="0" w:line="52" w:lineRule="exact"/>
        <w:rPr>
          <w:sz w:val="20"/>
          <w:szCs w:val="20"/>
          <w:color w:val="auto"/>
        </w:rPr>
      </w:pPr>
    </w:p>
    <w:p>
      <w:pPr>
        <w:ind w:left="1020" w:right="40" w:hanging="504"/>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When Phase 2 studies demonstrate that a specific dosage range of the drug may be efficacious and the drug has an acceptable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profile for further investigation, controlled, large-scale therapeutic Phase 3 trials are undertaken at multiple study sites to demonstrate clinical efficacy and to further test for safety in an expanded patient population. Typically, two Phase 3 trials are required by the FDA for product approval. Under some limited circumstances, however, the FDA may approve an NDA based upon a single Phase 3 clinical study plus confirmatory evidence or a single large multicenter trial without confirmatory evidence.</w:t>
      </w:r>
    </w:p>
    <w:p>
      <w:pPr>
        <w:spacing w:after="0" w:line="178" w:lineRule="exact"/>
        <w:rPr>
          <w:sz w:val="20"/>
          <w:szCs w:val="20"/>
          <w:color w:val="auto"/>
        </w:rPr>
      </w:pPr>
    </w:p>
    <w:p>
      <w:pPr>
        <w:ind w:right="700" w:firstLine="509"/>
        <w:spacing w:after="0" w:line="26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non-clinical and toxicology studies and must also develop additional information about the CMC of the product candidate.</w:t>
      </w:r>
    </w:p>
    <w:p>
      <w:pPr>
        <w:spacing w:after="0" w:line="161"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Some clinical trials are overseen by an independent group of qualified experts organized by the clinical trial sponsor, known as a data monitoring committee. This group reviews data and advises the study sponsor regarding the continuing safety of the trial. This group may also review interim data to assess the continuing validity and scientific merit of the clinical trial. The data monitoring committee may advise the sponsor to halt the clinical trial, modify the clinical trial, or continue the clinical trial depending on safety results and the trial’s likelihood of success.</w:t>
      </w:r>
    </w:p>
    <w:p>
      <w:pPr>
        <w:spacing w:after="0" w:line="189" w:lineRule="exact"/>
        <w:rPr>
          <w:sz w:val="20"/>
          <w:szCs w:val="20"/>
          <w:color w:val="auto"/>
        </w:rPr>
      </w:pPr>
    </w:p>
    <w:p>
      <w:pPr>
        <w:ind w:right="280" w:firstLine="509"/>
        <w:spacing w:after="0" w:line="250" w:lineRule="auto"/>
        <w:rPr>
          <w:sz w:val="20"/>
          <w:szCs w:val="20"/>
          <w:color w:val="auto"/>
        </w:rPr>
      </w:pPr>
      <w:r>
        <w:rPr>
          <w:rFonts w:ascii="Times New Roman" w:cs="Times New Roman" w:eastAsia="Times New Roman" w:hAnsi="Times New Roman"/>
          <w:sz w:val="18"/>
          <w:szCs w:val="18"/>
          <w:color w:val="auto"/>
        </w:rPr>
        <w:t>We cannot be certain that we will successfully complete clinical testing of our products within any specific time period, if at all. Furthermore, the FDA, the IRB or we may suspend or terminate clinical trials at any time on various grounds, including a finding that the subjects or patients are being exposed to an unacceptable safety risk or noncompliance with applicable regulatory requirements.</w:t>
      </w:r>
    </w:p>
    <w:p>
      <w:pPr>
        <w:spacing w:after="0" w:line="189" w:lineRule="exact"/>
        <w:rPr>
          <w:sz w:val="20"/>
          <w:szCs w:val="20"/>
          <w:color w:val="auto"/>
        </w:rPr>
      </w:pPr>
    </w:p>
    <w:p>
      <w:pPr>
        <w:ind w:right="80" w:firstLine="509"/>
        <w:spacing w:after="0" w:line="241" w:lineRule="auto"/>
        <w:rPr>
          <w:sz w:val="20"/>
          <w:szCs w:val="20"/>
          <w:color w:val="auto"/>
        </w:rPr>
      </w:pPr>
      <w:r>
        <w:rPr>
          <w:rFonts w:ascii="Times New Roman" w:cs="Times New Roman" w:eastAsia="Times New Roman" w:hAnsi="Times New Roman"/>
          <w:sz w:val="18"/>
          <w:szCs w:val="18"/>
          <w:color w:val="auto"/>
        </w:rPr>
        <w:t>Results of pre-clinical and toxicology studies, and clinical trials, as well as detailed information about the manufacturing process, quality control methods, and product composition, among other things, are submitted to the FDA as part of an NDA seeking approval to market and commercially distribute the product on the basis of a determination that the product is safe and effective for its intended use. Once the FDA receives an application, it has 60 days to review the NDA to determine if it is substantially complete to permit a substantive review, before it accepts the application for filing. The FDA may request additional information rather than accept an application for filing. In this event, the application must be resubmitted with the additional information. Once the submission is accepted for filing, the FDA begins an in-depth substantive review. Under the goals agreed to by the FDA under the Prescription Drug User Fee Act (“PDUFA”), the agency currently aims to review 90% of all applications for new molecular entities within ten months of the 60-day filing date for a standard review. The PDUFA date is only a goal, thus, the FDA does not always meet its PDUFA dates. The PDUFA date may also be extended if the FDA requests or the sponsor provides substantial additional information regarding the submission. This timing may also change with the current user fee reauthorization efforts that are being undertaken in Congress.</w:t>
      </w:r>
    </w:p>
    <w:p>
      <w:pPr>
        <w:spacing w:after="0" w:line="200"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The FDA may refer certain applications to an advisory committee, which is a panel of experts that make a recommendation as to whether the application should be approved and under what conditions. The FDA is not bound by the recommendations of an advisory committee, but it considers such recommendations carefully when making decisions.</w:t>
      </w:r>
    </w:p>
    <w:p>
      <w:pPr>
        <w:spacing w:after="0" w:line="18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Before approving an NDA, the FDA will inspect the facilities at which the product is manufactured and may inspect the sponsor, clinical study vendors, and clinical sites at which the product candidate was studied and will not approve the product unless cGMP and GCP compliance are satisfactory. Inspections may be in-person or conducted remotely. If applicable regulatory criteria are not satisfied, the FDA may issue a complete response letter (“CRL”) to the sponsor requiring additional non-clinical or clinical studies or data or additional CMC information. If a CRL is issued, the applicant may either: resubmit the marketing application, addressing all of the deficiencies identified in the letter; withdraw the application; or request an opportunity for a hearing.</w:t>
      </w:r>
    </w:p>
    <w:p>
      <w:pPr>
        <w:spacing w:after="0" w:line="199"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Once the FDA determines that the approval requirements are met, it will issue an approval letter that authorizes commercial marketing of the product with specific prescribing information for specific indications. As a condition of approval, the FDA also may require post-marketing commitments and requirements, including studies, and/or surveillance to monitor the product’s safety or efficacy. The FDA also may require a Medication Guide and also a risk evaluation and mitigation strategy ("REMS"), or other conditions for a product's approval or following approval to ensure that the benefits of the product candidate outweigh the risks. Moreover, even if the FDA approves a product, it may limit the approved indications or populations for use of the product, require that contraindications, warnings, or precautions be included in the product labeling, including a black box warning, impose other conditions, such as post-approval studies, or may not approve label statements that are necessary for successful commercialization and marketing.</w:t>
      </w:r>
    </w:p>
    <w:p>
      <w:pPr>
        <w:spacing w:after="0" w:line="198"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Even after an NDA is approved, the FDA may impose additional obligations or restrictions (such as labeling changes, or clinical post-marketing requirements), or even suspend or withdraw a product approval or require additional testing or label revisions on the basis of data that arise after the product reaches the market, or if compliance with regulatory standards is not maintained. We cannot be certain that any NDA we submit will be approved by the FDA for full or accelerated approval on a timely basis, if at all. Also, any such approval may limit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indicated uses for which the product may be marketed. Any refusal to approve, delay in approval, suspension or withdrawal of approval, or restrictions on indicated uses could have a material adverse impact on our business prospects.</w:t>
      </w:r>
    </w:p>
    <w:p>
      <w:pPr>
        <w:spacing w:after="0" w:line="161"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Each NDA must be accompanied by a substantial user fee pursuant to the requirements of the PDUFA and its amendments. Fee waivers or reductions are available in certain circumstances. Following product approval, drug products are also subject to annual program fees. The FDA adjusts the PDUFA user fees on an annual basis. A written request can be submitted for a waiver for the application fee for the first human drug application that is filed by a small business, but there are no small business waivers for program fees. Product candidates that are designated as orphan products are not subject to application user fees unless the application includes an indication other than the orphan indication and may be exempt from program fees if certain criteria are met. We are not at the stage of development with our products where we are subject to these fees, but they are significant expenditures that may be incurred in the future and must be paid at the time of application submissions to the FDA.</w:t>
      </w:r>
    </w:p>
    <w:p>
      <w:pPr>
        <w:spacing w:after="0" w:line="186"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Satisfaction of FDA requirements typically takes many years. The actual time required varies substantially, based upon the type, complexity, and novelty of the pharmaceutical product, among other things. Government regulation imposes costly and time-consuming requirements and restrictions throughout the product life cycle and may delay product marketing for a considerable period of time, limit product marketing, or prevent marketing altogether. Success in pre-clinical or early-stage clinical trials does not ensure success in later stage clinical trials. Data obtained from pre-clinical and clinical activities are not always conclusive and may be susceptible to varying interpretations that could delay, limit, or prevent marketing approval. Even if a product receives marketing approval, the approval is limited to specific clinical indications. Further, even after marketing approval is obtained, the discovery of previously unknown problems with a product may result in restrictions on the product or even complete withdrawal of the product from the market.</w:t>
      </w:r>
    </w:p>
    <w:p>
      <w:pPr>
        <w:spacing w:after="0" w:line="184"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After product approval, there are continuing significant regulatory requirements imposed by the FDA, including record-keeping requirements, obligations to report adverse side effects in patients using the products, and restrictions on advertising and promotional activities. Quality control and manufacturing procedures must continue to conform to cGMPs, and the FDA periodically inspects facilities, via in person inspections and remote regulatory assessments, to assess cGMP compliance. Additionally, post-approval changes in ingredient composition, manufacturing processes or facilities, product labeling, or other areas may require submission of an NDA Supplement to the FDA for review and approval. New indications will require additional clinical studies and submission of an NDA Supplement.</w:t>
      </w:r>
    </w:p>
    <w:p>
      <w:pPr>
        <w:spacing w:after="0" w:line="178" w:lineRule="exact"/>
        <w:rPr>
          <w:sz w:val="20"/>
          <w:szCs w:val="20"/>
          <w:color w:val="auto"/>
        </w:rPr>
      </w:pPr>
    </w:p>
    <w:p>
      <w:pPr>
        <w:jc w:val="both"/>
        <w:ind w:right="460" w:firstLine="509"/>
        <w:spacing w:after="0" w:line="261" w:lineRule="auto"/>
        <w:rPr>
          <w:sz w:val="20"/>
          <w:szCs w:val="20"/>
          <w:color w:val="auto"/>
        </w:rPr>
      </w:pPr>
      <w:r>
        <w:rPr>
          <w:rFonts w:ascii="Times New Roman" w:cs="Times New Roman" w:eastAsia="Times New Roman" w:hAnsi="Times New Roman"/>
          <w:sz w:val="17"/>
          <w:szCs w:val="17"/>
          <w:color w:val="auto"/>
        </w:rPr>
        <w:t>Failure to comply with the FDA's regulatory requirements may result in an enforcement action by the FDA, including clinical holds, refusal to approve marketing applications or supplements, Warning Letters, product recalls, suspension or revocation of product approval, seizure of product to prevent distribution, impositions of injunctions prohibiting product manufacture or distribution, and civil and criminal penalties, among other actions.</w:t>
      </w:r>
    </w:p>
    <w:p>
      <w:pPr>
        <w:spacing w:after="0" w:line="1" w:lineRule="exact"/>
        <w:rPr>
          <w:sz w:val="20"/>
          <w:szCs w:val="20"/>
          <w:color w:val="auto"/>
        </w:rPr>
      </w:pPr>
    </w:p>
    <w:p>
      <w:pPr>
        <w:jc w:val="both"/>
        <w:ind w:right="60"/>
        <w:spacing w:after="0" w:line="239" w:lineRule="auto"/>
        <w:rPr>
          <w:sz w:val="20"/>
          <w:szCs w:val="20"/>
          <w:color w:val="auto"/>
        </w:rPr>
      </w:pPr>
      <w:r>
        <w:rPr>
          <w:rFonts w:ascii="Times New Roman" w:cs="Times New Roman" w:eastAsia="Times New Roman" w:hAnsi="Times New Roman"/>
          <w:sz w:val="18"/>
          <w:szCs w:val="18"/>
          <w:color w:val="auto"/>
        </w:rPr>
        <w:t>Maintaining compliance is costly and time-consuming. We cannot be certain that we, or our present or future suppliers or third party manufacturers, will be able to comply with all FDA regulatory requirements, and potential consequences of noncompliance could have a material adverse impact on our business prospects.</w:t>
      </w:r>
    </w:p>
    <w:p>
      <w:pPr>
        <w:spacing w:after="0" w:line="199"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The FDA’s policies may change, and additional governmental regulations may be enacted that could delay, limit, or prevent regulatory approval of our products, that require that we implement additional compliance steps, or affect our ability to manufacture, market, or distribute our products after approval. For example, in March 2020, the U.S. Congress passed the Coronavirus Aid, Relief, and Economic Security Act, or CARES Act, which includes various provisions regarding FDA drug shortage and manufacturing volume reporting requirements, as well as provisions regarding supply chain security, such as risk management plan requirements, and the promotion of supply chain redundancy and domestic manufacturing. As part of the CARES Act implementation, the FDA issued a guidance on the reporting of the volume of drugs produced, which reporting will require additional administrative efforts by drug manufacturers.</w:t>
      </w:r>
    </w:p>
    <w:p>
      <w:pPr>
        <w:spacing w:after="0" w:line="1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Moreover, increased attention to the containment of healthcare costs in the U.S. and in foreign markets could result in new government regulations that could have a material adverse effect on our business. Our ability to commercialize future products will depend in part on the extent to which coverage and reimbursement for the products will be available from government and health administration authorities, private health insurers, and other third party payers. European Union member states and U.S. government and other third party payers increasingly are attempting to contain healthcare costs by consideration of new laws and regulations limiting both coverage and the level of reimbursement for new drugs. Our failure to obtain coverage, an adequate level of reimbursement, or acceptable prices for our future products could diminish any revenues we may be able to generate. We cannot predict the likelihood, nature or extent of adverse governmental regulation that might arise from future legislative or administrative action, either in the U.S. or abroad.</w:t>
      </w:r>
    </w:p>
    <w:p>
      <w:pPr>
        <w:spacing w:after="0" w:line="170"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Our activities also may be subject to state laws and regulations that affect our ability to develop and sell our products. We are also subject to numerous federal, state, and local laws relating to such matters as safe working conditions, clinical, laboratory, and manufacturing practices, environmental protection, fire hazard control, and disposal of hazardous or potentially hazardous substances. We may incur significant costs to comply with such laws and regulations now or in the future, and the failure to comply may have a material adverse impact on our business prospects.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The FDCA includes provisions designed to facilitate the development and expedite the review of drugs and biological products intended for treatment of serious or life-threatening conditions that demonstrate the potential to address unmet medical needs for such conditions or present a significant improvement over existing therapy. These provisions set forth a procedure for designation of a drug as a “fast track product”. The fast track designation applies to the combination of the product and specific indication for which it is being studied. A product designated as fast track is ordinarily eligible for additional programs for expediting development and review, such as increased FDA interactions and rolling submission of the application.</w:t>
      </w:r>
    </w:p>
    <w:p>
      <w:pPr>
        <w:spacing w:after="0" w:line="180" w:lineRule="exact"/>
        <w:rPr>
          <w:sz w:val="20"/>
          <w:szCs w:val="20"/>
          <w:color w:val="auto"/>
        </w:rPr>
      </w:pPr>
    </w:p>
    <w:p>
      <w:pPr>
        <w:ind w:right="200" w:firstLine="509"/>
        <w:spacing w:after="0" w:line="243" w:lineRule="auto"/>
        <w:rPr>
          <w:sz w:val="20"/>
          <w:szCs w:val="20"/>
          <w:color w:val="auto"/>
        </w:rPr>
      </w:pPr>
      <w:r>
        <w:rPr>
          <w:rFonts w:ascii="Times New Roman" w:cs="Times New Roman" w:eastAsia="Times New Roman" w:hAnsi="Times New Roman"/>
          <w:sz w:val="18"/>
          <w:szCs w:val="18"/>
          <w:color w:val="auto"/>
        </w:rPr>
        <w:t>Products that are intended to treat serious or life-threatening conditions and that provide a meaningful therapeutic benefit over existing treatments may also be eligible for accelerated approval. Drug approval under the accelerated approval regulations may be based on evidence of clinical effect on a surrogate endpoint that is reasonably likely to predict clinical benefit. A post-marketing clinical study will be required to verify clinical benefit, and other restrictions to assure safe use may be imposed. Failure to conduct required post-approval studies, or confirm a clinical benefit, will allow the FDA to withdraw the drug or biologic from the market on an expedited basis. Moreover, in recent years, the accelerated approval pathway has come under significant FDA and public scrutiny. Accordingly, the FDA may be more conservative in granting accelerated approval or, if granted, may be more apt to withdrawal approval if clinical benefit is not confirmed or the risk benefit assessment changes. There may also be legislative or regulatory changes to the accelerated approval pathway which may impact the ability to obtain or maintain any such approvals, if received.</w:t>
      </w:r>
    </w:p>
    <w:p>
      <w:pPr>
        <w:spacing w:after="0" w:line="19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A third potential designation that may be available is breakthrough therapy designation. A breakthrough therapy is a product that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Products designated as breakthrough therapies are eligible for intensive FDA guidance, a commitment from the FDA to involve senior managers and experienced review staff in a proactive collaborative and cross-disciplinary review, rolling submission of the application, and the facilitation of cross-disciplinary review.</w:t>
      </w:r>
    </w:p>
    <w:p>
      <w:pPr>
        <w:spacing w:after="0" w:line="180"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Finally, if a product is intended to treat a serious condition and, if approved, would provide significant improvements in the safety or effectiveness of the treatment, diagnosis, or prevention of the condition, the product may be eligible for priority review meaning that the FDA’s goal for the review of an NDA is shortened to six months (after a two month period during which the FDA decides whether the application is ready for filing) rather than the standard review of ten months from application acceptance. Currently, we have fast track designation for one of our clinical programs (zandelisib for patients with relapsed follicular lymphoma who have received at least two prior systemic therapies). If we should seek additional designations for any of our programs, we cannot be assured that it will be granted by the FDA. There is also no guarantee that we will be able to maintain any designation that we have received or may receive.</w:t>
      </w:r>
    </w:p>
    <w:p>
      <w:pPr>
        <w:spacing w:after="0" w:line="186"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Following the FDA's approval of an NDA, sponsors are required to list with the FDA each patent with claims that cover the applicant’s drug or a method of using the drug. These patents are published in the FDA’s list of Approved Drug Products with Therapeutic Equivalence Evaluations, commonly known as the Orange Book. Drugs listed in the Orange Book can be cited by potential competitors as a reference listed drug in support of a 505(b)(2) NDA or an Abbreviated New Drug Application, (“ANDA”). In an effort to clarify which patents must be listed in the Orange Book, in January 2021, Congress passed the Orange Book Transparency Act of 2020, which largely codifies the FDA's existing practices into the FDCA.</w:t>
      </w:r>
    </w:p>
    <w:p>
      <w:pPr>
        <w:spacing w:after="0" w:line="176"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An ANDA provides for marketing of a generic drug product that has the same active ingredients, dosage form, strength, route of administration, labeling, performance characteristics and intended use as a previously approved product. ANDA applicants generally must only scientifically demonstrate that their product is bioequivalent to, or performs in the same manner as, the innovator drug and can often be substituted by pharmacists under prescriptions written for the reference listed drug.</w:t>
      </w:r>
    </w:p>
    <w:p>
      <w:pPr>
        <w:spacing w:after="0" w:line="186"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Generally, the FDA may not approve an ANDA or 505(b)(2) NDA unless the reference listed drug’s Orange Book listed patents have expired and/or if the applicant certifies that it is not seeking approval for a patented method of use. The FDA may approve these applications, however, if the 505(b)(2) NDA or ANDA sponsor certifies that the Orange Book listed patents for the reference listed drug are invalid or will not be infringed upon by the manufacture, use or sale of the drug product for which the application is submitted. This later certification is called a paragraph IV certification. If the ANDA or 505(b)(2) NDA applicant has made a paragraph IV certification, following notice to the NDA and patent holders, the NDA and patent holders may then initiate a patent infringement lawsuit. If a lawsuit is brought, the FDA may not make an approval effective until the earlier of 30 months from the patent or application owner’s receipt of the notice of the paragraph IV certification, the expiration of the patent, when the infringement case concerning each such patent is favorably decided in the applicant’s favor or settled, or such shorter or longer period as may be ordered by a court.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Recently, Congress and U.S. federal administrative agencies have taken certain measures to increase drug competition and thus decrease drug prices, including by facilitating 505(b)(2) NDAs and ANDAs, and by introducing additional products into the U.S. market. For example, the FDA finalized a rule and a guidance to facilitate drug importation. Congress also passed a bill requiring sponsors of NDA products to provide sufficient quantities of drug product on commercially reasonable market-based terms to entities developing generic and 505(b)(2) products. This bill also included provisions on shared and individual REMS for generic drug products.</w:t>
      </w:r>
    </w:p>
    <w:p>
      <w:pPr>
        <w:spacing w:after="0" w:line="180"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7"/>
          <w:szCs w:val="17"/>
          <w:color w:val="auto"/>
        </w:rPr>
        <w:t>Under the Drug Price Competition and Patent Term Restoration Act of 1984, a sponsor may obtain marketing exclusivity for a specified period of time following FDA approval of certain drug applications. For example, new drugs containing new chemical entities that have not been previously approved by the FDA may obtain five years of exclusivity. 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paragraph IV certification. This exclusivity is not absolute. For instance, it will not delay the submission or approval of a full NDA; though, an applicant submitting a full NDA would be required to conduct or obtain a right of reference to all of the preclinical studies and adequate and well-controlled clinical trials necessary to demonstrate safety and efficacy.</w:t>
      </w:r>
    </w:p>
    <w:p>
      <w:pPr>
        <w:spacing w:after="0" w:line="18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Following NDA approval, a patent owner may obtain an extension of a single unexpired patent that has not previously been extended for a period equal to one-half the period of time elapsed between the filing of an IND and the filing of the corresponding NDA plus the period of time between the filing of the NDA and FDA approval, with a five year maximum patent extension. The total patent life of the product with the extension cannot exceed fourteen years from the product’s approval date. The period of patent extension may also be reduced for any time that the applicant did not act with due diligence. We cannot be certain that we will be able to take advantage of either the patent term extension or marketing exclusivity provisions of these laws or that, if received, they will adequately protect any approved products from competition.</w:t>
      </w:r>
    </w:p>
    <w:p>
      <w:pPr>
        <w:spacing w:after="0" w:line="199" w:lineRule="exact"/>
        <w:rPr>
          <w:sz w:val="20"/>
          <w:szCs w:val="20"/>
          <w:color w:val="auto"/>
        </w:rPr>
      </w:pPr>
    </w:p>
    <w:p>
      <w:pPr>
        <w:ind w:right="120" w:firstLine="509"/>
        <w:spacing w:after="0" w:line="243" w:lineRule="auto"/>
        <w:rPr>
          <w:sz w:val="20"/>
          <w:szCs w:val="20"/>
          <w:color w:val="auto"/>
        </w:rPr>
      </w:pPr>
      <w:r>
        <w:rPr>
          <w:rFonts w:ascii="Times New Roman" w:cs="Times New Roman" w:eastAsia="Times New Roman" w:hAnsi="Times New Roman"/>
          <w:sz w:val="18"/>
          <w:szCs w:val="18"/>
          <w:color w:val="auto"/>
        </w:rPr>
        <w:t>The Best Pharmaceuticals for Children Act (“BPCA”) was reauthorized and amended by the FDA Amendments Act of 2007 (“FDAAA”). The reauthorization of BPCA adds an additional six months of marketing exclusivity and patent protection to unexpired exclusivities and unexpired patents listed with the FDA for NDA applicants that conduct acceptable pediatric studies of new and currently marketed drug products for which pediatric information would be beneficial, as identified by the FDA in a Pediatric Written Request. The data do not need to show the product to be effective in the pediatric population studied; rather, if the clinical trial is deemed to fairly address the agreement between the sponsor and the FDA in the Pediatric Written Request, the additional protection is granted.</w:t>
      </w:r>
    </w:p>
    <w:p>
      <w:pPr>
        <w:spacing w:after="0" w:line="185"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The Pediatric Research Equity Act (“PREA”) also was reauthorized and amended by the FDAAA. The reauthorization of PREA requires that most applications for drugs and biologics include a pediatric assessment (unless waived or deferred) to ensure the drugs’ and biologics’ safety and effectiveness in children. Such pediatric assessment must contain data, gathered using appropriate formulations for each age group for which the assessment is required, that are adequate to assess the safety and effectiveness of the drug or the biological product for the claimed indications in all relevant pediatric subpopulations, and to support dosing and administration for each pediatric subpopulation for which the drug or the biological product is safe and effective. The pediatric assessments can only be deferred provided there is a timeline for the completion of such studies. The FDA may waive (partially or fully) the pediatric assessment requirement for several reasons, including if the applicant can demonstrate that reasonable attempts to produce a pediatric formulation necessary for that age group have failed. Orphan products are also exempt from the PREA requirements. The Food and Drug Administration Safety and Innovation Act signed into law on July 9, 2012, permanently renewed and strengthened BPCA and PREA.</w:t>
      </w:r>
    </w:p>
    <w:p>
      <w:pPr>
        <w:spacing w:after="0" w:line="183"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Under the FDA Reauthorization Act of 2017, sponsors submitting original applications on or after August 18, 2020, for product candidates intended for the treatment of adult cancer which are directed at molecular targets that the FDA determines to be substantially relevant to the growth or progression of pediatric cancer must submit, prior to marketing application submission, an initial Pediatric Study Plan for FDA agreement, and with the application, reports from molecularly targeted pediatric cancer clinical investigations designed to yield clinically meaningful pediatric study data, using appropriate pediatric formulations, to inform potential pediatric labeling. While orphan products are not exempt from this requirement, the FDA may grant full or partial waivers, or deferrals, for submission of data.</w:t>
      </w:r>
    </w:p>
    <w:p>
      <w:pPr>
        <w:spacing w:after="0" w:line="17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drugs intended to treat a “rare disease or condition,” which generally is a disease or condition that affects fewer than 200,000 individuals in the U.S. Additionally, sponsors must present a plausible hypothesis for clinical superiority to obtain orphan drug designation if there is a product already approved by the FDA that is considered by the FDA to be the same as the already approved product and is intended for the same indication. Orphan drug designation does not convey any advantage in, or shorten the duration of, the regulatory review and approval process. Orphan drug designation does, however, entitle a party to financial incentives such as opportunities for grant funding towards clinical study costs, tax advantages, and certain user-fee waivers. The tax advantages, however, were limited in the 2017 Tax Cuts and Jobs Act. If a product which has an orphan drug designation subsequently receives the first FDA approval for the indication for which it has such designation, the product is entitled to orphan exclusivity, i.e., the FDA may not approve any other applications to market the same drug for the same indication for a period of seven years, except in limited circumstances. If there is already a product approved by the FDA that is the same product for the same indication, the orphan designated product will only receive orphan drug exclusivity if the prior hypothesis of clinical superiority is demonstrated.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Foreign Regulatory Requirements</w:t>
      </w:r>
    </w:p>
    <w:p>
      <w:pPr>
        <w:spacing w:after="0" w:line="21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Outside the U.S., our ability to market our products will also be contingent upon receiving marketing authorizations from the appropriate regulatory authorities and compliance with applicable post-approval regulatory requirements. Although the specific requirements and restrictions vary from country to country, as a general matter, foreign regulatory systems include risks similar to those associated with the FDA's regulations, described above.</w:t>
      </w:r>
    </w:p>
    <w:p>
      <w:pPr>
        <w:spacing w:after="0" w:line="16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Under European Union regulatory systems, marketing authorizations may be submitted either under a centralized or a decentralized procedure (“DCP”). Under the centralized procedure, a single application to the EMA leads to an approval granted by the European Commission which permits the marketing of the product throughout the EU. The centralized procedure is mandatory for certain classes of medicinal products such as new substances for the treatment of oncology. In addition, all medicinal products developed by certain biotechnological means, and those developed for cancer and other specified diseases and disorders, must be authorized via the centralized procedure. The centralized procedure will apply to any of our products that are developed by means of a biotechnology process or are intended for treatment of cancer. The DCP is used for products that are not eligible or not required to be authorized by the centralized procedure. The centralized procedure is optional for certain other products. Since the exit of the UK from the European Union, the UK has been excluded from the centralized procedure. It will be necessary for applicants to make a separate application to the UK Medicines and Healthcare products Regulatory Agency ("MHRA") for a UK marketing authorization. There is currently no procedure for mutual EU/UK recognition of new medicinal products.</w:t>
      </w:r>
    </w:p>
    <w:p>
      <w:pPr>
        <w:spacing w:after="0" w:line="183" w:lineRule="exact"/>
        <w:rPr>
          <w:sz w:val="20"/>
          <w:szCs w:val="20"/>
          <w:color w:val="auto"/>
        </w:rPr>
      </w:pPr>
    </w:p>
    <w:p>
      <w:pPr>
        <w:jc w:val="both"/>
        <w:ind w:right="120" w:firstLine="509"/>
        <w:spacing w:after="0" w:line="280" w:lineRule="auto"/>
        <w:rPr>
          <w:sz w:val="20"/>
          <w:szCs w:val="20"/>
          <w:color w:val="auto"/>
        </w:rPr>
      </w:pPr>
      <w:r>
        <w:rPr>
          <w:rFonts w:ascii="Times New Roman" w:cs="Times New Roman" w:eastAsia="Times New Roman" w:hAnsi="Times New Roman"/>
          <w:sz w:val="17"/>
          <w:szCs w:val="17"/>
          <w:color w:val="auto"/>
        </w:rPr>
        <w:t>As with FDA approval, we may not be able to secure regulatory approvals in the EU in a timely manner, if at all. Additionally, as in the U.S., post-approval regulatory requirements, such as those regarding product manufacture, marketing, or distribution, would apply to any product that is approved in the EU, and failure to comply with such obligations could have a material adverse effect on our ability to successfully commercialize any product.</w:t>
      </w:r>
    </w:p>
    <w:p>
      <w:pPr>
        <w:spacing w:after="0" w:line="152"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7"/>
          <w:szCs w:val="17"/>
          <w:color w:val="auto"/>
        </w:rPr>
        <w:t>The conduct of clinical trials in the European Union is governed by the European Clinical Trials Regulation ("CTR"), which was implemented in June 2022. This Regulation governs how regulatory bodies in member states control clinical trials. No clinical trial may be started without a clinical trial authorization granted by the national competent authority and favorable ethics approval. Under the Regulation, clinical trial sponsors were able to use the Clinical Trials Information System (“CTIS”) since 31 January 2022, but are not obliged to use it immediately, in line with a three-year transition period.</w:t>
      </w:r>
    </w:p>
    <w:p>
      <w:pPr>
        <w:spacing w:after="0" w:line="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National regulators in the EU Member States and EEA countries could use the CTIS since January 31, 2022. With the exit of the UK from the European Union, the UK did not implement the CTR and the UK provisions implementing the previous law as set out in the previous Clinical Trial Directive (which fundamentally covered the same area as the CTR but was far less detailed and predated the CTIS) will continue to apply until amended by the UK.</w:t>
      </w:r>
    </w:p>
    <w:p>
      <w:pPr>
        <w:spacing w:after="0" w:line="1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Accordingly, there is a marked degree of change and uncertainty both in the regulation of clinical trials and in respect of marketing authorizations which we face for our products in the EU.</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15"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We do not have the facilities or capabilities to commercially manufacture any of our drug candidates. We are and expect to continue to be dependent on contract manufacturers for supplying our existing and future candidates for clinical trials and commercial scale manufacturing of our candidates in accordance with regulatory requirements, including cGMP. Contract manufacturers may utilize their own technology, technology developed by us, or technology acquired or licensed from third parties. FDA approval of the manufacturing procedures and the site will be required prior to commercial distribution.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15"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As of June 30, 2022, we had 102 employees, 21 of whom hold a Ph.D. or M.D. degree. Other personnel resources are used from time to time as consultants or third party service organizations on an as-needed basis. All members of our senior management team have prior experience with pharmaceutical, biotechnology or medical product companies. We believe that we have been successful in attracting skilled and experienced personnel, but there can be no assurance that we will be able to attract and retain the individuals needed.</w:t>
      </w:r>
    </w:p>
    <w:p>
      <w:pPr>
        <w:spacing w:after="0" w:line="176"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Our people are a critical component in our continued success. We strive to create a workplace of choice to attract, retain and develop top talent to achieve our strategic goals. We strive to maximize the potential of our human capital resources by creating a respectful, rewarding, and inclusive work environment that enables our employees to further our mission. We adhere to a philosophy that includes, among other things, commitments to create ongoing job opportunities, pay fair wages, and protect worker health and safety.</w:t>
      </w:r>
    </w:p>
    <w:p>
      <w:pPr>
        <w:spacing w:after="0" w:line="176"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We invest in our workforce by offering competitive salaries and benefits. We endeavor to foster a strong sense of ownership by offering stock options under our equity incentive plan. We also offer comprehensive and locally relevant benefits for all eligible employees.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120" w:firstLine="509"/>
        <w:spacing w:after="0" w:line="295" w:lineRule="auto"/>
        <w:rPr>
          <w:sz w:val="20"/>
          <w:szCs w:val="20"/>
          <w:color w:val="auto"/>
        </w:rPr>
      </w:pPr>
      <w:r>
        <w:rPr>
          <w:rFonts w:ascii="Times New Roman" w:cs="Times New Roman" w:eastAsia="Times New Roman" w:hAnsi="Times New Roman"/>
          <w:sz w:val="17"/>
          <w:szCs w:val="17"/>
          <w:color w:val="auto"/>
        </w:rPr>
        <w:t>We focus on our culture through a combination of regular training for employees at all levels, policies and practices in support of these goals, and a variety of internal and community-based events and actions that reinforce the power of our values and the unique characteristics of each of our employees.</w:t>
      </w:r>
    </w:p>
    <w:p>
      <w:pPr>
        <w:spacing w:after="0" w:line="140" w:lineRule="exact"/>
        <w:rPr>
          <w:sz w:val="20"/>
          <w:szCs w:val="20"/>
          <w:color w:val="auto"/>
        </w:rPr>
      </w:pPr>
    </w:p>
    <w:p>
      <w:pPr>
        <w:ind w:right="640" w:firstLine="509"/>
        <w:spacing w:after="0" w:line="312" w:lineRule="auto"/>
        <w:rPr>
          <w:sz w:val="20"/>
          <w:szCs w:val="20"/>
          <w:color w:val="auto"/>
        </w:rPr>
      </w:pPr>
      <w:r>
        <w:rPr>
          <w:rFonts w:ascii="Times New Roman" w:cs="Times New Roman" w:eastAsia="Times New Roman" w:hAnsi="Times New Roman"/>
          <w:sz w:val="17"/>
          <w:szCs w:val="17"/>
          <w:color w:val="auto"/>
        </w:rPr>
        <w:t>None of our employees are represented by a labor union or covered by collective bargaining agreements. We have never experienced a work stoppage and believe our relationship with our employees is good. Management considers its relations with employees to generally be positive.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15"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with or furnished to the Securities and Exchange Commission pursuant to Section 13(a) or 15(d) of the Securities Exchange Act of 1934, as amended, are available free of charge through our website at www.meipharma.com as soon as reasonably practicable after they are electronically filed with, or furnished to, the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i w:val="1"/>
          <w:iCs w:val="1"/>
          <w:color w:val="auto"/>
        </w:rPr>
        <w:t>Investment in our securities involves a high degree of risk. You should consider carefully the risks described below, together with other information in this Annual Report and other public filings, before making investment decisions regarding our securities. If any of the following events actually occur, our business, operating results, prospects or financial condition could be materially and adversely affected. This could cause the trading price of our common stock to decline and you may lose all or part of your investment. Moreover, the risks described below are not the only ones that we face. Additional risks not presently known to us or that we currently deem immaterial may also affect our business, operating results, prospects or financial condition.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common stock. Set forth below is a summary of the principal risks we face:</w:t>
      </w:r>
    </w:p>
    <w:p>
      <w:pPr>
        <w:spacing w:after="0" w:line="54" w:lineRule="exact"/>
        <w:rPr>
          <w:sz w:val="20"/>
          <w:szCs w:val="20"/>
          <w:color w:val="auto"/>
        </w:rPr>
      </w:pPr>
    </w:p>
    <w:p>
      <w:pPr>
        <w:ind w:left="1020" w:right="60" w:hanging="504"/>
        <w:spacing w:after="0" w:line="24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in compliance with the Nasdaq continued listing requirements. If we are unable to comply with the continued listing requirements of the Nasdaq Capital Market, our common stock could be delisted, which could affect our common stock's market price and liquidity and reduce our ability to raise capital;</w:t>
      </w:r>
    </w:p>
    <w:p>
      <w:pPr>
        <w:spacing w:after="0" w:line="1" w:lineRule="exact"/>
        <w:rPr>
          <w:rFonts w:ascii="Times New Roman" w:cs="Times New Roman" w:eastAsia="Times New Roman" w:hAnsi="Times New Roman"/>
          <w:sz w:val="18"/>
          <w:szCs w:val="18"/>
          <w:color w:val="auto"/>
        </w:rPr>
      </w:pPr>
    </w:p>
    <w:p>
      <w:pPr>
        <w:ind w:left="1020" w:right="400" w:hanging="504"/>
        <w:spacing w:after="0" w:line="23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could be materially adversely affected by any negative impact on the global economy and capital markets resulting from the conflict in Ukraine or any other geographical tensions;</w:t>
      </w:r>
    </w:p>
    <w:p>
      <w:pPr>
        <w:spacing w:after="0" w:line="1" w:lineRule="exact"/>
        <w:rPr>
          <w:rFonts w:ascii="Times New Roman" w:cs="Times New Roman" w:eastAsia="Times New Roman" w:hAnsi="Times New Roman"/>
          <w:sz w:val="18"/>
          <w:szCs w:val="18"/>
          <w:color w:val="auto"/>
        </w:rPr>
      </w:pPr>
    </w:p>
    <w:p>
      <w:pPr>
        <w:ind w:left="1020" w:right="440" w:hanging="504"/>
        <w:spacing w:after="0" w:line="23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military conflict between Russia and Ukraine has affected our planned sites in Ukraine and Russia for the COASTAL trial. Failure to replace those sites with new sites or with subjects at existing sites could have a materially detrimental effect on recruitment timelines;</w:t>
      </w:r>
    </w:p>
    <w:p>
      <w:pPr>
        <w:spacing w:after="0" w:line="1" w:lineRule="exact"/>
        <w:rPr>
          <w:rFonts w:ascii="Times New Roman" w:cs="Times New Roman" w:eastAsia="Times New Roman" w:hAnsi="Times New Roman"/>
          <w:sz w:val="18"/>
          <w:szCs w:val="18"/>
          <w:color w:val="auto"/>
        </w:rPr>
      </w:pPr>
    </w:p>
    <w:p>
      <w:pPr>
        <w:ind w:left="1020" w:hanging="504"/>
        <w:spacing w:after="0" w:line="23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funds to progress the clinical trial programs for our drug candidates, to commercialize our drug candidates and to develop new compounds. The actual amount of funds we will need will be determined by a number of factors, some of which are beyond our control;</w:t>
      </w:r>
    </w:p>
    <w:p>
      <w:pPr>
        <w:spacing w:after="0" w:line="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late-stage clinical research and development stage company and are likely to incur operating losses for the foreseeable future;</w:t>
      </w:r>
    </w:p>
    <w:p>
      <w:pPr>
        <w:spacing w:after="0" w:line="7" w:lineRule="exact"/>
        <w:rPr>
          <w:rFonts w:ascii="Times New Roman" w:cs="Times New Roman" w:eastAsia="Times New Roman" w:hAnsi="Times New Roman"/>
          <w:sz w:val="18"/>
          <w:szCs w:val="18"/>
          <w:color w:val="auto"/>
        </w:rPr>
      </w:pPr>
    </w:p>
    <w:p>
      <w:pPr>
        <w:ind w:left="1020" w:right="40" w:hanging="504"/>
        <w:spacing w:after="0" w:line="235"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completed clinical trials are not necessarily predictive of future results, and our current drug candidates may not have favorable results in later studies or trials;</w:t>
      </w:r>
    </w:p>
    <w:p>
      <w:pPr>
        <w:ind w:left="1020" w:right="260" w:hanging="504"/>
        <w:spacing w:after="0" w:line="24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or other pandemic, epidemic or outbreak of an infectious disease may materially and adversely impact our business, including our preclinical studies and clinical trials;</w:t>
      </w:r>
    </w:p>
    <w:p>
      <w:pPr>
        <w:ind w:left="1020" w:hanging="504"/>
        <w:spacing w:after="0" w:line="23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drug candidate manufacturing or formulation may result in additional costs or delay;</w:t>
      </w:r>
    </w:p>
    <w:p>
      <w:pPr>
        <w:ind w:left="1020" w:right="120" w:hanging="504"/>
        <w:spacing w:after="0" w:line="23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KKC or other parties with whom we collaborate on the development and commercialization of our drug candidates do not satisfy their obligations, do not otherwise pursue development or commercialization of our drug candidates or if they terminate their agreements with us, we may not be able to develop or commercialize our drug candidates;</w:t>
      </w:r>
    </w:p>
    <w:p>
      <w:pPr>
        <w:spacing w:after="0" w:line="1" w:lineRule="exact"/>
        <w:rPr>
          <w:rFonts w:ascii="Times New Roman" w:cs="Times New Roman" w:eastAsia="Times New Roman" w:hAnsi="Times New Roman"/>
          <w:sz w:val="18"/>
          <w:szCs w:val="18"/>
          <w:color w:val="auto"/>
        </w:rPr>
      </w:pPr>
    </w:p>
    <w:p>
      <w:pPr>
        <w:ind w:left="1020" w:hanging="504"/>
        <w:spacing w:after="0" w:line="23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obligations to Presage in connection with our license of voruciclib, and we may become subject to significant obligations in connection with future licenses we obtain, which could adversely affect the overall profitability of any products we may seek to commercialize, and such licenses of drug candidates, the development and commercialization for which we are solely responsible, may never become profitable;</w:t>
      </w:r>
    </w:p>
    <w:p>
      <w:pPr>
        <w:spacing w:after="0" w:line="1" w:lineRule="exact"/>
        <w:rPr>
          <w:rFonts w:ascii="Times New Roman" w:cs="Times New Roman" w:eastAsia="Times New Roman" w:hAnsi="Times New Roman"/>
          <w:sz w:val="18"/>
          <w:szCs w:val="18"/>
          <w:color w:val="auto"/>
        </w:rPr>
      </w:pPr>
    </w:p>
    <w:p>
      <w:pPr>
        <w:ind w:left="1020" w:right="40" w:hanging="504"/>
        <w:spacing w:after="0" w:line="24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may include entry into additional collaborative or license agreements. We may not be able to enter into collaborative or license agreements or may not be able to negotiate commercially acceptable terms for these agreements;</w:t>
      </w:r>
    </w:p>
    <w:p>
      <w:pPr>
        <w:ind w:left="1020" w:right="20" w:hanging="504"/>
        <w:spacing w:after="0" w:line="24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approval by regulatory authorities of our drug candidates for commercial use may be delayed, limited or prevented, any of which would adversely affect our ability to generate operating revenues;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ind w:left="1020" w:right="480" w:hanging="504"/>
        <w:spacing w:after="0" w:line="24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determine that our drug candidates have undesirable side effects that could delay or prevent their regulatory approval or commercialization;</w:t>
      </w:r>
    </w:p>
    <w:p>
      <w:pPr>
        <w:ind w:left="1020" w:right="140" w:hanging="504"/>
        <w:spacing w:after="0" w:line="24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enrolment of patients in clinical trials, our completion of clinical trials and receipt of necessary regulatory approvals could be delayed or prevented;</w:t>
      </w:r>
    </w:p>
    <w:p>
      <w:pPr>
        <w:ind w:left="1020" w:right="180" w:hanging="504"/>
        <w:spacing w:after="0" w:line="24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funding for the FDA and other government agencies or future government shutdowns could cause delays in the submission and regulatory review of marketing applications, which could negatively impact our business or prospects;</w:t>
      </w:r>
    </w:p>
    <w:p>
      <w:pPr>
        <w:ind w:left="1020" w:hanging="504"/>
        <w:spacing w:after="0" w:line="23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regulatory approval in foreign jurisdictions would prevent us from marketing our products internationally;</w:t>
      </w:r>
    </w:p>
    <w:p>
      <w:pPr>
        <w:ind w:left="1020" w:hanging="504"/>
        <w:spacing w:after="0" w:line="23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designation granted by the FDA for any of our product candidates may not lead to a faster development or regulatory review or approval process, and does not increase the likelihood that our product candidates will receive marketing approval. We may also not be able to obtain or maintain any such designation;</w:t>
      </w:r>
    </w:p>
    <w:p>
      <w:pPr>
        <w:ind w:left="1020" w:hanging="504"/>
        <w:spacing w:after="0" w:line="23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orphan drug designations we receive may not confer marketing exclusivity or other benefits;</w:t>
      </w:r>
    </w:p>
    <w:p>
      <w:pPr>
        <w:ind w:left="1020" w:right="400" w:hanging="504"/>
        <w:spacing w:after="0" w:line="24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or our licensees receive regulatory approval to commercialize our drug candidates, our ability to generate revenues from any resulting products will be subject to a variety of risks, many of which are out of our control;</w:t>
      </w:r>
    </w:p>
    <w:p>
      <w:pPr>
        <w:ind w:left="1020" w:right="420" w:hanging="504"/>
        <w:spacing w:after="0" w:line="23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products we develop become subject to unfavorable pricing regulations, third party reimbursement practices or healthcare reform initiatives, our ability to successfully commercialize our products will be impaired;</w:t>
      </w: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are subject to ongoing government regulation both before and after regulatory approval;</w:t>
      </w:r>
    </w:p>
    <w:p>
      <w:pPr>
        <w:spacing w:after="0" w:line="7"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establish the contractual arrangements necessary to develop, market and distribute our drug candidates;</w:t>
      </w:r>
    </w:p>
    <w:p>
      <w:pPr>
        <w:ind w:left="1020" w:right="240" w:hanging="504"/>
        <w:spacing w:after="0" w:line="24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opportunity will be reduced or eliminated if competitors develop and market products that are more effective, have fewer side effects or are less expensive than our drug candidates;</w:t>
      </w:r>
    </w:p>
    <w:p>
      <w:pPr>
        <w:ind w:left="1020" w:hanging="504"/>
        <w:spacing w:after="0" w:line="23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face competition sooner than anticipated;</w:t>
      </w:r>
    </w:p>
    <w:p>
      <w:pPr>
        <w:ind w:left="1020" w:right="220" w:hanging="504"/>
        <w:spacing w:after="0" w:line="24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and pre-clinical studies. If those parties do not successfully carry out their contractual duties or meet expected deadlines, our drug candidates may not advance in a timely manner or at all;</w:t>
      </w:r>
    </w:p>
    <w:p>
      <w:pPr>
        <w:ind w:left="1020" w:right="140" w:hanging="504"/>
        <w:spacing w:after="0" w:line="23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depend on third party suppliers and contract manufacturers for the manufacturing of our drug candidates and have no direct control over the cost and timing of manufacturing our drug candidates; neither do we have control over the scheduling and availability of manufacturing sites at our contract manufacturers. We depend on third party suppliers for supply of starting materials and on contract manufacturers to manufacture each of our compounds. Global supply chain constraints may affect the availability and cost of these starting materials, which could potentially impact our clinical development timelines and cost of goods. Increases in the cost of manufacturing our drug candidates or delays in manufacturing would increase our costs of conducting clinical trials and could adversely affect our future profitability;</w:t>
      </w:r>
    </w:p>
    <w:p>
      <w:pPr>
        <w:spacing w:after="0" w:line="5"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acquisitions or licenses from third parties to expand our pipeline of drug candidates;</w:t>
      </w:r>
    </w:p>
    <w:p>
      <w:pPr>
        <w:ind w:left="1020" w:right="140" w:hanging="504"/>
        <w:spacing w:after="0" w:line="24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is dependent, in part, on obtaining and maintaining patent protection and preserving trade secrets, which cannot be guaranteed;</w:t>
      </w:r>
    </w:p>
    <w:p>
      <w:pPr>
        <w:ind w:left="1020" w:right="120" w:hanging="504"/>
        <w:spacing w:after="0" w:line="23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 companies that we infringe on their proprietary technology may result in liability for damages or stop our development and commercialization efforts;</w:t>
      </w:r>
    </w:p>
    <w:p>
      <w:pPr>
        <w:ind w:left="1020" w:right="60" w:hanging="504"/>
        <w:spacing w:after="0" w:line="24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by third parties asserting that our employees or we have misappropriated their intellectual property, or claiming ownership of what we regard as our own intellectual property;</w:t>
      </w:r>
    </w:p>
    <w:p>
      <w:pPr>
        <w:ind w:left="1020" w:hanging="504"/>
        <w:spacing w:after="0" w:line="234"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substantial costs stemming from our defense against third party intellectual property infringement claims;</w:t>
      </w: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 risk of product liability claims and claims may exceed our insurance limits;</w:t>
      </w:r>
    </w:p>
    <w:p>
      <w:pPr>
        <w:spacing w:after="0" w:line="7" w:lineRule="exact"/>
        <w:rPr>
          <w:rFonts w:ascii="Times New Roman" w:cs="Times New Roman" w:eastAsia="Times New Roman" w:hAnsi="Times New Roman"/>
          <w:sz w:val="18"/>
          <w:szCs w:val="18"/>
          <w:color w:val="auto"/>
        </w:rPr>
      </w:pPr>
    </w:p>
    <w:p>
      <w:pPr>
        <w:ind w:left="1020" w:right="20" w:hanging="504"/>
        <w:spacing w:after="0" w:line="23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commercial partners, principal investigators, or clinical contract research organizations ("CROs") may engage in misconduct or other improper activities, including noncompliance with regulatory standards and requirements, which could have a material adverse effect on our business;</w:t>
      </w: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would suffer in the event of system failures;</w:t>
      </w:r>
    </w:p>
    <w:p>
      <w:pPr>
        <w:spacing w:after="0" w:line="7"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will be seriously jeopardized if we are unable to retain and attract key employees;</w:t>
      </w:r>
    </w:p>
    <w:p>
      <w:pPr>
        <w:ind w:left="1020" w:right="440" w:hanging="504"/>
        <w:spacing w:after="0" w:line="24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U.S. and global economic conditions may pose challenges to our business strategy, which relies on funding from the financial markets or collaborators;</w:t>
      </w:r>
    </w:p>
    <w:p>
      <w:pPr>
        <w:ind w:left="1020" w:right="300" w:hanging="504"/>
        <w:spacing w:after="0" w:line="23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and regulations relating to public companies may be costly and impact our ability to attract and retain directors and executive officers;</w:t>
      </w:r>
    </w:p>
    <w:p>
      <w:pPr>
        <w:ind w:left="1020" w:right="6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identified a material weakness in our internal control over financial reporting and determined that our disclosure controls and procedures were ineffective as of June 30, 2021. As a result, we restated our financial statements as of and for the years ended June 30, 2021 and 2020. Relevant unaudited interim financial information for each of the quarterly periods ended September 30, 2020 through December 31, 2021 was also restated. As of June 30, 2022, we are in the process of remediating this material weakness. In the future, we may identify additional material weaknesses or otherwise fail to maintain an effective system of internal control over financial reporting or adequate disclosure controls and procedures, which may result in material errors in our financial statements or cause us to fail to meet our periodic reporting obligations.</w:t>
      </w:r>
    </w:p>
    <w:p>
      <w:pPr>
        <w:spacing w:after="0" w:line="5" w:lineRule="exact"/>
        <w:rPr>
          <w:rFonts w:ascii="Times New Roman" w:cs="Times New Roman" w:eastAsia="Times New Roman" w:hAnsi="Times New Roman"/>
          <w:sz w:val="18"/>
          <w:szCs w:val="18"/>
          <w:color w:val="auto"/>
        </w:rPr>
      </w:pPr>
    </w:p>
    <w:p>
      <w:pPr>
        <w:ind w:left="1020" w:right="240" w:hanging="504"/>
        <w:spacing w:after="0" w:line="244"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other disruptions could compromise our information and expose us to liability, which would cause our business and reputation to suffer;</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ind w:left="1020" w:right="140" w:hanging="504"/>
        <w:spacing w:after="0" w:line="24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environmental, health and safety laws and regulations, we could become subject to fines or penalties or incur costs that could harm our business;</w:t>
      </w:r>
    </w:p>
    <w:p>
      <w:pPr>
        <w:ind w:left="1020" w:right="620" w:hanging="504"/>
        <w:spacing w:after="0" w:line="24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third parties upon whom we depend may be adversely affected by natural disasters and our business continuity and disaster recovery plans may not adequately protect us from a serious disaster;</w:t>
      </w:r>
    </w:p>
    <w:p>
      <w:pPr>
        <w:ind w:left="1020" w:hanging="504"/>
        <w:spacing w:after="0" w:line="234"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deductibility of net operating losses could adversely affect our business and financial condition;</w:t>
      </w:r>
    </w:p>
    <w:p>
      <w:pPr>
        <w:ind w:left="1020" w:right="120" w:hanging="504"/>
        <w:spacing w:after="0" w:line="24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shares of our common stock has been and may continue to be highly volatile and could decline in value and we may incur significant costs from class action litigation;</w:t>
      </w:r>
    </w:p>
    <w:p>
      <w:pPr>
        <w:ind w:left="1020" w:right="80" w:hanging="504"/>
        <w:spacing w:after="0" w:line="234"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including common stock issued upon exercise of outstanding warrants or options, may depress the market price of our common stock and cause stockholders to experience dilution;</w:t>
      </w:r>
    </w:p>
    <w:p>
      <w:pPr>
        <w:ind w:left="1020" w:right="140" w:hanging="504"/>
        <w:spacing w:after="0" w:line="24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intend to pay, and have not paid, any cash dividends on our shares of common stock, our stockholders will not be able to receive a return on their shares unless the value of our common stock appreciates and they sell their shares;</w:t>
      </w:r>
    </w:p>
    <w:p>
      <w:pPr>
        <w:ind w:left="1020" w:hanging="504"/>
        <w:spacing w:after="0" w:line="234"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over the use of the net proceeds from any exercise of outstanding warrants and options;</w:t>
      </w: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authorized to issue blank check preferred stock, which could adversely affect the holders of our common stock;</w:t>
      </w:r>
    </w:p>
    <w:p>
      <w:pPr>
        <w:spacing w:after="0" w:line="7" w:lineRule="exact"/>
        <w:rPr>
          <w:rFonts w:ascii="Times New Roman" w:cs="Times New Roman" w:eastAsia="Times New Roman" w:hAnsi="Times New Roman"/>
          <w:sz w:val="18"/>
          <w:szCs w:val="18"/>
          <w:color w:val="auto"/>
        </w:rPr>
      </w:pPr>
    </w:p>
    <w:p>
      <w:pPr>
        <w:ind w:left="1020" w:hanging="504"/>
        <w:spacing w:after="0" w:line="235"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contained in our amended and restated certificate of incorporation and third amended and restated bylaws, as well as provisions of Delaware law, could impair a takeover attempt;</w:t>
      </w:r>
    </w:p>
    <w:p>
      <w:pPr>
        <w:ind w:left="1020" w:right="10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 amended and restated bylaws require,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 and</w:t>
      </w:r>
    </w:p>
    <w:p>
      <w:pPr>
        <w:spacing w:after="0" w:line="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may sell shares of their stock, and these sales could adversely affect our stock price.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Development Stage</w:t>
      </w:r>
    </w:p>
    <w:p>
      <w:pPr>
        <w:spacing w:after="0" w:line="21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not in compliance with the Nasdaq continued listing requirements. If we are unable to comply with the continued listing requirements of the Nasdaq Capital Market, our common stock could be delisted, which could affect our common stock's market price and liquidity and reduce our ability to raise capital.</w:t>
      </w:r>
    </w:p>
    <w:p>
      <w:pPr>
        <w:spacing w:after="0" w:line="80" w:lineRule="exact"/>
        <w:rPr>
          <w:sz w:val="20"/>
          <w:szCs w:val="20"/>
          <w:color w:val="auto"/>
        </w:rPr>
      </w:pPr>
    </w:p>
    <w:p>
      <w:pPr>
        <w:jc w:val="both"/>
        <w:ind w:right="300" w:firstLine="509"/>
        <w:spacing w:after="0" w:line="250" w:lineRule="auto"/>
        <w:rPr>
          <w:sz w:val="20"/>
          <w:szCs w:val="20"/>
          <w:color w:val="auto"/>
        </w:rPr>
      </w:pPr>
      <w:r>
        <w:rPr>
          <w:rFonts w:ascii="Times New Roman" w:cs="Times New Roman" w:eastAsia="Times New Roman" w:hAnsi="Times New Roman"/>
          <w:sz w:val="18"/>
          <w:szCs w:val="18"/>
          <w:color w:val="auto"/>
        </w:rPr>
        <w:t>On May 9, 2022, we received a letter from the Nasdaq Stock Market, or Nasdaq, indicating that we have failed to comply with the minimum bid price requirement, which requires that companies listed on The Nasdaq Capital Market maintain a minimum closing bid price of at least $1.00 per share (“Bid Price Requirement”). The notification of noncompliance had no immediate effect on the listing or trading of our common stock.</w:t>
      </w:r>
    </w:p>
    <w:p>
      <w:pPr>
        <w:spacing w:after="0" w:line="81"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In accordance with Nasdaq rules, we have a 180-calendar day grace period, or until November 7, 2022 (the “Compliance Date”), to regain compliance with the Bid Price Requirement. The continued listing standard would have been met if our common stock had a minimum closing bid price of at least $1.00 per share for a minimum of ten consecutive business days during the 180-calendar day grace period. If we do not regain compliance with the Bid Price Requirement by the Compliance Date, Nasdaq may grant an additional 180 calendar day compliance period, if we meet the continued listing requirement for value of publicly held shares and all other initial listing standards for The Nasdaq Capital Market and provide written notice of our intention to cure the deficiency during the second 180 calendar day compliance period by effecting a reverse stock split, if necessary.</w:t>
      </w:r>
    </w:p>
    <w:p>
      <w:pPr>
        <w:spacing w:after="0" w:line="91" w:lineRule="exact"/>
        <w:rPr>
          <w:sz w:val="20"/>
          <w:szCs w:val="20"/>
          <w:color w:val="auto"/>
        </w:rPr>
      </w:pPr>
    </w:p>
    <w:p>
      <w:pPr>
        <w:ind w:right="460" w:firstLine="509"/>
        <w:spacing w:after="0" w:line="295" w:lineRule="auto"/>
        <w:rPr>
          <w:sz w:val="20"/>
          <w:szCs w:val="20"/>
          <w:color w:val="auto"/>
        </w:rPr>
      </w:pPr>
      <w:r>
        <w:rPr>
          <w:rFonts w:ascii="Times New Roman" w:cs="Times New Roman" w:eastAsia="Times New Roman" w:hAnsi="Times New Roman"/>
          <w:sz w:val="17"/>
          <w:szCs w:val="17"/>
          <w:color w:val="auto"/>
        </w:rPr>
        <w:t>If we do not regain compliance within the allotted compliance period(s), including any extensions that may be granted by Nasdaq, Nasdaq will provide notice that our common stock will be subject to delisting. At that time, we may appeal the Nasdaq staff's determination to a Hearings Panel.</w:t>
      </w:r>
    </w:p>
    <w:p>
      <w:pPr>
        <w:spacing w:after="0" w:line="32"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We intend to monitor the closing bid price of our common stock and consider our available options to resolve the noncompliance with the Bid Price Requirement. There can be no assurance that we will be able to regain compliance with the Bid Price Requirement or will otherwise be in compliance with other Nasdaq listing criteria. If our securities are delisted, it could be more difficult to buy or sell our securities and to obtain accurate quotations, and the price of our securities could suffer a material decline. Delisting could also impair the liquidity of our common stock and could harm our ability to raise capital through alternative financing sources on terms acceptable to us, or at all, and may result in potential loss of confidence by investors, employees, and fewer business development opportunities.</w:t>
      </w:r>
    </w:p>
    <w:p>
      <w:pPr>
        <w:spacing w:after="0" w:line="174"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could be materially adversely affected by any negative impact on the global economy and capital markets resulting from the conflict in Ukraine or any other geopolitical tensions.</w:t>
      </w:r>
    </w:p>
    <w:p>
      <w:pPr>
        <w:spacing w:after="0" w:line="69"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start of the military conflict between Russia and Ukraine. In February 2022, a full-scale military invasion of Ukraine by Russian troops was reported.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8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Additionally, the military conflict in Ukraine has led to sanctions and other penalties being levied by the U.S.,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spacing w:after="0" w:line="68"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extent and duration of the military action, sanctions and resulting market disruptions are impossible to predict, but could be substantial. Any such market disruptions may also magnify the impact of other risks described in this Annual Report.</w:t>
      </w:r>
    </w:p>
    <w:p>
      <w:pPr>
        <w:spacing w:after="0" w:line="15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military conflict between Russia and Ukraine has affected our planned sites in Ukraine/Russia for the COASTAL trial. Failure to replace those sites with new sites or with subjects at existing sites could have a materially detrimental effect on recruitment timelines.</w:t>
      </w:r>
    </w:p>
    <w:p>
      <w:pPr>
        <w:spacing w:after="0" w:line="37"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As a result of the ongoing military conflict between Russia and Ukraine, our planned sites in Ukraine and Russia for the COASTAL trial have been suspended and no enrollment is planned in these two countries. Study sites in Ukraine and Russia will need to be replaced with new sites or with subjects at existing sites in other countries. Failure to find a replacement for those sites or subjects could have a detrimental effect on recruitment timelines. It is possible this conflict may further impact enrollment at study sites in neighboring countries (e.g. Poland, Georgia, and Hungary).</w:t>
      </w:r>
    </w:p>
    <w:p>
      <w:pPr>
        <w:spacing w:after="0" w:line="17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funds to progress the clinical trial program for our drug candidates, and to develop new compounds. The actual amount of funds we will need will be determined by a number of factors, some of which are beyond our control.</w:t>
      </w:r>
    </w:p>
    <w:p>
      <w:pPr>
        <w:spacing w:after="0" w:line="37" w:lineRule="exact"/>
        <w:rPr>
          <w:sz w:val="20"/>
          <w:szCs w:val="20"/>
          <w:color w:val="auto"/>
        </w:rPr>
      </w:pPr>
    </w:p>
    <w:p>
      <w:pPr>
        <w:jc w:val="both"/>
        <w:ind w:right="200" w:firstLine="509"/>
        <w:spacing w:after="0" w:line="258" w:lineRule="auto"/>
        <w:rPr>
          <w:sz w:val="20"/>
          <w:szCs w:val="20"/>
          <w:color w:val="auto"/>
        </w:rPr>
      </w:pPr>
      <w:r>
        <w:rPr>
          <w:rFonts w:ascii="Times New Roman" w:cs="Times New Roman" w:eastAsia="Times New Roman" w:hAnsi="Times New Roman"/>
          <w:sz w:val="18"/>
          <w:szCs w:val="18"/>
          <w:color w:val="auto"/>
        </w:rPr>
        <w:t>We will need substantial additional funds to progress the clinical trial program for our drug candidates and to develop any additional compounds. The factors that will determine the actual amount of funds that we will need to progress the clinical trial programs may include, but are not limited to, the following:</w:t>
      </w:r>
    </w:p>
    <w:p>
      <w:pPr>
        <w:spacing w:after="0" w:line="61" w:lineRule="exact"/>
        <w:rPr>
          <w:sz w:val="20"/>
          <w:szCs w:val="20"/>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therapeutic indications for use being developed;</w:t>
      </w:r>
    </w:p>
    <w:p>
      <w:pPr>
        <w:spacing w:after="0" w:line="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trial endpoint required to achieve regulatory approval;</w:t>
      </w:r>
    </w:p>
    <w:p>
      <w:pPr>
        <w:spacing w:after="0" w:line="7"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to achieve regulatory approval;</w:t>
      </w:r>
    </w:p>
    <w:p>
      <w:pPr>
        <w:ind w:left="1020" w:hanging="504"/>
        <w:spacing w:after="0" w:line="23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ind w:left="1020" w:hanging="504"/>
        <w:spacing w:after="0" w:line="23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patients;</w:t>
      </w: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participate in the trials and the rate that they are recruited;</w:t>
      </w:r>
    </w:p>
    <w:p>
      <w:pPr>
        <w:spacing w:after="0" w:line="7"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treatment cycles patients complete while they are enrolled in the trials;</w:t>
      </w:r>
    </w:p>
    <w:p>
      <w:pPr>
        <w:ind w:left="1020" w:hanging="504"/>
        <w:spacing w:after="0" w:line="23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potential difficulties encountered in manufacturing sufficient drug product for the trials; and</w:t>
      </w: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w:t>
      </w:r>
    </w:p>
    <w:p>
      <w:pPr>
        <w:spacing w:after="0" w:line="97"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We have been opportunistic in our efforts to obtain cash, and we expect to continue to evaluate various funding alternatives from time to time. If we obtain additional funding, it may adversely affect the market price of our common stock and may be dilutive to existing stockholders. If we are unable to obtain additional funds on favorable terms or at all, we may be required to cease or reduce our operations. We may sell additional shares of common stock, and securities exercisable for or convertible into shares of our common stock, or we may seek to obtain debt financing, in each case, to satisfy our capital and operating needs; however, such transactions will be subject to market conditions and there can be no assurance any such transactions will be completed.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clinical research and development stage company and are likely to incur operating losses for the foreseeable future.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 should consider our prospects in light of the risks and difficulties frequently encountered by clinical research stage and developmental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We have incurred net losses of $374.2 million from our inception through June 30, 2022, including a net loss of $75.2 million for the year</w:t>
      </w:r>
    </w:p>
    <w:p>
      <w:pPr>
        <w:spacing w:after="0"/>
        <w:rPr>
          <w:sz w:val="20"/>
          <w:szCs w:val="20"/>
          <w:color w:val="auto"/>
        </w:rPr>
      </w:pPr>
      <w:r>
        <w:rPr>
          <w:rFonts w:ascii="Times New Roman" w:cs="Times New Roman" w:eastAsia="Times New Roman" w:hAnsi="Times New Roman"/>
          <w:sz w:val="18"/>
          <w:szCs w:val="18"/>
          <w:color w:val="auto"/>
        </w:rPr>
        <w:t>ended June 30, 2022 (excluding $20.8 million of non-cash gain resulting from a change in fair value of our warrant liability), a net loss of $59.4 million for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ended June 30, 2021 (excluding $18.1 million of non-cash gain resulting from a change in fair value of our warrant liability), and a net loss of</w:t>
      </w:r>
    </w:p>
    <w:p>
      <w:pPr>
        <w:spacing w:after="0" w:line="234" w:lineRule="auto"/>
        <w:rPr>
          <w:sz w:val="20"/>
          <w:szCs w:val="20"/>
          <w:color w:val="auto"/>
        </w:rPr>
      </w:pPr>
      <w:r>
        <w:rPr>
          <w:rFonts w:ascii="Times New Roman" w:cs="Times New Roman" w:eastAsia="Times New Roman" w:hAnsi="Times New Roman"/>
          <w:sz w:val="18"/>
          <w:szCs w:val="18"/>
          <w:color w:val="auto"/>
        </w:rPr>
        <w:t>$24.3 million for the year ended June 30, 2020 (excluding $22.9 million of non-cash loss resulting from a change in the fair value of our warrant liability).</w:t>
      </w:r>
    </w:p>
    <w:p>
      <w:pPr>
        <w:spacing w:after="0" w:line="235" w:lineRule="auto"/>
        <w:rPr>
          <w:sz w:val="20"/>
          <w:szCs w:val="20"/>
          <w:color w:val="auto"/>
        </w:rPr>
      </w:pPr>
      <w:r>
        <w:rPr>
          <w:rFonts w:ascii="Times New Roman" w:cs="Times New Roman" w:eastAsia="Times New Roman" w:hAnsi="Times New Roman"/>
          <w:sz w:val="18"/>
          <w:szCs w:val="18"/>
          <w:color w:val="auto"/>
        </w:rPr>
        <w:t>We anticipate that we will incur operating losses and negative operating cash flow for the foreseeable future. We have not yet commercialized any drug</w:t>
      </w:r>
    </w:p>
    <w:p>
      <w:pPr>
        <w:spacing w:after="0"/>
        <w:rPr>
          <w:sz w:val="20"/>
          <w:szCs w:val="20"/>
          <w:color w:val="auto"/>
        </w:rPr>
      </w:pPr>
      <w:r>
        <w:rPr>
          <w:rFonts w:ascii="Times New Roman" w:cs="Times New Roman" w:eastAsia="Times New Roman" w:hAnsi="Times New Roman"/>
          <w:sz w:val="18"/>
          <w:szCs w:val="18"/>
          <w:color w:val="auto"/>
        </w:rPr>
        <w:t>candidates and cannot be sure that we will ever be able to do so, or that we may ever become profitable.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Clinical Trials</w:t>
      </w:r>
    </w:p>
    <w:p>
      <w:pPr>
        <w:spacing w:after="0" w:line="21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completed clinical trials are not necessarily predictive of future results, and our current drug candidates may not have favorable results in later studies or trials.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Pre-clinical studies and Phase 1 and Phase 2 clinical trials are an expensive and uncertain process that may take years to complete. Pre-clinical studies and Phase 1 and Phase 2 clinical trials are usually not primarily designed to test the efficacy of a drug candidate, but rather to test safety, to study pharmacokinetics and pharmacodynamics, and to understand the drug candidate’s side effects at various doses and schedules. Favorable results in early studies or trials, as well as small studies or trials, may not be repeated in later studies or trials, including ongoing pre-clinical studies, large-scale Phase 3 clinical trials, or other studies intended as registration trials, and our drug candidates in later-stage trials may fail to show desired safety and efficacy despite having progressed through earlier-stage trials. Interim and top-line results, as well as any results from post-hoc data analyses, may also not be predictive of the final results of a clinical study and/or may not support product approval. The FDA also generally does not accept post-hoc data analyses as support for regulatory approval.</w:t>
      </w:r>
    </w:p>
    <w:p>
      <w:pPr>
        <w:spacing w:after="0" w:line="76"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Comparisons of results across different studies should be viewed with caution as such comparisons are limited by a number of factors, including differences in study designs and populations. Such comparisons also will not provide a sufficient basis for any comparative claims following product approval. Unfavorable results from ongoing pre-clinical studies or clinical trials could result in delays, modifications or abandonment of ongoing or future clinical trials, or abandonment of a clinical program. Pre-clinical and clinical results are frequently susceptible to varying interpretations that may delay, limit or prevent regulatory approvals or commercialization. Negative or inconclusive results or adverse medical events during a clinical trial could cause a clinical trial to be delayed, repeated or terminated, or a clinical program to be abandoned.</w:t>
      </w:r>
    </w:p>
    <w:p>
      <w:pPr>
        <w:spacing w:after="0" w:line="66" w:lineRule="exact"/>
        <w:rPr>
          <w:sz w:val="20"/>
          <w:szCs w:val="20"/>
          <w:color w:val="auto"/>
        </w:rPr>
      </w:pPr>
    </w:p>
    <w:p>
      <w:pPr>
        <w:ind w:right="54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The outbreak of the novel coronavirus disease, COVID-19, or other pandemic, epidemic or outbreak of an infectious disease may materially and adversely impact our business, including our preclinical studies and clinical trials.</w:t>
      </w:r>
    </w:p>
    <w:p>
      <w:pPr>
        <w:spacing w:after="0" w:line="64"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In December 2019, the novel coronavirus disease, COVID-19, was identified in Wuhan, China. This virus has been declared a pandemic and has spread to multiple global regions.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COVID-19 pandemic, “shelter in place” orders and other public health guidance measures were implemented across much of the U.S., Europe and Asia, including in the locations of our offices, clinical trial sites, key vendors and partners. Although some of such orders have been lifted in certain geographic locations, such measures may be, and, in some cases, have been re-implemented due an increase in the number of positive cases of COVID-19 or severity thereof, including cases attributable to new variants. These restrictions, as well as government restrictions on travel and a lack of public confidence in the safety of air travel and the use of public transportation have reduced and may continue to reduce the willingness of patients to participate in our clinical trials and the ability of regulatory officials and clinical monitors to perform visits of our clinical trial locations. As a result, our clinical development program timelines have been and may continue to be negatively affected by COVID-19, which could materially and adversely affect our business, financial condition and results of operations. Despite the vaccination of a large portion of the U.S. adult population, a significant portion of the global adult population remains unvaccinated. The ineffectiveness of vaccines or public perception thereof, including in combating new variants of the virus, could lead to increased governmental restrictions and changes in public behavior adversely affecting the economy.</w:t>
      </w:r>
    </w:p>
    <w:p>
      <w:pPr>
        <w:spacing w:after="0" w:line="84"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As a result of the ongoing COVID-19 pandemic, or similar pandemics, and related “shelter in place” orders and other public health guidance measures, we have experienced disruptions that have materially and adversely impacted our clinical trials, including delays in patient enrollment. We may in the future experience disruptions that could materially and adversely impact our clinical trials, business, financial condition and results of operations, including:</w:t>
      </w:r>
    </w:p>
    <w:p>
      <w:pPr>
        <w:spacing w:after="0" w:line="68" w:lineRule="exact"/>
        <w:rPr>
          <w:sz w:val="20"/>
          <w:szCs w:val="20"/>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delays or difficulties in enrolling patients in our clinical trials, including the potential need to suspend or delay enrollment;</w:t>
      </w:r>
    </w:p>
    <w:p>
      <w:pPr>
        <w:spacing w:after="0" w:line="27" w:lineRule="exact"/>
        <w:rPr>
          <w:rFonts w:ascii="Times New Roman" w:cs="Times New Roman" w:eastAsia="Times New Roman" w:hAnsi="Times New Roman"/>
          <w:sz w:val="18"/>
          <w:szCs w:val="18"/>
          <w:color w:val="auto"/>
        </w:rPr>
      </w:pPr>
    </w:p>
    <w:p>
      <w:pPr>
        <w:ind w:left="1020" w:right="40" w:hanging="504"/>
        <w:spacing w:after="0" w:line="235"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initiating or expanding clinical trials, including delays or difficulties with clinical site initiation and recruiting clinical site investigators and clinical site staff;</w:t>
      </w:r>
    </w:p>
    <w:p>
      <w:pPr>
        <w:ind w:left="1020" w:right="400" w:hanging="504"/>
        <w:spacing w:after="0" w:line="24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rates of patients withdrawing from our clinical trials following enrollment as a result of contracting COVID-19 or other health conditions, due to social distancing measures or state law requirements, or being forced to quarantine;</w:t>
      </w:r>
    </w:p>
    <w:p>
      <w:pPr>
        <w:ind w:left="1020" w:right="520" w:hanging="504"/>
        <w:spacing w:after="0" w:line="234"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or the closure of clinical trial sites, including the diversion of hospitals serving as our clinical trial sites and hospital staff supporting the conduct of our clinical trials;</w:t>
      </w: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modify, suspend, postpone, or terminate clinical trials;</w:t>
      </w:r>
    </w:p>
    <w:p>
      <w:pPr>
        <w:spacing w:after="0" w:line="7" w:lineRule="exact"/>
        <w:rPr>
          <w:rFonts w:ascii="Times New Roman" w:cs="Times New Roman" w:eastAsia="Times New Roman" w:hAnsi="Times New Roman"/>
          <w:sz w:val="18"/>
          <w:szCs w:val="18"/>
          <w:color w:val="auto"/>
        </w:rPr>
      </w:pPr>
    </w:p>
    <w:p>
      <w:pPr>
        <w:ind w:left="1020" w:right="60" w:hanging="504"/>
        <w:spacing w:after="0" w:line="235"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alternative study procedures, including alternative methods for drug candidate delivery and administration, alternative study sites, remote study procedures, and alternative methods to obtain subject informed consent;</w:t>
      </w: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noncompliance or deviations from the protocol or regulatory requirements due to necessary safety or public health measures;</w:t>
      </w:r>
    </w:p>
    <w:p>
      <w:pPr>
        <w:spacing w:after="0" w:line="7" w:lineRule="exact"/>
        <w:rPr>
          <w:rFonts w:ascii="Times New Roman" w:cs="Times New Roman" w:eastAsia="Times New Roman" w:hAnsi="Times New Roman"/>
          <w:sz w:val="18"/>
          <w:szCs w:val="18"/>
          <w:color w:val="auto"/>
        </w:rPr>
      </w:pPr>
    </w:p>
    <w:p>
      <w:pPr>
        <w:jc w:val="both"/>
        <w:ind w:left="1020" w:right="80" w:hanging="504"/>
        <w:spacing w:after="0" w:line="239"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1" w:lineRule="exact"/>
        <w:rPr>
          <w:rFonts w:ascii="Times New Roman" w:cs="Times New Roman" w:eastAsia="Times New Roman" w:hAnsi="Times New Roman"/>
          <w:sz w:val="18"/>
          <w:szCs w:val="18"/>
          <w:color w:val="auto"/>
        </w:rPr>
      </w:pPr>
    </w:p>
    <w:p>
      <w:pPr>
        <w:ind w:left="1020" w:right="60" w:hanging="504"/>
        <w:spacing w:after="0" w:line="244"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 and may limit our ability to interact with agency representatives or obtain inspections or assessments that are necessary for approval;</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ind w:left="1020" w:right="180" w:hanging="504"/>
        <w:spacing w:after="0" w:line="24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preclinical experiments and investigational new drug application-enabling studies due to restrictions of on-site staff and unforeseen circumstances at contract research organizations and vendors;</w:t>
      </w:r>
    </w:p>
    <w:p>
      <w:pPr>
        <w:ind w:left="1020" w:hanging="504"/>
        <w:spacing w:after="0" w:line="239"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and other clinical or pre-clinical study materials due to staffing shortages, production slowdowns or stoppages, disruptions in delivery systems, material shortages, and order prioritization of other companies' products, such as under the Defense Production Act;</w:t>
      </w:r>
    </w:p>
    <w:p>
      <w:pPr>
        <w:spacing w:after="0" w:line="1" w:lineRule="exact"/>
        <w:rPr>
          <w:rFonts w:ascii="Times New Roman" w:cs="Times New Roman" w:eastAsia="Times New Roman" w:hAnsi="Times New Roman"/>
          <w:sz w:val="18"/>
          <w:szCs w:val="18"/>
          <w:color w:val="auto"/>
        </w:rPr>
      </w:pPr>
    </w:p>
    <w:p>
      <w:pPr>
        <w:ind w:left="1020" w:right="440" w:hanging="504"/>
        <w:spacing w:after="0" w:line="24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deviations from manufacturing requirements, that may adversely affect our product candidates or that may require FDA pre-approval or notification;</w:t>
      </w:r>
    </w:p>
    <w:p>
      <w:pPr>
        <w:ind w:left="1020" w:right="460" w:hanging="504"/>
        <w:spacing w:after="0" w:line="234"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recruit and hire key personnel due to our inability to meet with candidates because of travel restrictions and “shelter in place” orders;</w:t>
      </w:r>
    </w:p>
    <w:p>
      <w:pPr>
        <w:ind w:left="1020" w:right="380" w:hanging="504"/>
        <w:spacing w:after="0" w:line="256" w:lineRule="auto"/>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discovery and clinical activities.</w:t>
      </w:r>
    </w:p>
    <w:p>
      <w:pPr>
        <w:spacing w:after="0" w:line="83"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foregoing may require that we consult with relevant review and ethics committees, IRBs, and the FDA. The foregoing may also impact the integrity of our study data. The effects of the ongoing COVID-19 pandemic may also increase the need for clinical trial patient monitoring and regulatory reporting of adverse effects.</w:t>
      </w:r>
    </w:p>
    <w:p>
      <w:pPr>
        <w:spacing w:after="0" w:line="6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ongoing COVID-19 pandemic and the governmental response continues to rapidly evolve. In light of the ongoing COVID-19 pandemic, the FDA has issued a number of guidance documents, including guidance related to the potential effect of the ongoing COVID-19 pandemic on many clinical trial programs. The FDA also issued guidance on additional steps that are required to maintain GMPs during the pandemic, in addition to a number of other COVID-19 related guidance.</w:t>
      </w:r>
    </w:p>
    <w:p>
      <w:pPr>
        <w:spacing w:after="0" w:line="81" w:lineRule="exact"/>
        <w:rPr>
          <w:sz w:val="20"/>
          <w:szCs w:val="20"/>
          <w:color w:val="auto"/>
        </w:rPr>
      </w:pPr>
    </w:p>
    <w:p>
      <w:pPr>
        <w:jc w:val="both"/>
        <w:ind w:right="120" w:firstLine="509"/>
        <w:spacing w:after="0" w:line="272" w:lineRule="auto"/>
        <w:rPr>
          <w:sz w:val="20"/>
          <w:szCs w:val="20"/>
          <w:color w:val="auto"/>
        </w:rPr>
      </w:pPr>
      <w:r>
        <w:rPr>
          <w:rFonts w:ascii="Times New Roman" w:cs="Times New Roman" w:eastAsia="Times New Roman" w:hAnsi="Times New Roman"/>
          <w:sz w:val="17"/>
          <w:szCs w:val="17"/>
          <w:color w:val="auto"/>
        </w:rPr>
        <w:t>The extent to which the outbreak impacts our business, preclinical studies and clinical trials will depend on future developments, which are highly uncertain and cannot be predicted with confidence. If we or any of the third parties with whom we engage were to experience shutdowns or other business disruptions, our ability to conduct our business in the manner and on the timelines presently planned could be materially and negatively impacted.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drug candidate manufacturing or formulation may result in additional costs or delay.</w:t>
      </w:r>
    </w:p>
    <w:p>
      <w:pPr>
        <w:spacing w:after="0" w:line="107"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As drug candidates are developed through preclinical studies to late-stage clinical trials toward approval and commercialization, it is common that various aspects of the development program, such as manufacturing methods, manufacturing sites, formulation, and methods of delivery are altered along the way in an effort to optimize processes and results. Any of these changes could cause our drug candidates to perform differently and affect the results of planned clinical trials or other future clinical trials conducted with the altered materials. Such changes may also require additional studies to demonstrate the comparability of the product candidate using prior processes, formulation, or manufacturers, FDA notification, or FDA approval. Any of the foregoing could limit our future revenues and growth.</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Licensing and Collaboration Agreements</w:t>
      </w:r>
    </w:p>
    <w:p>
      <w:pPr>
        <w:spacing w:after="0" w:line="21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KKC or other parties with whom we collaborate on the development and commercialization of our drug candidates do not satisfy their obligations, do not otherwise pursue development or commercialization of our drug candidates or if they terminate their agreements with us, we may not be able to develop or commercialize our drug candidates.</w:t>
      </w:r>
    </w:p>
    <w:p>
      <w:pPr>
        <w:spacing w:after="0" w:line="59"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In April 2020, we entered into an agreement with KKC to collaborate on the development, manufacturing, and commercialization of zandelisib globally. The agreement substantially retains and consolidates the terms of the 2018 agreement with KKC to develop and commercialize in Japan. We may enter into additional agreements to collaborate with other third parties on the development, manufacturing or commercialization of our drug candidates in the future. In connection with these agreements, we may grant certain rights regarding the use of our patents and technology. The counterparties may be responsible for development, manufacturing or commercialization of our drug candidates and the costs related thereto.</w:t>
      </w:r>
    </w:p>
    <w:p>
      <w:pPr>
        <w:spacing w:after="0" w:line="85"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Our counterparties might not fulfill all of their obligations to us. In addition, the agreements with our counterparties provide the counterparties with substantial control of the development and commercialization of our drug candidates and discretion whether to devote resources to the full pursuit thereof or otherwise fail to fully pursue the development and commercialization of our drug candidates. Even without breaching their obligations to us, our counterparties may not devote adequate resources or otherwise pursue the development and commercialization of our drug candidates, whether as a result of their assessment of the likelihood of success of such efforts, for financial reasons or otherwise. Our ability to receive revenue from our drug candidates may be dependent upon their efforts. If they fail to devote adequate resources or otherwise do not successfully develop, commercialize or manufacture our drug candidates, we may not receive the future milestone payments or royalties provided for in the agreement. In addition, under certain circumstances, including our failure to satisfy our obligations under the agreement, the counterparty may have the right to terminate the agreement.</w:t>
      </w:r>
    </w:p>
    <w:p>
      <w:pPr>
        <w:spacing w:after="0" w:line="76" w:lineRule="exact"/>
        <w:rPr>
          <w:sz w:val="20"/>
          <w:szCs w:val="20"/>
          <w:color w:val="auto"/>
        </w:rPr>
      </w:pPr>
    </w:p>
    <w:p>
      <w:pPr>
        <w:ind w:right="640" w:firstLine="509"/>
        <w:spacing w:after="0" w:line="266" w:lineRule="auto"/>
        <w:rPr>
          <w:sz w:val="20"/>
          <w:szCs w:val="20"/>
          <w:color w:val="auto"/>
        </w:rPr>
      </w:pPr>
      <w:r>
        <w:rPr>
          <w:rFonts w:ascii="Times New Roman" w:cs="Times New Roman" w:eastAsia="Times New Roman" w:hAnsi="Times New Roman"/>
          <w:sz w:val="18"/>
          <w:szCs w:val="18"/>
          <w:color w:val="auto"/>
        </w:rPr>
        <w:t>We could also become involved in disputes with our counterparties, which could lead to delays in or termination of the agreement and time-consuming and expensive litigation or arbitration.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If our counterparties are unwilling or unable to fulfill their obligations or otherwise fail to fully pursue the development and commercialization of our drug candidates or if the agreement is terminated, we may lack sufficient resources to develop and commercialize our drug candidates on our own and may be unable to reach agreement with a suitable alternative collaborator. The failure to develop and commercialize our drug candidates would have a material adverse effect on our business, operating results, prospects and financial condition.</w:t>
      </w:r>
    </w:p>
    <w:p>
      <w:pPr>
        <w:spacing w:after="0" w:line="172"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are subject to significant obligations to Presage in connection with our license of voruciclib, and we may become subject to significant obligations in connection with future licenses we obtain, which could adversely affect the overall profitability of any products we may seek to commercialize, and such licenses of drug candidates, the development and commercialization for which we are solely responsible, may never become profitable.</w:t>
      </w:r>
    </w:p>
    <w:p>
      <w:pPr>
        <w:spacing w:after="0" w:line="43"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In September 2017, we entered into a license agreement with Presage (“the Presage License Agreement”). Under the terms of the agreement, Presage granted us exclusive worldwide rights to develop, manufacture and commercialize voruciclib, a clinical-stage, oral and selective CDK inhibitor, and related compounds. In exchange, we paid Presage $2.9 million and are obligated for additional potential payments of up to $181 million upon the achievement of certain development, regulatory and commercial milestones. We will also pay mid-single-digit tiered royalties on the net sales of any product successfully developed pursuant to such agreement. We may enter into similar agreements in the future that require us to make significant payments upon obtainment of development, regulatory or commercial milestones. We may be obligated to make milestone or royalty payments when we do not have the cash on hand to make these payments or have available cash for our other development efforts. These milestone and royalty payments could adversely affect the overall profitability for us of any products that we may seek to commercialize. In addition, if we fail to comply with our obligations under the license agreement, the counterparty may have the right to terminate the agreement. In such a case, we would lose our rights to the intellectual property covered by the license agreement and we would not be able to develop, manufacture or commercialize our drug candidates.</w:t>
      </w:r>
    </w:p>
    <w:p>
      <w:pPr>
        <w:spacing w:after="0" w:line="75"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The profitability of our license agreement with Presage depends on the successful development, regulatory approval and commercialization of voruciclib. We are solely responsible for the development and commercialization of voruciclib, including the related costs. Drug development is a long, expensive and uncertain process and delay or failure can occur at any stage of our clinical trials. We cannot be certain that we will ever receive regulatory approval for voruciclib or that it will be successfully commercialized, even if approved.</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strategy may include entry into additional collaborative or license agreements. We may not be able to enter into collaborative or license agreements or may not be able to negotiate commercially acceptable terms for these agreements.</w:t>
      </w:r>
    </w:p>
    <w:p>
      <w:pPr>
        <w:spacing w:after="0" w:line="3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current business strategy may include the entry into additional collaborative or license agreements for the development and commercialization of our drug and drug candidates. The negotiation and consummation of these types of agreements typically involve simultaneous discussions with multiple potential collaborators or licensees and require significant time and resources. In addition, in attracting the attention of pharmaceutical and biotechnology company collaborators or licensees, we compete with numerous other third parties with product opportunities as well as the collaborators’ or licensees’ own internal product opportunities. We may not be able to consummate collaborative or license agreements, or we may not be able to negotiate commercially acceptable terms for these agreements.</w:t>
      </w:r>
    </w:p>
    <w:p>
      <w:pPr>
        <w:spacing w:after="0" w:line="91"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If we do enter into such arrangements, we could be dependent upon the subsequent success of these other parties in performing their respective responsibilities and the cooperation of our partners. Our collaborators may not cooperate with us or perform their obligations under our agreements with them. We cannot control the amount and timing of our collaborators’ resources that will be devoted to researching our product candidates pursuant to our collaborative agreements with them or whether our collaborators will comply with the applicable regulatory requirements. Our collaborators may choose to pursue existing or alternative technologies in preference to those being developed in collaboration with us.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agreements with any collaborators or licensees we may work with in the future, we may rely significantly on them to, among other activities:</w:t>
      </w:r>
    </w:p>
    <w:p>
      <w:pPr>
        <w:spacing w:after="0" w:line="117" w:lineRule="exact"/>
        <w:rPr>
          <w:sz w:val="20"/>
          <w:szCs w:val="20"/>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research and development activities with us;</w:t>
      </w:r>
    </w:p>
    <w:p>
      <w:pPr>
        <w:spacing w:after="0" w:line="15" w:lineRule="exact"/>
        <w:rPr>
          <w:rFonts w:ascii="Times New Roman" w:cs="Times New Roman" w:eastAsia="Times New Roman" w:hAnsi="Times New Roman"/>
          <w:sz w:val="18"/>
          <w:szCs w:val="18"/>
          <w:color w:val="auto"/>
        </w:rPr>
      </w:pPr>
    </w:p>
    <w:p>
      <w:pPr>
        <w:ind w:left="1020" w:hanging="504"/>
        <w:spacing w:after="0" w:line="234"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us fees upon the achievement of milestones; and</w:t>
      </w: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for or with us any commercial products that result from our collaborations.</w:t>
      </w:r>
    </w:p>
    <w:p>
      <w:pPr>
        <w:spacing w:after="0" w:line="97" w:lineRule="exact"/>
        <w:rPr>
          <w:sz w:val="20"/>
          <w:szCs w:val="20"/>
          <w:color w:val="auto"/>
        </w:rPr>
      </w:pPr>
    </w:p>
    <w:p>
      <w:pPr>
        <w:ind w:right="140" w:firstLine="509"/>
        <w:spacing w:after="0" w:line="245" w:lineRule="auto"/>
        <w:rPr>
          <w:sz w:val="20"/>
          <w:szCs w:val="20"/>
          <w:color w:val="auto"/>
        </w:rPr>
      </w:pPr>
      <w:r>
        <w:rPr>
          <w:rFonts w:ascii="Times New Roman" w:cs="Times New Roman" w:eastAsia="Times New Roman" w:hAnsi="Times New Roman"/>
          <w:sz w:val="18"/>
          <w:szCs w:val="18"/>
          <w:color w:val="auto"/>
        </w:rPr>
        <w:t>If we do not consummate collaborative or license agreements, we may use our financial resources more rapidly on our drug development efforts, continue to defer certain development activities or forego the exploitation of certain geographic territories, any of which could have a material adverse effect on our business prospects. Further, we may not be successful in overseeing any such collaborative arrangements. If we fail to establish and maintain necessary collaborative or license relationships, our business prospects could suffer.</w:t>
      </w:r>
    </w:p>
    <w:p>
      <w:pPr>
        <w:spacing w:after="0" w:line="85"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drug candidates in the most efficient manner, or at all. If any collaborations we might enter into do not result in the successful development and commercialization of drug candidates or if one of our collaborators subsequently terminates its agreement with us, we may not receive any future research funding or milestone or royalty payments under the collaboration. If we do not receive the funding we expect under the agreements, our development of our drug candidates could be delayed, and we may need additional resources to develop our drug candidates and our product platform. All of the risks relating to product development, regulatory approval and commercialization described in this Annual Report also apply to the activities of our</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collaborators. Moreover, should our collaborators not comply with the applicable regulatory or legal requirements, we and/or they, may be subject to regulatory enforcement action.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FDA and Non-U.S. Regulation</w:t>
      </w:r>
    </w:p>
    <w:p>
      <w:pPr>
        <w:spacing w:after="0" w:line="22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Final approval by regulatory authorities of our drug candidates for commercial use may be delayed, limited or prevented, any of which would adversely affect our ability to generate operating revenues.</w:t>
      </w:r>
    </w:p>
    <w:p>
      <w:pPr>
        <w:spacing w:after="0" w:line="51"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7"/>
          <w:szCs w:val="17"/>
          <w:color w:val="auto"/>
        </w:rPr>
        <w:t>We will not generate any operating revenue until we, a licensee, or a potential collaborator successfully commercialize one of our drug candidates. Currently, we have drug candidates at different stages of development, and each will need to successfully complete certain clinical studies and obtain regulatory approval before potential commercialization. We may experience unforeseen events during product development that may substantially delay or prevent product approval. For example, the FDA may order the temporary, or permanent, discontinuation of a clinical trial at any time if it believes that the clinical trial either is not being conducted in accordance with FDA requirements or presents an unacceptable risk to the clinical trial patients. An IRB may also require the clinical trial at the site to be halted, either temporarily or permanently, for failure to comply with the IRB’s requirements or if the trial poses an unexpected serious harm to clinical trial patients. The FDA or an IRB may also impose conditions on the conduct of a clinical trial. Clinical trial sponsors may also choose to discontinue clinical trials as a result of risks to clinical trial patients, a lack of favorable results, or changing business priorities.</w:t>
      </w:r>
    </w:p>
    <w:p>
      <w:pPr>
        <w:spacing w:after="0" w:line="79"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pre-clinical and clinical development, manufacturing, labeling, packaging, storage, recordkeeping, export, marketing and distribution, and other possible activities relating to our drug candidates are subject to extensive regulation by the FDA and other regulatory agencies. Failure to comply with applicable regulatory requirements may, either before or after product approval, subject us to administrative or judicially imposed sanctions that may negatively impact the approval of one or more of our drug candidates or otherwise negatively impact our business.</w:t>
      </w:r>
    </w:p>
    <w:p>
      <w:pPr>
        <w:spacing w:after="0" w:line="68"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7"/>
          <w:szCs w:val="17"/>
          <w:color w:val="auto"/>
        </w:rPr>
        <w:t>Neither collaborators, licensees nor we are permitted to market a drug candidate in the U.S. until the particular drug candidate is approved for marketing by the FDA. Specific pre-clinical data, chemistry, manufacturing and controls data, a proposed clinical trial protocol and other information must be submitted to the FDA as part of an IND application, and clinical trials may commence only after the IND application becomes effective. To market a new drug in the U.S., we must submit to the FDA and obtain FDA approval of an NDA. An NDA must be supported by extensive clinical and pre-clinical data, as well as extensive information regarding chemistry, manufacturing and controls to demonstrate the safety and effectiveness of the drug candidate.</w:t>
      </w:r>
    </w:p>
    <w:p>
      <w:pPr>
        <w:spacing w:after="0" w:line="71"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Obtaining approval of an NDA can be a lengthy, expensive and uncertain process. Regulatory approval of an NDA is not guaranteed. The number and types of pre-clinical studies and clinical trials that will be required for FDA approval varies depending on the drug candidate, the disease or condition that the drug candidate is designed to target and the regulations applicable to any particular drug candidate. The FDA may also require additional studies or data after a trial has begun or more studies or data than we otherwise have anticipated. Despite the time and expense exerted in pre-clinical and clinical studies, failure can occur at any stage, and we could encounter problems that delay our product candidate development, trigger additional requirements from the FDA, or that cause us to abandon clinical trials or to repeat or perform additional pre-clinical studies and clinical trials. The FDA can delay, limit or deny approval of a drug candidate for many reasons, and product candidate development programs may be delayed or may not be successful for many reasons including but not limited to, the following:</w:t>
      </w:r>
    </w:p>
    <w:p>
      <w:pPr>
        <w:spacing w:after="0" w:line="76" w:lineRule="exact"/>
        <w:rPr>
          <w:sz w:val="20"/>
          <w:szCs w:val="20"/>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IRBs may not authorize us to commence, amend, or continue clinical studies;</w:t>
      </w:r>
    </w:p>
    <w:p>
      <w:pPr>
        <w:spacing w:after="0" w:line="15" w:lineRule="exact"/>
        <w:rPr>
          <w:rFonts w:ascii="Times New Roman" w:cs="Times New Roman" w:eastAsia="Times New Roman" w:hAnsi="Times New Roman"/>
          <w:sz w:val="18"/>
          <w:szCs w:val="18"/>
          <w:color w:val="auto"/>
        </w:rPr>
      </w:pPr>
    </w:p>
    <w:p>
      <w:pPr>
        <w:ind w:left="1020" w:right="20" w:hanging="504"/>
        <w:spacing w:after="0" w:line="24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amend our clinical studies in such a way that it compromises the study data or makes the ongoing conduct of the study is impracticable;</w:t>
      </w:r>
    </w:p>
    <w:p>
      <w:pPr>
        <w:ind w:left="1020" w:right="600" w:hanging="504"/>
        <w:spacing w:after="0" w:line="24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deviations from the clinical study protocol that may result in the need to drop patients from the study, increase the study enrollment size or duration, or that may compromise the reliability of the study and the resulting data;</w:t>
      </w:r>
    </w:p>
    <w:p>
      <w:pPr>
        <w:ind w:left="1020" w:right="160" w:hanging="504"/>
        <w:spacing w:after="0" w:line="239"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enroll a sufficient number of qualified patients for clinical trials in a timely manner or at all, patients may drop out of our clinical trials or be lost to follow-up at a higher rate than we anticipate, patients may not follow the clinical trial procedures, or the number of patients required for clinical trials may be larger than we anticipate;</w:t>
      </w:r>
    </w:p>
    <w:p>
      <w:pPr>
        <w:spacing w:after="0" w:line="1"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ind w:left="1020" w:right="560" w:hanging="504"/>
        <w:spacing w:after="0" w:line="234"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including as a result of global trade policies;</w:t>
      </w: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drug candidate may not be deemed adequately safe or effective for an intended use;</w:t>
      </w:r>
    </w:p>
    <w:p>
      <w:pPr>
        <w:spacing w:after="0" w:line="7"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find the data from pre-clinical studies and clinical trials sufficient;</w:t>
      </w:r>
    </w:p>
    <w:p>
      <w:pPr>
        <w:ind w:left="1020" w:right="680" w:hanging="504"/>
        <w:spacing w:after="0" w:line="24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ind w:left="1020" w:hanging="504"/>
        <w:spacing w:after="0" w:line="23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chosen endpoints;</w:t>
      </w:r>
    </w:p>
    <w:p>
      <w:pPr>
        <w:ind w:left="1020" w:hanging="504"/>
        <w:spacing w:after="0" w:line="234"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our non-primary endpoints may contradict the results of our primary endpoints, raising questions regarding product efficacy;</w:t>
      </w:r>
    </w:p>
    <w:p>
      <w:pPr>
        <w:ind w:left="1020" w:right="60" w:hanging="504"/>
        <w:spacing w:after="0" w:line="258"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proposed product doses. For example, for certain of our product candidates, the FDA has recommended additional dose finding work and, at a 2022 advisory committee meeting on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ind w:left="1020" w:right="320"/>
        <w:spacing w:after="0" w:line="246" w:lineRule="auto"/>
        <w:rPr>
          <w:sz w:val="20"/>
          <w:szCs w:val="20"/>
          <w:color w:val="auto"/>
        </w:rPr>
      </w:pPr>
      <w:r>
        <w:rPr>
          <w:rFonts w:ascii="Times New Roman" w:cs="Times New Roman" w:eastAsia="Times New Roman" w:hAnsi="Times New Roman"/>
          <w:sz w:val="18"/>
          <w:szCs w:val="18"/>
          <w:color w:val="58595B"/>
        </w:rPr>
        <w:t>P13K inhibitors</w:t>
      </w:r>
      <w:r>
        <w:rPr>
          <w:rFonts w:ascii="Times New Roman" w:cs="Times New Roman" w:eastAsia="Times New Roman" w:hAnsi="Times New Roman"/>
          <w:sz w:val="18"/>
          <w:szCs w:val="18"/>
          <w:color w:val="000000"/>
        </w:rPr>
        <w:t>, the FDA described the potential need for more extensive dose optimization studies for both investigational products and</w:t>
      </w:r>
      <w:r>
        <w:rPr>
          <w:rFonts w:ascii="Times New Roman" w:cs="Times New Roman" w:eastAsia="Times New Roman" w:hAnsi="Times New Roman"/>
          <w:sz w:val="18"/>
          <w:szCs w:val="18"/>
          <w:color w:val="58595B"/>
        </w:rPr>
        <w:t xml:space="preserve"> </w:t>
      </w:r>
      <w:r>
        <w:rPr>
          <w:rFonts w:ascii="Times New Roman" w:cs="Times New Roman" w:eastAsia="Times New Roman" w:hAnsi="Times New Roman"/>
          <w:sz w:val="18"/>
          <w:szCs w:val="18"/>
          <w:color w:val="000000"/>
        </w:rPr>
        <w:t>approved products with which the investigational products will be used;</w:t>
      </w:r>
    </w:p>
    <w:p>
      <w:pPr>
        <w:ind w:left="1020" w:right="100" w:hanging="504"/>
        <w:spacing w:after="0" w:line="239"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changes to standard of care that impact the design and conduct of our trial, may result in studies no longer being clinically significant, may require that we change our studies once they have already commenced, or may result in other products being preferred over our product candidates, if they are approved;</w:t>
      </w:r>
    </w:p>
    <w:p>
      <w:pPr>
        <w:spacing w:after="0" w:line="1" w:lineRule="exact"/>
        <w:rPr>
          <w:rFonts w:ascii="Times New Roman" w:cs="Times New Roman" w:eastAsia="Times New Roman" w:hAnsi="Times New Roman"/>
          <w:sz w:val="18"/>
          <w:szCs w:val="18"/>
          <w:color w:val="auto"/>
        </w:rPr>
      </w:pPr>
    </w:p>
    <w:p>
      <w:pPr>
        <w:ind w:left="1020" w:right="300" w:hanging="504"/>
        <w:spacing w:after="0" w:line="23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are developing drug candidates for use in combination with other products, clinical trials may be more complex, resulting data may be more difficult to interpret, we may not be able to demonstrate that clinical trial results are attributable to our drug candidate, or developments with respect to the other product or standard of care may impact our ability to obtain product approval for our drug candidate or to successfully market our drug candidate;</w:t>
      </w:r>
    </w:p>
    <w:p>
      <w:pPr>
        <w:spacing w:after="0" w:line="1" w:lineRule="exact"/>
        <w:rPr>
          <w:rFonts w:ascii="Times New Roman" w:cs="Times New Roman" w:eastAsia="Times New Roman" w:hAnsi="Times New Roman"/>
          <w:sz w:val="18"/>
          <w:szCs w:val="18"/>
          <w:color w:val="auto"/>
        </w:rPr>
      </w:pPr>
    </w:p>
    <w:p>
      <w:pPr>
        <w:ind w:left="1020" w:right="60" w:hanging="504"/>
        <w:spacing w:after="0" w:line="24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 candidates perform satisfactorily in clinical studies, regulatory authorities may still have remaining questions or concerns based on outcomes observed with respect to other products and product candidates in the same pharmacologic class;</w:t>
      </w:r>
    </w:p>
    <w:p>
      <w:pPr>
        <w:ind w:left="1020" w:hanging="504"/>
        <w:spacing w:after="0" w:line="234"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ind w:left="1020" w:right="480" w:hanging="504"/>
        <w:spacing w:after="0" w:line="24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that we conduct additional pre-clinical or clinical studies, change our manufacturing process, or gather additional manufacturing information above what we currently have planned for;</w:t>
      </w:r>
    </w:p>
    <w:p>
      <w:pPr>
        <w:ind w:left="1020" w:hanging="504"/>
        <w:spacing w:after="0" w:line="234"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interpretation and our interpretation of data from pre-clinical studies and clinical trials may differ significantly;</w:t>
      </w:r>
    </w:p>
    <w:p>
      <w:pPr>
        <w:ind w:left="1020" w:right="220" w:hanging="504"/>
        <w:spacing w:after="0" w:line="24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agree with our intended indications, the design of our clinical or pre-clinical studies, or there may be a flaw in the design that does not become apparent until the studies are well advanced;</w:t>
      </w:r>
    </w:p>
    <w:p>
      <w:pPr>
        <w:ind w:left="1020" w:hanging="504"/>
        <w:spacing w:after="0" w:line="24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establish agreements with contractors or collaborators, including clinical trial sites and CROs, or they or we may fail to comply with applicable FDA, protocol, and other regulatory requirements, including those identified in other risk factors;</w:t>
      </w:r>
    </w:p>
    <w:p>
      <w:pPr>
        <w:ind w:left="1020" w:hanging="504"/>
        <w:spacing w:after="0" w:line="23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approve the manufacturing processes or facilities;</w:t>
      </w:r>
    </w:p>
    <w:p>
      <w:pPr>
        <w:jc w:val="both"/>
        <w:ind w:left="1020" w:right="200" w:hanging="504"/>
        <w:spacing w:after="0" w:line="239"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change its approval policies or adopt new laws, guidance, or regulations and our development program may not meet newly imposed requirements. For example, the FDA has issued guidance on the development of drug products for the treatment cancer, including specifically concerning AML and hematological malignancies;</w:t>
      </w:r>
    </w:p>
    <w:p>
      <w:pPr>
        <w:spacing w:after="0" w:line="1" w:lineRule="exact"/>
        <w:rPr>
          <w:rFonts w:ascii="Times New Roman" w:cs="Times New Roman" w:eastAsia="Times New Roman" w:hAnsi="Times New Roman"/>
          <w:sz w:val="18"/>
          <w:szCs w:val="18"/>
          <w:color w:val="auto"/>
        </w:rPr>
      </w:pPr>
    </w:p>
    <w:p>
      <w:pPr>
        <w:ind w:left="1020" w:right="160" w:hanging="504"/>
        <w:spacing w:after="0" w:line="234"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 or</w:t>
      </w: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an NDA or other submission due to, among other reasons, the content or formatting of the submission.</w:t>
      </w:r>
    </w:p>
    <w:p>
      <w:pPr>
        <w:spacing w:after="0" w:line="97"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Our pre-clinical and clinical data, other information and procedures relating to a drug candidate may not be sufficient to support approval by the FDA or any other U.S. or foreign regulatory authority, or regulatory interpretation of these data and procedures may be unfavorable. Our efforts to take advantage of expedited regulatory pathways for serious or life-threatening illnesses to secure marketing authorization more quickly may not be successful. We may not be able to demonstrate that our product candidates provide a benefit over existing therapies and, when used in combination with other therapies, we may not be able to demonstrate that our product candidates contributed to any observed effect. We cannot be certain that any NDA we submit will be approved by the FDA for full or accelerated approval on a timely basis, if at all. Securing accelerated approval requires demonstrating a meaningful therapeutic benefit over available existing treatments. Accelerated approvals are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If approved, the FDA will require post-marketing studies to verify clinical benefit. Failure to conduct required post-approval studies, or confirm a clinical benefit, will allow the FDA to withdraw the drug from the market on an expedited basis. Indeed, companies have previously withdrawn approved indications following failure to confirm a clinical benefit for their products, including for PI3K inhibitors. Moreover, in recent years, the accelerated approval pathway has come under significant FDA and public scrutiny. Accordingly, the FDA may be more conservative in granting accelerated approval or, if granted, may be more apt to withdrawal approval if clinical benefit is not confirmed. There may also be legislative or regulatory changes to the accelerated approval pathway which may impact the ability to obtain or maintain any such approvals, if received.</w:t>
      </w:r>
    </w:p>
    <w:p>
      <w:pPr>
        <w:spacing w:after="0" w:line="78"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Should we decide to seek accelerated approval, the FDA may not agree that the accelerated approval pathway is appropriate, may disagree with our chosen surrogate endpoints, or may find that the accelerated approval criteria are not met. Should the FDA disagree with our approach, we would be required to conduct additional clinical studies prior to submitting an NDA and prior to the FDA granting marketing approval. Moreover, should we receive accelerated approval for a product candidate, the FDA-approved label will indicate that the clinical benefit of the product has not been established and that continued approval is contingent upon verification of a clinical benefit in confirmatory trials.</w:t>
      </w:r>
    </w:p>
    <w:p>
      <w:pPr>
        <w:spacing w:after="0" w:line="6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Our business and reputation may be harmed by any failure or significant delay in receiving regulatory approval for the sale of any drugs resulting from our drug candidates. As a result, we cannot predict when or whether regulatory approval will be obtained for any drug we develop. Additionally, other factors may serve to delay, limit or prevent the final approval by regulatory authorities of our drug candidates for commercial use, including, but not limited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20" w:right="140" w:hanging="504"/>
        <w:spacing w:after="0" w:line="24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Zandelisib, voruciclib and ME-344 are in various stages of development, and we or our licensees will need to conduct significant clinical testing and development work to demonstrate the quality, safety, and efficacy of these drug candidates before applications for marketing can be filed with the FDA, or with the regulatory authorities of other countries;</w:t>
      </w:r>
    </w:p>
    <w:p>
      <w:pPr>
        <w:spacing w:after="0" w:line="2" w:lineRule="exact"/>
        <w:rPr>
          <w:rFonts w:ascii="Times New Roman" w:cs="Times New Roman" w:eastAsia="Times New Roman" w:hAnsi="Times New Roman"/>
          <w:sz w:val="18"/>
          <w:szCs w:val="18"/>
          <w:color w:val="auto"/>
        </w:rPr>
      </w:pPr>
    </w:p>
    <w:p>
      <w:pPr>
        <w:ind w:left="1020" w:right="280" w:hanging="504"/>
        <w:spacing w:after="0" w:line="23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testing of product formulation, including identification of suitable excipients, or chemical additives intended to facilitate delivery of our drug candidates;</w:t>
      </w: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us many years to complete the testing of our drug candidates, and failure can occur at any stage of this process; and</w:t>
      </w:r>
    </w:p>
    <w:p>
      <w:pPr>
        <w:spacing w:after="0" w:line="7" w:lineRule="exact"/>
        <w:rPr>
          <w:rFonts w:ascii="Times New Roman" w:cs="Times New Roman" w:eastAsia="Times New Roman" w:hAnsi="Times New Roman"/>
          <w:sz w:val="18"/>
          <w:szCs w:val="18"/>
          <w:color w:val="auto"/>
        </w:rPr>
      </w:pPr>
    </w:p>
    <w:p>
      <w:pPr>
        <w:ind w:left="1020" w:right="80" w:hanging="504"/>
        <w:spacing w:after="0" w:line="244"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statistically or clinically insignificant results, or adverse medical events during a clinical trial could cause us to delay or terminate our development efforts.</w:t>
      </w:r>
    </w:p>
    <w:p>
      <w:pPr>
        <w:spacing w:after="0" w:line="7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7"/>
          <w:szCs w:val="17"/>
          <w:color w:val="auto"/>
        </w:rPr>
        <w:t>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 Accordingly, the successful development of any of our drug candidates is uncertain and, accordingly, we may never commercialize any of these drug candidates or generate significant revenue.</w:t>
      </w:r>
    </w:p>
    <w:p>
      <w:pPr>
        <w:spacing w:after="0" w:line="166"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may determine that our drug candidates have undesirable side effects that could delay or prevent their regulatory approval or commercialization.</w:t>
      </w:r>
    </w:p>
    <w:p>
      <w:pPr>
        <w:spacing w:after="0" w:line="37"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Undesirable side effects caused by our drug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the FDA has expressed concern regarding toxicities associated with PI3K inhibitors, generally, and has noted adverse events found in zandelisib clinical trials. Undesirable side effects may also result in requirements for costly post-marketing testing and surveillance, or other requirements, including REMS, to monitor the safety or efficacy of the products. These could prevent us from commercializing and generating revenues from the sale of our drug candidates.</w:t>
      </w:r>
    </w:p>
    <w:p>
      <w:pPr>
        <w:spacing w:after="0" w:line="70"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Many compounds that initially showed promise in clinical or earlier stage testing have later been found to cause side effects that prevented further development of the compound. In addition, adverse events which had initially been considered unrelated to the study treatment may later be found to be caused by the study treatment. Moreover, incorrect or improper use of our drug candidates could cause unexpected side effects or adverse events. If any of our drug candidates is associated with serious adverse events or undesirable side effects or have properties that are unexpected, we may need to abandon development or limit development of that drug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enrolment of patients in clinical trials, our completion of clinical trials and receipt of necessary regulatory approvals could be delayed or prevented.</w:t>
      </w:r>
    </w:p>
    <w:p>
      <w:pPr>
        <w:spacing w:after="0" w:line="37"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We may not be able to initiate or continue conducting clinical trials for our drug candidates if we are unable to locate and enroll a sufficient number of eligible patients to participate in these trials as required by the FDA or similar regulatory authorities outside the U.S. Competitors may also have ongoing clinical trials for drug candidates that are intended to treat the same indications as our drug candidates, and patients who would otherwise be eligible for our clinical trials may instead enroll in clinical trials of our competitors’ drug candidates. Patient enrollment is affected by other factors including:</w:t>
      </w:r>
    </w:p>
    <w:p>
      <w:pPr>
        <w:spacing w:after="0" w:line="54" w:lineRule="exact"/>
        <w:rPr>
          <w:sz w:val="20"/>
          <w:szCs w:val="20"/>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27"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ind w:left="1020" w:hanging="504"/>
        <w:spacing w:after="0" w:line="23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current treatments for the indications for which we are conducting clinical trials;</w:t>
      </w:r>
    </w:p>
    <w:p>
      <w:pPr>
        <w:ind w:left="1020" w:right="40" w:hanging="504"/>
        <w:spacing w:after="0" w:line="24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and design of the clinical trial in question, including factors such as frequency of required assessments, length of the study and ongoing monitoring requirements;</w:t>
      </w:r>
    </w:p>
    <w:p>
      <w:pPr>
        <w:ind w:left="1020" w:hanging="504"/>
        <w:spacing w:after="0" w:line="235"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drug candidate, including the potential advantages or disadvantages of the drug candidate being studied in relation to other available therapies;</w:t>
      </w: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recruiting and enrolling patients in clinical trials;</w:t>
      </w:r>
    </w:p>
    <w:p>
      <w:pPr>
        <w:spacing w:after="0" w:line="7"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enrolment in clinical trials;</w:t>
      </w:r>
    </w:p>
    <w:p>
      <w:pPr>
        <w:ind w:left="1020" w:hanging="504"/>
        <w:spacing w:after="0" w:line="23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publicity created by clinical trial sites regarding the trial;</w:t>
      </w:r>
    </w:p>
    <w:p>
      <w:pPr>
        <w:spacing w:after="0" w:line="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ability to comply with the specific instructions related to the trial protocol, proper documentation, and use of the drug candidate;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or maintain patient informed consents;</w:t>
      </w:r>
    </w:p>
    <w:p>
      <w:pPr>
        <w:spacing w:after="0" w:line="15" w:lineRule="exact"/>
        <w:rPr>
          <w:rFonts w:ascii="Times New Roman" w:cs="Times New Roman" w:eastAsia="Times New Roman" w:hAnsi="Times New Roman"/>
          <w:sz w:val="18"/>
          <w:szCs w:val="18"/>
          <w:color w:val="auto"/>
        </w:rPr>
      </w:pPr>
    </w:p>
    <w:p>
      <w:pPr>
        <w:ind w:left="1020" w:hanging="504"/>
        <w:spacing w:after="0" w:line="234"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enrolled patients will drop out before completion or not return for post-treatment follow-up;</w:t>
      </w: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7"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compensate patients for their time and effort; and</w:t>
      </w: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83" w:lineRule="exact"/>
        <w:rPr>
          <w:sz w:val="20"/>
          <w:szCs w:val="20"/>
          <w:color w:val="auto"/>
        </w:rPr>
      </w:pPr>
    </w:p>
    <w:p>
      <w:pPr>
        <w:jc w:val="both"/>
        <w:ind w:right="20" w:firstLine="509"/>
        <w:spacing w:after="0" w:line="24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and could require us to abandon one or more clinical trials altogether. In particular, there may be low or slow enrollment, and the studies may enroll subjects that do not meet the inclusion criteria, requiring the erroneously enrolled subjects to be excluded and the trial population to be increased. Moreover, patients in our clinical trials may be at risk for dropping out of our studies if they are not experiencing relief of their disease. A significant number of withdrawn patients would compromise the quality of our data.</w:t>
      </w:r>
    </w:p>
    <w:p>
      <w:pPr>
        <w:spacing w:after="0" w:line="85" w:lineRule="exact"/>
        <w:rPr>
          <w:sz w:val="20"/>
          <w:szCs w:val="20"/>
          <w:color w:val="auto"/>
        </w:rPr>
      </w:pPr>
    </w:p>
    <w:p>
      <w:pPr>
        <w:jc w:val="both"/>
        <w:ind w:right="160" w:firstLine="509"/>
        <w:spacing w:after="0" w:line="250"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our drug candidates, or the inability to complete development of our drug candidates, which would cause the value of our company to decline, limit our ability to obtain additional financing, and materially impair our ability to generate revenues.</w:t>
      </w:r>
    </w:p>
    <w:p>
      <w:pPr>
        <w:spacing w:after="0" w:line="18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and other government agencies or future government shutdowns could cause delays in the submission and regulatory review of marketing applications, which could negatively impact our business or prospects.</w:t>
      </w:r>
    </w:p>
    <w:p>
      <w:pPr>
        <w:spacing w:after="0" w:line="5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submission, applications, and the payment of user fees, and statutory, regulatory, and policy changes, including the Congressional reauthorization of the FDA’s user fee bills. In addition, government funding of other government agencies that fund research and development activities is subject to the political process, which is inherently fluid and unpredictable.</w:t>
      </w:r>
    </w:p>
    <w:p>
      <w:pPr>
        <w:spacing w:after="0" w:line="8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Disruptions at the FDA and other agencies, including as a result of the ongoing COVID-19 pandemic and legislative actions, may also slow the time necessary for new drugs to be reviewed and/or approved by necessary government agencies, which would adversely affect our business. For example, Congress is currently negotiating reauthorization of the FDA user fee bills, which are critical to the FDA’s operations. Moreover, over the last several years, including for 35 days beginning on December 22, 2018, the U.S. government has shut down several times and certain regulatory agencies, such as the FDA, had to furlough critical FDA employees and stop critical activities. If a prolonged government shutdown occurs, if the FDA is required to furlough review staff or other necessary employees, or if agency operations are otherwise impacted, it could significantly affect the ability of the FDA to timely review and process our regulatory submissions, which could have a material adverse effect on our business or prospects.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 in foreign jurisdictions would prevent us from marketing our products internationally.</w:t>
      </w:r>
    </w:p>
    <w:p>
      <w:pPr>
        <w:spacing w:after="0" w:line="10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intend to have our drug candidates marketed outside the U.S. In order to market our products in many non-U.S. jurisdictions, we must obtain separate regulatory approvals and comply with numerous and varying regulatory requirements. To date, we have not filed for marketing approval for any of our drug candidates and may not receive the approvals necessary to commercialize our drug candidates in any market.</w:t>
      </w:r>
    </w:p>
    <w:p>
      <w:pPr>
        <w:spacing w:after="0" w:line="61"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The approval procedure varies among countries and may include all of the risks associated with obtaining FDA approval. Further, the time required to obtain foreign regulatory approval may differ from that required to obtain FDA approval, and additional pre-clinical studies, clinical trials, other testing and data review may be required. We may not obtain foreign regulatory approvals on a timely basis, if at all. Additionally, approval by the FDA does not ensure approval by regulatory agencies in other countries, and approval by one foreign regulatory authority does not ensure approval by regulatory agencies in other foreign countries or by the FDA. However, a failure or delay in obtaining regulatory approval in one jurisdiction may have a negative effect on the regulatory approval process in other jurisdictions, including approval by the FDA. The failure to obtain regulatory approval in foreign jurisdictions could limit commercialization of our products, reduce our ability to generate profits and harm our business.</w:t>
      </w:r>
    </w:p>
    <w:p>
      <w:pPr>
        <w:spacing w:after="0" w:line="18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Any designation granted by the FDA for any of our product candidates may not lead to a faster development or regulatory review or approval process, and does not increase the likelihood that our product candidates will receive marketing approval. We may also not be able to obtain or maintain any such designation.</w:t>
      </w:r>
    </w:p>
    <w:p>
      <w:pPr>
        <w:spacing w:after="0" w:line="59"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auto"/>
        </w:rPr>
        <w:t>We currently hold an FDA Fast Track Designation for zandelisib for the treatment of adult patients with relapsed or refractory follicular lymphoma who have received at least two prior systemic therapies. As described in the Government Regulation section of this Annual Report, there are a number of FDA programs that are intended to speed the development of drugs that are intended to treat serious diseases and conditions when there is an unmet need, including Fast Track and Break Through Therapy Designation. Receipt of such designations is within the discretion of the FDA. Accordingly, even if we believe one of our drug candidates meets the criteria for a designation, the FDA may disagree. If we receive any designation, the potential reduced timelines associated with designation may introduce significant chemistry, manufacturing and controls challenges for product development as manufacturing development may need to take place at a faster pace than would otherwise be required because the FDA will expect that properly qualified and manufactured product be available at the time of product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approval. In any event, the receipt of a designation for a product candidate may not result in a faster development process, review or approval compared to drugs considered for approval under conventional FDA procedures and does not assure ultimate approval by the FDA. In addition, even after granting a designation, the FDA may later decide that such product candidates no longer meet the conditions for qualification and rescind such designations.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orphan drug designations we receive may not confer marketing exclusivity or other benefits.</w:t>
      </w:r>
    </w:p>
    <w:p>
      <w:pPr>
        <w:spacing w:after="0" w:line="107"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In the U.S., under the Orphan Drug Act, the FDA may grant orphan designation to a drug or biological product intended to treat a rare disease or condition. Such diseases and conditions are those that affect fewer than 200,000 individuals in the U.S., or if they affect more than 200,000 individuals in the U.S., there is no reasonable expectation that the cost of developing and making a drug available in the U.S. for these types of diseases or conditions will be recovered from sales of the drug. Orphan drug designation must be requested before submitting an NDA. If the FDA grants orphan drug designation, the identity of the therapeutic agent and its potential orphan use are disclosed publicly by that agency. Orphan drug designation does not convey any advantage in or shorten the duration of the regulatory review and approval process, but it can lead to financial incentives, such as opportunities for grant funding toward clinical trial costs, tax advantages and user-fee waivers. The EMA and the UK also have programs for orphan drugs.</w:t>
      </w:r>
    </w:p>
    <w:p>
      <w:pPr>
        <w:spacing w:after="0" w:line="7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There is no guarantee that a drug candidate will receive orphan drug designation. There is also no guarantee that we would be able to maintain any designations that we receive. For instance, orphan drug designation in the U.S., EU or UK may be revoked for a number of reasons. If a drug that has orphan designation subsequently receives the first FDA approval for the disease or condition for which it has such designation, the drug is entitled to orphan drug marketing exclusivity for a period of seven years. Orphan drug marketing exclusivity generally prevents the FDA from approving another application, including a full NDA, to market the same drug or biological product for the same orphan use for seven years, except in limited circumstances, including if the FDA concludes that the later drug is safer, more effective or makes a major contribution to patient care. For purposes of small molecule drugs, the FDA defines “same drug” as a drug that contains the same active moiety and is intended for the same use as the drug in question. We may not be able to obtain future orphan drug designations that we may apply for or maintain any orphan drug designations that we may receive. A designated orphan drug also may not receive orphan drug marketing exclusivity if it is approved for a use that is broader than the indication for which it received orphan designation or if it is deemed to be the same drug as a previously approved drug and cannot demonstrate clinical superiority. Similarly, in the EMA (and the MHRA), orphan drugs can receive an exclusivity period of ten years, but can be reduced to six years if the drug no longer meets the criteria for orphan drug designation or if the drug is sufficiently profitable so that market exclusivity is no longer justified. Orphan designation does not convey any advantage in, or shorten the duration of, the regulatory review and approval process.</w:t>
      </w:r>
    </w:p>
    <w:p>
      <w:pPr>
        <w:spacing w:after="0" w:line="7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Orphan drug exclusivity may be lost if the FDA, EMA or MHRA determines that the request for designation was materially defective or if the manufacturer is unable to assure sufficient quantity of the drug to meet the needs of patients with the rare disease or condition. Orphan drug exclusivity also may not protect a product from competition. For instance, the FDA may approve a drug that is the same drug with orphan exclusivity for a different indication or a different drug for the same indication as the orphan product. Even after an orphan product is approved, the FDA can also subsequently approve a product containing the same principal molecular features for the same condition if the FDA concludes that the latter product is clinically superior. The FDA may further grant orphan designation to multiple sponsors for the same compound or active molecule and for the same indication. If another sponsor receives FDA approval for such product before we do, we would be prevented from launching our product in the U.S. for the orphan indication for a period of at least seven years unless we can demonstrate clinical superiority.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Drug Candidates</w:t>
      </w:r>
    </w:p>
    <w:p>
      <w:pPr>
        <w:spacing w:after="0" w:line="211"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Even if we or our licensees receive regulatory approval to commercialize our drug candidates, our ability to generate revenues from any resulting products will be subject to a variety of risks, many of which are out of our control.</w:t>
      </w:r>
    </w:p>
    <w:p>
      <w:pPr>
        <w:spacing w:after="0" w:line="64"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Even if our drug candidates obtain regulatory approval, resulting products may not gain market acceptance among physicians, patients, healthcare payers or the medical community. We believe that the degree of market acceptance and our ability to generate revenues from such products will depend on a number of factors, including, but not limited to, the following:</w:t>
      </w:r>
    </w:p>
    <w:p>
      <w:pPr>
        <w:spacing w:after="0" w:line="81" w:lineRule="exact"/>
        <w:rPr>
          <w:sz w:val="20"/>
          <w:szCs w:val="20"/>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introduction of our drugs and competitive drugs;</w:t>
      </w:r>
    </w:p>
    <w:p>
      <w:pPr>
        <w:spacing w:after="0" w:line="15" w:lineRule="exact"/>
        <w:rPr>
          <w:rFonts w:ascii="Times New Roman" w:cs="Times New Roman" w:eastAsia="Times New Roman" w:hAnsi="Times New Roman"/>
          <w:sz w:val="18"/>
          <w:szCs w:val="18"/>
          <w:color w:val="auto"/>
        </w:rPr>
      </w:pPr>
    </w:p>
    <w:p>
      <w:pPr>
        <w:ind w:left="1020" w:hanging="504"/>
        <w:spacing w:after="0" w:line="234"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perceived efficacy and safety of our drug candidates;</w:t>
      </w:r>
    </w:p>
    <w:p>
      <w:pPr>
        <w:ind w:left="1020" w:hanging="504"/>
        <w:spacing w:after="0" w:line="234"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prevalence and severity of any side effects;</w:t>
      </w: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perceived advantages or disadvantages over alternative treatments;</w:t>
      </w:r>
    </w:p>
    <w:p>
      <w:pPr>
        <w:spacing w:after="0" w:line="7"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post-marketing commitments imposed by regulatory authorities, such as patient registries;</w:t>
      </w:r>
    </w:p>
    <w:p>
      <w:pPr>
        <w:ind w:left="1020" w:hanging="504"/>
        <w:spacing w:after="0" w:line="234"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marketing and distribution support;</w:t>
      </w: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of our future products, both in absolute terms and relative to alternative treatments;</w:t>
      </w:r>
    </w:p>
    <w:p>
      <w:pPr>
        <w:spacing w:after="0" w:line="7"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current and future healthcare laws on our drug candidates; and</w:t>
      </w: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reimbursement from government and other third party payers.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If any of our drugs are approved and fail to achieve market acceptance, we may not be able to generate significant revenue to achieve or sustain profitability.</w:t>
      </w:r>
    </w:p>
    <w:p>
      <w:pPr>
        <w:spacing w:after="0" w:line="15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products we develop become subject to unfavorable pricing regulations, third party reimbursement practices or healthcare reform initiatives, our ability to successfully commercialize our products will be impaired.</w:t>
      </w:r>
    </w:p>
    <w:p>
      <w:pPr>
        <w:spacing w:after="0" w:line="37" w:lineRule="exact"/>
        <w:rPr>
          <w:sz w:val="20"/>
          <w:szCs w:val="20"/>
          <w:color w:val="auto"/>
        </w:rPr>
      </w:pPr>
    </w:p>
    <w:p>
      <w:pPr>
        <w:ind w:right="100" w:firstLine="509"/>
        <w:spacing w:after="0" w:line="242" w:lineRule="auto"/>
        <w:rPr>
          <w:sz w:val="20"/>
          <w:szCs w:val="20"/>
          <w:color w:val="auto"/>
        </w:rPr>
      </w:pPr>
      <w:r>
        <w:rPr>
          <w:rFonts w:ascii="Times New Roman" w:cs="Times New Roman" w:eastAsia="Times New Roman" w:hAnsi="Times New Roman"/>
          <w:sz w:val="18"/>
          <w:szCs w:val="18"/>
          <w:color w:val="auto"/>
        </w:rPr>
        <w:t>Our future revenues, profitability and access to capital will be affected by the continuing efforts of governmental and private third party payers to manage, contain or reduce the costs of health care through various means, such as capping prices, limiting price increases, reducing reimbursement, and requiring rebates. We are also unsure of the impact of any future health care reform legislation or other changes in healthcare policy may have on our business or what actions federal, state, foreign and private payers may take or reforms that may be implemented in the future. Therefore, it is difficult to predict the effect of any potential reform on our business. Our ability to commercialize our drug candidates successfully will depend, in part, on the extent to which reimbursement for the cost of such drug candidates and related treatments will be available from government health administration authorities, such as Medicare and Medicaid in the U.S., private health insurers and other organizations. Significant uncertainty exists as to the reimbursement status of newly approved health care products, particularly for indications for which there is no current effective treatment or for which medical care typically is not sought. Adequate third party coverage may not be available to enable us to maintain price levels sufficient to realize an appropriate return on our investment in research and development. If adequate coverage and reimbursement levels are not provided by government and third party payers for use of our products, our products may fail to achieve market acceptance without a substantial reduction in price or at all and our results of operations will be harmed. In addition, government regulation may restrict our business and financial relationships with health care providers and managed care intermediaries in ways that could impact our ability successfully to market our products.</w:t>
      </w:r>
    </w:p>
    <w:p>
      <w:pPr>
        <w:spacing w:after="0" w:line="78"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Further, there has been heightened governmental scrutiny over the manner in which manufacturers set prices for their marketed products, which have resulted in several recent Congressional inquiries and proposed and enacted bills by Congress and the states designed to, among other things, bring more transparency to product pricing, review the relationship between pricing and manufacturer patient programs, and reform government program reimbursement methodologies for products. In addition, the U.S. government, state legislatures, and foreign governments have shown significant interest in implementing cost containment programs, including price-controls, restrictions on reimbursement, requirements for substitution of generic products for branded prescription drugs, and permitting importation of drugs from outside the U.S. to limit the growth of government paid health care costs. For example, the U.S. government has passed legislation requiring pharmaceutical manufacturers that participate in federal healthcare programs to provide rebates and discounts to certain entities and governmental payors. Further, Congress and the current administration have each indicated that it will continue to seek new legislative and/or administrative measures to control drug costs. Individual states in the U.S. have also been increasingly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drug candidates are subject to ongoing government regulation both before and after regulatory approval.</w:t>
      </w:r>
    </w:p>
    <w:p>
      <w:pPr>
        <w:spacing w:after="0" w:line="107"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Both before and after regulatory approval, our drug candidates are subject to strict and ongoing regulation. Compliance with such regulations may consume substantial financial and management resources and expose us and our collaborators to the potential for other adverse circumstances. For example, a regulatory authority can place restrictions on the sale or marketing of a drug in order to manage the risks identified during initial clinical trials or after the drug is on the market. A regulatory authority can condition the approval for a drug on costly post-marketing follow-up studies. Based on these studies, if a regulatory authority does not believe that the drug demonstrates a clinical benefit to patients or an acceptable safety profile, it could limit the indications for which a drug may be sold or revoke the drug’s marketing approval. In addition, identification of certain side effects either during clinical trials or after a drug is on the market may result in reformulation of a drug, additional pre-clinical and clinical trials, labeling changes, termination of ongoing clinical trials or withdrawal of approval. Any of these events could delay or prevent us from generating revenue from the commercialization of these drugs and cause us to incur significant additional costs.</w:t>
      </w:r>
    </w:p>
    <w:p>
      <w:pPr>
        <w:spacing w:after="0" w:line="75"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Compliance with the applicable regulatory requirements may result in significant expenses and we and our third party contractors and collaborators may be subject to unannounced FDA and other regulatory authority inspections and assessments. Any failure to comply with the applicable regulatory requirements or problems with our drug candidates may result in regulatory enforcement or other actions, including:</w:t>
      </w:r>
    </w:p>
    <w:p>
      <w:pPr>
        <w:spacing w:after="0" w:line="81" w:lineRule="exact"/>
        <w:rPr>
          <w:sz w:val="20"/>
          <w:szCs w:val="20"/>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or distribution, or marketing of any approved products;</w:t>
      </w:r>
    </w:p>
    <w:p>
      <w:pPr>
        <w:spacing w:after="0" w:line="15" w:lineRule="exact"/>
        <w:rPr>
          <w:rFonts w:ascii="Times New Roman" w:cs="Times New Roman" w:eastAsia="Times New Roman" w:hAnsi="Times New Roman"/>
          <w:sz w:val="18"/>
          <w:szCs w:val="18"/>
          <w:color w:val="auto"/>
        </w:rPr>
      </w:pPr>
    </w:p>
    <w:p>
      <w:pPr>
        <w:ind w:left="1020" w:right="100" w:hanging="504"/>
        <w:spacing w:after="0" w:line="24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including restrictions on the indication or approved patient population, and required additional warnings, such as black box warnings, contraindications, and precautions;</w:t>
      </w:r>
    </w:p>
    <w:p>
      <w:pPr>
        <w:ind w:left="1020" w:hanging="504"/>
        <w:spacing w:after="0" w:line="23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 or issuance of corrective information;</w:t>
      </w:r>
    </w:p>
    <w:p>
      <w:pPr>
        <w:ind w:left="1020" w:hanging="504"/>
        <w:spacing w:after="0" w:line="234"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other clinical trials;</w:t>
      </w: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7"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establish or modify a REMS or a comparable foreign authority may require that we establish or modify a similar strategy;</w:t>
      </w: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product is administered;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15" w:lineRule="exact"/>
        <w:rPr>
          <w:rFonts w:ascii="Times New Roman" w:cs="Times New Roman" w:eastAsia="Times New Roman" w:hAnsi="Times New Roman"/>
          <w:sz w:val="18"/>
          <w:szCs w:val="18"/>
          <w:color w:val="auto"/>
        </w:rPr>
      </w:pPr>
    </w:p>
    <w:p>
      <w:pPr>
        <w:ind w:left="1020" w:hanging="504"/>
        <w:spacing w:after="0" w:line="23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becoming less competitive;</w:t>
      </w:r>
    </w:p>
    <w:p>
      <w:pPr>
        <w:spacing w:after="0" w:line="7"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untitled, or cyber letters;</w:t>
      </w:r>
    </w:p>
    <w:p>
      <w:pPr>
        <w:ind w:left="1020" w:hanging="504"/>
        <w:spacing w:after="0" w:line="23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ind w:left="1020" w:right="140" w:hanging="504"/>
        <w:spacing w:after="0" w:line="24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product;</w:t>
      </w:r>
    </w:p>
    <w:p>
      <w:pPr>
        <w:ind w:left="1020" w:hanging="504"/>
        <w:spacing w:after="0" w:line="23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ind w:left="1020" w:hanging="504"/>
        <w:spacing w:after="0" w:line="23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of products;</w:t>
      </w: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7"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ind w:left="1020" w:hanging="504"/>
        <w:spacing w:after="0" w:line="23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7" w:lineRule="exact"/>
        <w:rPr>
          <w:rFonts w:ascii="Times New Roman" w:cs="Times New Roman" w:eastAsia="Times New Roman" w:hAnsi="Times New Roman"/>
          <w:sz w:val="18"/>
          <w:szCs w:val="18"/>
          <w:color w:val="auto"/>
        </w:rPr>
      </w:pPr>
    </w:p>
    <w:p>
      <w:pPr>
        <w:ind w:left="1020" w:right="60" w:hanging="504"/>
        <w:spacing w:after="0" w:line="235"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9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Non-compliance with any foreign jurisdictions’ requirements, including requirements regarding the protection of personal information, can also lead to significant penalties and sanctions.</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Any of these events could prevent us from achieving or maintaining regulatory product approval and market acceptance of the particular drug</w:t>
      </w:r>
    </w:p>
    <w:p>
      <w:pPr>
        <w:spacing w:after="0" w:line="2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candidate, if approved, or could substantially increase the costs and expenses of developing and commercializing such product, which in turn could delay or prevent us from generating significant revenues from its sale.</w:t>
      </w:r>
    </w:p>
    <w:p>
      <w:pPr>
        <w:spacing w:after="0" w:line="73" w:lineRule="exact"/>
        <w:rPr>
          <w:sz w:val="20"/>
          <w:szCs w:val="20"/>
          <w:color w:val="auto"/>
        </w:rPr>
      </w:pPr>
    </w:p>
    <w:p>
      <w:pPr>
        <w:jc w:val="both"/>
        <w:ind w:right="300" w:firstLine="509"/>
        <w:spacing w:after="0" w:line="258" w:lineRule="auto"/>
        <w:rPr>
          <w:sz w:val="20"/>
          <w:szCs w:val="20"/>
          <w:color w:val="auto"/>
        </w:rPr>
      </w:pPr>
      <w:r>
        <w:rPr>
          <w:rFonts w:ascii="Times New Roman" w:cs="Times New Roman" w:eastAsia="Times New Roman" w:hAnsi="Times New Roman"/>
          <w:sz w:val="18"/>
          <w:szCs w:val="18"/>
          <w:color w:val="auto"/>
        </w:rPr>
        <w:t>Other changes may also impact our ability to conduct studies and the approvability or marketability of our drug candidates, including changes in law, government regulation, or FDA policy, including review policies, which may be due to changes in the U.S. government and U.S. administration, or changes in medical practice or standard of care.</w:t>
      </w:r>
    </w:p>
    <w:p>
      <w:pPr>
        <w:spacing w:after="0" w:line="6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 Should any of the above actions take place, they could adversely affect our ability to achieve or sustain profitability.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establish the contractual arrangements necessary to develop, market and distribute our drug candidates.</w:t>
      </w:r>
    </w:p>
    <w:p>
      <w:pPr>
        <w:spacing w:after="0" w:line="107" w:lineRule="exact"/>
        <w:rPr>
          <w:sz w:val="20"/>
          <w:szCs w:val="20"/>
          <w:color w:val="auto"/>
        </w:rPr>
      </w:pPr>
    </w:p>
    <w:p>
      <w:pPr>
        <w:ind w:right="120" w:firstLine="509"/>
        <w:spacing w:after="0" w:line="269" w:lineRule="auto"/>
        <w:rPr>
          <w:sz w:val="20"/>
          <w:szCs w:val="20"/>
          <w:color w:val="auto"/>
        </w:rPr>
      </w:pPr>
      <w:r>
        <w:rPr>
          <w:rFonts w:ascii="Times New Roman" w:cs="Times New Roman" w:eastAsia="Times New Roman" w:hAnsi="Times New Roman"/>
          <w:sz w:val="17"/>
          <w:szCs w:val="17"/>
          <w:color w:val="auto"/>
        </w:rPr>
        <w:t>A key part of our strategy is to establish contractual relationships with third parties to package, market and distribute our drug candidates. There is no assurance that we will be able to negotiate commercially acceptable licensing or other agreements for the future exploitation of our drug candidates, including continued clinical development, manufacture or marketing. If we are unable to successfully contract for these services, or if arrangements for these services are terminated, we may have to delay our commercialization program which will adversely affect our ability to generate operating revenues.</w:t>
      </w:r>
    </w:p>
    <w:p>
      <w:pPr>
        <w:spacing w:after="0" w:line="17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Our commercial opportunity will be reduced or eliminated if competitors develop and market products that are more effective, have fewer side effects or are less expensive than our drug candidates.</w:t>
      </w:r>
    </w:p>
    <w:p>
      <w:pPr>
        <w:spacing w:after="0" w:line="5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development of drug candidates is highly competitive. A number of other companies have products or drug candidates that have either been approved or are in various stages of pre-clinical or clinical development that are intended for the same therapeutic indications for which our drug candidates are being developed. Some of these potential competing drug candidates are further advanced in development than our drug candidates and may be commercialized sooner. Even if we are successful in developing effective drugs, our compounds may not compete successfully with products produced by our competitors.</w:t>
      </w:r>
    </w:p>
    <w:p>
      <w:pPr>
        <w:spacing w:after="0" w:line="6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competitors include pharmaceutical companies and biotechnology companies, as well as universities and public and private research institutions. In addition, companies active in different but related fields represent substantial competition for us. Many of our competitors developing oncology drugs have significantly greater capital resources, larger research and development staffs and facilities and greater experience in drug development, regulation, manufacturing and marketing than we do. These organizations also compete with us and our service providers, to recruit qualified personnel, and with us to attract partners for joint ventures and to license technologies that are competitive with us. As a result, our competitors may be able to more easily develop technologies and products that would render our technologies or our drug candidates obsolete or non-competitive.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may face competition sooner than anticipated.</w:t>
      </w:r>
    </w:p>
    <w:p>
      <w:pPr>
        <w:spacing w:after="0" w:line="1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product candidates, if approved, may face competition from other products that are the same as or similar to our product candidates. If the FDA or comparable foreign regulatory authorities approve generic or similar versions of any of our product candidates that receive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marketing approval, or such authorities do not grant our products appropriate periods of regulatory exclusivity before approving generic or similar versions of our products, the sales of our products could be adversely affected.</w:t>
      </w:r>
    </w:p>
    <w:p>
      <w:pPr>
        <w:spacing w:after="0" w:line="54"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Once an NDA is approved, the product will become a “reference listed drug” in the FDA’s Orange Book. Other applicants may then seek approval of generic versions of our products through submission of Abbreviated New Drug Applications ("ANDA") in the U.S. Generic products may be significantly less costly to bring to market than the reference listed drug and companies that produce generic products are generally able to offer them at lower prices, and are generally preferred by third party payors. As a result, the FDA, the administration and Congress have recently taken steps to encourage increased generic drug competition in the market in an effort to bring down drug costs. Following the introduction of a generic drug, a significant percentage of the sales of any branded product or reference listed drug is typically lost to the generic product. Moreover, in addition to generic competition, we could face competition from other companies seeking approval of drug products that are similar to ours using the 505(b)(2) regulatory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75"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Any ANDA or 505(b)(2) applicants seeking to rely upon any of our product candidates, if such product candidates are approved, would need to submit patent certification statements with their applications for any of our patents that are listed in the FDA’s Orange Book. 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If one of our product candidates is approved and a patent covering that product candidate is not listed in the Orange Book, an ANDA or 505(b)(2) applicant would not have to submit a patent certification with regard to such patent to the FDA, in which case, we would not receive the protections provided by the Hatch Waxman Act.</w:t>
      </w:r>
    </w:p>
    <w:p>
      <w:pPr>
        <w:spacing w:after="0" w:line="70"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Moreover, if an ANDA or 505(b)(2) applicant files a paragraph IV challenge to any patents that we may list in the FDA’s Orange Book and if we do not file a timely patent infringement lawsuit, the ANDA or 505(b)(2) applicant would not be subject to a 30-month stay. If we did file such an action, the litigation or other proceedings to enforce or defend our intellectual property rights would likely be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70" w:lineRule="exact"/>
        <w:rPr>
          <w:sz w:val="20"/>
          <w:szCs w:val="20"/>
          <w:color w:val="auto"/>
        </w:rPr>
      </w:pPr>
    </w:p>
    <w:p>
      <w:pPr>
        <w:jc w:val="both"/>
        <w:ind w:right="200" w:firstLine="509"/>
        <w:spacing w:after="0" w:line="246" w:lineRule="auto"/>
        <w:rPr>
          <w:sz w:val="20"/>
          <w:szCs w:val="20"/>
          <w:color w:val="auto"/>
        </w:rPr>
      </w:pPr>
      <w:r>
        <w:rPr>
          <w:rFonts w:ascii="Times New Roman" w:cs="Times New Roman" w:eastAsia="Times New Roman" w:hAnsi="Times New Roman"/>
          <w:sz w:val="18"/>
          <w:szCs w:val="18"/>
          <w:color w:val="auto"/>
        </w:rPr>
        <w:t>We currently anticipate that we may be eligible for five years of non-patent marketing exclusivity in the U.S. This exclusivity, however, would not prevent other companies from submitting full NDAs. To the extent we do not receive any anticipated periods of regulatory exclusivity or to the extent the FDA or foreign regulatory authorities approve any generic, similar, or other competing products, our business would be adversely impacted. Competition that our products may face from generic, similar, or other competing products could materially and adversely impact our future revenue, profitability, and cash flows and substantially limit our ability to obtain a return on the investments we have made in those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pre-clinical studies. If those parties do not successfully carry out their contractual duties or meet expected deadlines, our drug candidates may not advance in a timely manner or at all.</w:t>
      </w:r>
    </w:p>
    <w:p>
      <w:pPr>
        <w:spacing w:after="0" w:line="5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In the course of our pre-clinical testing and clinical trials, we rely on third parties, including laboratories, investigators, CROs, manufacturers, and distributors to perform critical services for us. For example, we rely on third parties to conduct our clinical trials and many of our pre-clinical studies, which are required to be conducted consistent with regulations on GLPs and GCPs. CROs and study sites are responsible for many aspects of the trials, including finding and enrolling subjects for testing and administering the trials. Although we rely on these third parties to conduct our pre-clinical and clinical trials, we are responsible for ensuring that each of our trials is conducted in accordance with its investigational plan and protocol and that the integrity of the studies and resulting data is protected. While we have agreements governing the activities of such third parties, we have limited influence and control over their actual performance and activities. Moreover, the FDA and foreign regulatory authorities require us to comply with regulations and standards, commonly referred to as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third parties does not relieve us of these responsibilities and requirements. These third parties may not be available when we need them or, if they are available, may not devote sufficient time or resources to our studies, may not comply with all regulatory and contractual requirements, or may not otherwise perform their services in a timely or acceptable manner, and we may need to enter into new arrangements with alternative third parties and our clinical trials may be extended, delayed or terminated. These independent third parties may also have relationships with other commercial entities, some of which may compete with us. In addition, if such third parties fail to perform their obligations in compliance with our protocols or the applicable regulatory requirements, our trials may not meet regulatory requirements or may need to be repeated, we may not receive marketing approvals, or we or such third parties may face regulatory enforcement.</w:t>
      </w:r>
    </w:p>
    <w:p>
      <w:pPr>
        <w:spacing w:after="0" w:line="86"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Agreements with third parties conducting or otherwise assisting with our clinical or preclinical studies might terminate for a variety of reasons, including a failure to perform by the third parties. If any of our relationships with these third parties terminate, we may not be able to</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320"/>
        <w:spacing w:after="0" w:line="246" w:lineRule="auto"/>
        <w:rPr>
          <w:sz w:val="20"/>
          <w:szCs w:val="20"/>
          <w:color w:val="auto"/>
        </w:rPr>
      </w:pPr>
      <w:r>
        <w:rPr>
          <w:rFonts w:ascii="Times New Roman" w:cs="Times New Roman" w:eastAsia="Times New Roman" w:hAnsi="Times New Roman"/>
          <w:sz w:val="18"/>
          <w:szCs w:val="18"/>
          <w:color w:val="auto"/>
        </w:rPr>
        <w:t>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spacing w:after="0" w:line="72" w:lineRule="exact"/>
        <w:rPr>
          <w:sz w:val="20"/>
          <w:szCs w:val="20"/>
          <w:color w:val="auto"/>
        </w:rPr>
      </w:pPr>
    </w:p>
    <w:p>
      <w:pPr>
        <w:ind w:right="200" w:firstLine="509"/>
        <w:spacing w:after="0" w:line="312" w:lineRule="auto"/>
        <w:rPr>
          <w:sz w:val="20"/>
          <w:szCs w:val="20"/>
          <w:color w:val="auto"/>
        </w:rPr>
      </w:pPr>
      <w:r>
        <w:rPr>
          <w:rFonts w:ascii="Times New Roman" w:cs="Times New Roman" w:eastAsia="Times New Roman" w:hAnsi="Times New Roman"/>
          <w:sz w:val="17"/>
          <w:szCs w:val="17"/>
          <w:color w:val="auto"/>
        </w:rPr>
        <w:t>Accordingly, as a result of our dependence on third parties, we may face delays, failures or cost increases outside of our direct control. These risks also apply to the development activities of collaborators, and we do not control their research and development, clinical trial or regulatory activities.</w:t>
      </w:r>
    </w:p>
    <w:p>
      <w:pPr>
        <w:spacing w:after="0" w:line="18" w:lineRule="exact"/>
        <w:rPr>
          <w:sz w:val="20"/>
          <w:szCs w:val="20"/>
          <w:color w:val="auto"/>
        </w:rPr>
      </w:pPr>
    </w:p>
    <w:p>
      <w:pPr>
        <w:jc w:val="both"/>
        <w:ind w:right="400" w:firstLine="509"/>
        <w:spacing w:after="0" w:line="250" w:lineRule="auto"/>
        <w:rPr>
          <w:sz w:val="20"/>
          <w:szCs w:val="20"/>
          <w:color w:val="auto"/>
        </w:rPr>
      </w:pPr>
      <w:r>
        <w:rPr>
          <w:rFonts w:ascii="Times New Roman" w:cs="Times New Roman" w:eastAsia="Times New Roman" w:hAnsi="Times New Roman"/>
          <w:sz w:val="18"/>
          <w:szCs w:val="18"/>
          <w:color w:val="auto"/>
        </w:rPr>
        <w:t>In addition, we will be required to report certain financial interests of our third 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8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 xml:space="preserve">We also cannot assure you that upon inspection or review by a given regulatory authority, such regulatory authority will determine that any of our trials complies with the applicable regulatory requirements. In addition, our clinical trials must be conducted with drug candidates that were produced under cGMP conditions.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w:t>
      </w:r>
      <w:r>
        <w:rPr>
          <w:rFonts w:ascii="Times New Roman" w:cs="Times New Roman" w:eastAsia="Times New Roman" w:hAnsi="Times New Roman"/>
          <w:sz w:val="18"/>
          <w:szCs w:val="18"/>
          <w:u w:val="single" w:color="auto"/>
          <w:color w:val="auto"/>
        </w:rPr>
        <w:t>ClinicalTrials.gov</w:t>
      </w:r>
      <w:r>
        <w:rPr>
          <w:rFonts w:ascii="Times New Roman" w:cs="Times New Roman" w:eastAsia="Times New Roman" w:hAnsi="Times New Roman"/>
          <w:sz w:val="18"/>
          <w:szCs w:val="18"/>
          <w:color w:val="auto"/>
        </w:rPr>
        <w:t>, within specified timeframes. Failure to do so can result in enforcement actions and adverse publicity.</w:t>
      </w:r>
    </w:p>
    <w:p>
      <w:pPr>
        <w:spacing w:after="0" w:line="176"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will depend on third party suppliers and contract manufacturers for the manufacturing of our drug candidates and have no direct control over the cost and timing of manufacturing our drug candidates. Increases in the cost of manufacturing our drug candidates or delays in manufacturing would increase our costs of conducting clinical trials and could adversely affect our future profitability.</w:t>
      </w:r>
    </w:p>
    <w:p>
      <w:pPr>
        <w:spacing w:after="0" w:line="59"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We do not intend to manufacture our drug candidates ourselves, and we will rely on third parties for our drug supplies both for clinical trials and for commercial quantities in the future. We have taken the strategic decision not to manufacture active pharmaceutical ingredients (“API”), nor finished product, for our drug candidates, as these can be more economically supplied by third parties with particular expertise in this area. We have identified contract facilities that are registered with the FDA, have a track record of large- scale API and drug product manufacturing, and have already invested in capital and equipment. We have no direct control over the manufacturing of our drug candidates, or the cost thereof. If the contract manufacturers are unable to produce sufficient quantities of our drug candidates, as a result of a lack of available materials or otherwise, our ability to complete product candidate development and our future profitability would be adversely affected. If the cost of manufacturing increases, or if the cost of the materials used increases, these costs will be passed on to us, making the cost of conducting clinical trials more expensive. Increases in manufacturing costs could adversely affect our future profitability if we are unable to pass all of the increased costs along to our customers.</w:t>
      </w:r>
    </w:p>
    <w:p>
      <w:pPr>
        <w:spacing w:after="0" w:line="75"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If these third party suppliers and contract manufacturers do not successfully carry out their contractual duties, meet expected deadlines or manufacture our drug candidates in accordance with regulatory requirements, if there are disagreements between us and such parties, or if such parties are unable to expand capacities to support commercialization of any of our drug candidates for which we obtain marketing approval, we may not be able to produce, or may be delayed in producing sufficient drug candidates to meet our supply requirements. Any delays in obtaining adequate supplies with respect to our drug candidates and components may delay the development or commercialization of our drug candidates.</w:t>
      </w:r>
    </w:p>
    <w:p>
      <w:pPr>
        <w:spacing w:after="0" w:line="85"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Further, we, along with our contract manufacturers, are required to comply with FDA requirements for cGMPs, related to product testing, quality assurance, manufacturing and documentation. Our contract manufacturers may not be able to comply with the applicable FDA regulatory requirements, which could result in delays to our product development programs, could result in adverse regulatory actions against them or us, and could prevent us from ultimately receiving product marketing approval. They also generally must pass an FDA preapproval inspection or assessment for conformity with cGMPs before we can obtain approval to manufacture our drug candidates and will be subject to ongoing, periodic, unannounced inspection or assessment by the FDA and corresponding state agencies to ensure strict compliance with cGMP, and other applicable government regulations and corresponding foreign standards. If we and our contract manufacturers fail to achieve and maintain high manufacturing standards in compliance with cGMP, we may experience manufacturing errors resulting in defective products that could be harmful to patients, product recalls or withdrawals, delays or interruptions of production or failures in product testing or delivery, clinical trial or other development program delays, delay or prevention of filing or approval of marketing applications for our products, cost overruns or other problems that could seriously harm our business. Not complying with FDA requirements could result in a product recall, costly and time-consuming corrective or preventative actions, or prevent commercialization of our drug candidates and delay our business development activities. In addition, such failure could be the basis for the FDA to issue a warning or untitled letter or take other regulatory or legal enforcement action, including recall or seizure, total or partial suspension of production, suspension of ongoing clinical trials, refusal to approve pending applications or supplemental applications, and potentially civil and/or criminal penalties depending on the matter.</w:t>
      </w:r>
    </w:p>
    <w:p>
      <w:pPr>
        <w:spacing w:after="0" w:line="84"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If we need to replace any of our manufacturers or establish additional manufacturing arrangements, we may not succeed in our efforts. Our drug candidates may compete with other products and drug candidates for access to manufacturing facilities. There are a limited number of</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manufacturers that operate under cGMP regulations and that are both capable of manufacturing for us and willing to do so. If our existing third 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drug candidates for us to meet commercial demand or to advance our clinical trials while we identify and qualify replacement suppliers. These third party facilities may also be affected by natural disasters, such as floods or fire, or such facilities could face manufacturing issues, such as contamination or regulatory findings following a regulatory inspection or assessment of such facility. In such instances, we may need to locate an appropriate replacement third party relationship, which may not be readily available or on acceptable terms, which would cause additional delay and increased expense. The addition of a new or alternative manufacturer may also require FDA approvals and may have a material adverse effect on our business.</w:t>
      </w:r>
    </w:p>
    <w:p>
      <w:pPr>
        <w:spacing w:after="0" w:line="76"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We or our third party manufacturers may also encounter shortages in the raw materials, therapeutic substances, or active pharmaceutical ingredients necessary to produce our drug candidates in the quantities needed for our clinical trials or, if our drug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Our or our third party manufacturers’ failure to obtain the raw materials, therapeutic substances, or active pharmaceutical ingredients necessary to manufacture sufficient quantities of our drug candidates may have a material adverse effect on our business. If for any reason we are unable to obtain adequate supplies of our drug candidates or the components used to manufacture them, it will be more difficult for us to develop our drug candidates and compete effectively.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acquisitions or licenses from third parties to expand our pipeline of drug candidates.</w:t>
      </w:r>
    </w:p>
    <w:p>
      <w:pPr>
        <w:spacing w:after="0" w:line="121"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are not presently engaged in drug discovery activities. In order to expand our pipeline of drug candidates for future development, we may need to purchase or in-license any such drug candidates. The success of this strategy depends in large part on the combination of our regulatory and development capabilities and expertise and our ability to identify, select and acquire or in-license clinically-enabled product candidates on terms that are acceptable to us. Identifying, selecting and acquiring or in-licensing promising product candidates requires substantial technical expertise, and we have limited experience in identifying and integrating any acquired product candidates into our current infrastructure. Efforts to do so may not result in the actual acquisition or in-license of a particular drug candidate, potentially resulting in a diversion of our management’s time and the expenditure of our resources with no resulting benefit. If we are unable to identify, select and acquire or license suitable product candidates from third parties on terms acceptable to us, our business and prospects may be limited.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11"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is dependent, in part, on obtaining and maintaining patent protection and preserving trade secrets, which cannot be guaranteed.</w:t>
      </w:r>
    </w:p>
    <w:p>
      <w:pPr>
        <w:spacing w:after="0" w:line="37" w:lineRule="exact"/>
        <w:rPr>
          <w:sz w:val="20"/>
          <w:szCs w:val="20"/>
          <w:color w:val="auto"/>
        </w:rPr>
      </w:pPr>
    </w:p>
    <w:p>
      <w:pPr>
        <w:jc w:val="both"/>
        <w:ind w:right="180" w:firstLine="509"/>
        <w:spacing w:after="0" w:line="250" w:lineRule="auto"/>
        <w:rPr>
          <w:sz w:val="20"/>
          <w:szCs w:val="20"/>
          <w:color w:val="auto"/>
        </w:rPr>
      </w:pPr>
      <w:r>
        <w:rPr>
          <w:rFonts w:ascii="Times New Roman" w:cs="Times New Roman" w:eastAsia="Times New Roman" w:hAnsi="Times New Roman"/>
          <w:sz w:val="18"/>
          <w:szCs w:val="18"/>
          <w:color w:val="auto"/>
        </w:rPr>
        <w:t>Patent protection and trade secret protection are important to our business and our future will depend, in part on our ability to maintain trade secret protection, obtain patents and operate without infringing the proprietary rights of others both in the U.S. and abroad. Litigation or other legal proceedings may be necessary to defend against claims of infringement, to enforce our patents or to protect our trade secrets. Such litigation could result in substantial costs and diversion of our management’s attention.</w:t>
      </w:r>
    </w:p>
    <w:p>
      <w:pPr>
        <w:spacing w:after="0" w:line="68"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7"/>
          <w:szCs w:val="17"/>
          <w:color w:val="auto"/>
        </w:rPr>
        <w:t>The patent positions of pharmaceutical and biotechnology companies can be highly uncertain and involve complex legal and factual questions. In September 2013, we acquired patents and patent applications related to zandelisib from Pathway Therapeutics, Inc. In September 2017, we acquired patents and patent applications related to voruciclib from Presage. In 2011, we acquired both issued patents and pending patent applications related to ME-344 from Novogen in relation to our Isoflavone-based compounds, which we previously licensed from Novogen. Additionally, Novogen had previously applied for patents in a number of countries with respect to the use of their isoflavone compounds, including ME-344. The patent applications may not proceed to grant or may be amended to reduce the scope of protection of any patent granted. The applications and patents may also be opposed or challenged by third parties. Our commercial success will depend, in part, on our ability to obtain and maintain effective patent protection for our compounds and their use in treating, preventing, or curing cancer, and to successfully defend patent rights in those technologies against third party challenges. As patent applications in the U.S. are maintained in secrecy until published or issued and as publication of discoveries in the scientific or patent literature often lag behind the actual discoveries, we cannot be certain that we or Presage were the first to make the inventions covered by the pending patent applications or issued patents referred to above or that we or they were the first to file patent applications for such inventions. Additionally, the breadth of claims allowed in biotechnology and pharmaceutical patents or their enforceability cannot be predicted. We cannot be sure that, should any patents issue, we will be provided with adequate protection against potentially competitive products. Furthermore, we cannot be sure that should patents issue, they will be of commercial value to us, or that private parties, including competitors, will not successfully challenge our patents or circumvent our patent position in the U.S. or abroad.</w:t>
      </w:r>
    </w:p>
    <w:p>
      <w:pPr>
        <w:spacing w:after="0" w:line="180" w:lineRule="exact"/>
        <w:rPr>
          <w:sz w:val="20"/>
          <w:szCs w:val="20"/>
          <w:color w:val="auto"/>
        </w:rPr>
      </w:pPr>
    </w:p>
    <w:p>
      <w:pPr>
        <w:ind w:right="92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Claims by other companies that we infringe on their proprietary technology may result in liability for damages or stop our development and commercialization efforts.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40" w:firstLine="509"/>
        <w:spacing w:after="0" w:line="250" w:lineRule="auto"/>
        <w:rPr>
          <w:sz w:val="20"/>
          <w:szCs w:val="20"/>
          <w:color w:val="auto"/>
        </w:rPr>
      </w:pPr>
      <w:r>
        <w:rPr>
          <w:rFonts w:ascii="Times New Roman" w:cs="Times New Roman" w:eastAsia="Times New Roman" w:hAnsi="Times New Roman"/>
          <w:sz w:val="18"/>
          <w:szCs w:val="18"/>
          <w:color w:val="auto"/>
        </w:rPr>
        <w:t>The pharmaceutical industry is highly competitive, and patents have been applied for by, and issued to, other parties relating to products competitive with the compounds that we have acquired. Therefore, zandelisib, voruciclib and ME-344, and any other drug candidates, may give rise to claims that they infringe the patents or proprietary rights of other parties existing now and in the future.</w:t>
      </w:r>
    </w:p>
    <w:p>
      <w:pPr>
        <w:spacing w:after="0" w:line="81"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Furthermore, to the extent that we or our consultants or research collaborators use intellectual property owned by others in work performed for us, disputes may also arise as to the rights in such intellectual property or in resulting know-how and inventions. An adverse claim could subject us to significant liabilities to such other parties and/or require disputed rights to be licensed from such other parties.</w:t>
      </w:r>
    </w:p>
    <w:p>
      <w:pPr>
        <w:spacing w:after="0" w:line="8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have contracted formulation development and manufacturing process development work for our product candidates. This process has identified a number of excipients, or additives to improve drug delivery, which may be used in the formulations. Excipients, among other things, perform the function of a carrier of the active drug ingredient. Some of these identified excipients or carriers may be included in third party patents in some countries. We intend to seek a license if we decide to use a patented excipient in the marketed product or we may choose one of those excipients that does not have a license requirement.</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cannot be sure that any license required under any such patents or proprietary rights would be made available on terms acceptable to us, if at all. If we do not obtain such licenses, we may encounter delays in product market introductions, or may find that the development, manufacture or sale of products requiring such licenses may be precluded.</w:t>
      </w:r>
    </w:p>
    <w:p>
      <w:pPr>
        <w:spacing w:after="0" w:line="16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4"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7"/>
          <w:szCs w:val="17"/>
          <w:color w:val="auto"/>
        </w:rPr>
        <w:t>Many of our employees and the employees of KKC and third parties upon which we rely to conduct our clinical trials were previously employed at universities or at other biotechnology or pharmaceutical companies, some of which may be competitors or potential competitors. Some of these employees executed proprietary rights, non-disclosure and non-competition agreements, or similar agreements, in connection with such previous employment.</w:t>
      </w:r>
    </w:p>
    <w:p>
      <w:pPr>
        <w:spacing w:after="0" w:line="1"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spacing w:after="0" w:line="95" w:lineRule="exact"/>
        <w:rPr>
          <w:sz w:val="20"/>
          <w:szCs w:val="20"/>
          <w:color w:val="auto"/>
        </w:rPr>
      </w:pPr>
    </w:p>
    <w:p>
      <w:pPr>
        <w:ind w:right="120" w:firstLine="509"/>
        <w:spacing w:after="0" w:line="243"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advisors and collaborators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substantial costs stemming from our defense against third party intellectual property infringement claims.</w:t>
      </w:r>
    </w:p>
    <w:p>
      <w:pPr>
        <w:spacing w:after="0" w:line="107"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Third parties may assert that we are using their proprietary information without authorization. Third parties may also have or obtain patents and may claim that technologies licensed to or used by us infringe their patents. If we are required to defend patent infringement actions brought by third parties, or if we sue to protect our own patent rights, we may be required to pay substantial litigation costs and managerial attention may be diverted from business operations even if the outcome is not adverse to us. In addition, any legal action that seeks damages or an injunction to stop us from carrying on our commercial activities relating to the affected technologies could subject us to monetary liability and require us or any third party licensors to obtain a license to continue to use the affected technologies. We cannot predict whether we would prevail in any of these types of actions or that any required license would be made available on commercially acceptable terms or at all.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Risks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risk of product liability claims and claims may exceed our insurance limits.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business exposes us to the risk of product liability claims. This risk is inherent in the manufacturing, testing and marketing of human therapeutic products. Moreover, regardless of merit or eventual outcome, liability claims can have other adverse consequences, including:</w:t>
      </w:r>
    </w:p>
    <w:p>
      <w:pPr>
        <w:spacing w:after="0" w:line="54" w:lineRule="exact"/>
        <w:rPr>
          <w:sz w:val="20"/>
          <w:szCs w:val="20"/>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from decreased demand for our products and/or drug candidates;</w:t>
      </w:r>
    </w:p>
    <w:p>
      <w:pPr>
        <w:spacing w:after="0" w:line="27"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or financial stability;</w:t>
      </w:r>
    </w:p>
    <w:p>
      <w:pPr>
        <w:ind w:left="1020" w:hanging="504"/>
        <w:spacing w:after="0" w:line="234"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7"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potential termination of clinical trial sites or entire clinical programs;</w:t>
      </w:r>
    </w:p>
    <w:p>
      <w:pPr>
        <w:sectPr>
          <w:pgSz w:w="11900" w:h="16838" w:orient="portrait"/>
          <w:cols w:equalWidth="0" w:num="1">
            <w:col w:w="11240"/>
          </w:cols>
          <w:pgMar w:left="320" w:top="414"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drug candidates;</w:t>
      </w:r>
    </w:p>
    <w:p>
      <w:pPr>
        <w:spacing w:after="0" w:line="15" w:lineRule="exact"/>
        <w:rPr>
          <w:rFonts w:ascii="Times New Roman" w:cs="Times New Roman" w:eastAsia="Times New Roman" w:hAnsi="Times New Roman"/>
          <w:sz w:val="18"/>
          <w:szCs w:val="18"/>
          <w:color w:val="auto"/>
        </w:rPr>
      </w:pPr>
    </w:p>
    <w:p>
      <w:pPr>
        <w:ind w:left="1020" w:hanging="504"/>
        <w:spacing w:after="0" w:line="234"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our stock price; or</w:t>
      </w:r>
    </w:p>
    <w:p>
      <w:pPr>
        <w:spacing w:after="0" w:line="7" w:lineRule="exact"/>
        <w:rPr>
          <w:rFonts w:ascii="Times New Roman" w:cs="Times New Roman" w:eastAsia="Times New Roman" w:hAnsi="Times New Roman"/>
          <w:sz w:val="18"/>
          <w:szCs w:val="18"/>
          <w:color w:val="auto"/>
        </w:rPr>
      </w:pPr>
    </w:p>
    <w:p>
      <w:pPr>
        <w:ind w:left="1020" w:right="360" w:hanging="504"/>
        <w:spacing w:after="0" w:line="244"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and enforcement actions by regulators; and product recalls, withdrawals, revocation of approvals, or labeling, marketing or promotional restrictions.</w:t>
      </w:r>
    </w:p>
    <w:p>
      <w:pPr>
        <w:spacing w:after="0" w:line="73"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Our product liability insurance coverage is subject to deductibles and coverage limitations. We may not be able to obtain or maintain adequate protection against potential liabilities, or claims may exceed our insurance limits. If we cannot or do not sufficiently insure against potential product liability claims, we may be exposed to significant liabilities, which may materially and adversely affect our business development and commercialization efforts.</w:t>
      </w:r>
    </w:p>
    <w:p>
      <w:pPr>
        <w:spacing w:after="0" w:line="172"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3"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comply with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(“FCA”), case against us even if the government considers the claim unmeritorious and declines to intervene, which could require us to incur costs defending against such a claim. Further, due to the risk that a judgment in an FCA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107"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Our internal computer systems and those of our CROs and other contractors and consultants are vulnerable to damage from computer viruses, unauthorized access, natural disasters, terrorism, war, and telecommunication and electrical failures. If such an event were to occur and cause interruptions in our operations, it could result in a material disruption of our drug candidate development and, if such drug candidates are approved commercialization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regulatory enforcement actions, and the further development of any of our drug candidates could be delayed.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efforts will be seriously jeopardized if we are unable to retain and attract key employees.</w:t>
      </w:r>
    </w:p>
    <w:p>
      <w:pPr>
        <w:spacing w:after="0" w:line="107"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Our success depends on the continued contributions of our principal management, development and scientific personnel. We face competition for such personnel, and we believe that risks and uncertainties related to our business, including the timing and risk associated with research and development, our available and anticipated cash resources, and the volatility of our stock price, may impact our ability to hire and retain key and other personnel. The loss of services of our Chief Executive Officer or other key employees could adversely impact our operations and ability to generate or raise additional capital.</w:t>
      </w:r>
    </w:p>
    <w:p>
      <w:pPr>
        <w:spacing w:after="0" w:line="15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U.S. and global economic conditions may pose challenges to our business strategy, which relies on funding from the financial markets or collaborators.</w:t>
      </w:r>
    </w:p>
    <w:p>
      <w:pPr>
        <w:spacing w:after="0" w:line="37"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Negative conditions in the U.S. or global economy, including financial markets, may adversely affect our business and the business of current and prospective vendors, licensees and collaborators, and others with whom we do or may conduct business. The duration and severity of these conditions is uncertain. If negative economic conditions occur, we may be unable to secure funding on terms satisfactory to us to sustain our operations or to find suitable collaborators to advance our internal programs, even if we achieve positive results from our drug development programs.</w:t>
      </w:r>
    </w:p>
    <w:p>
      <w:pPr>
        <w:spacing w:after="0" w:line="17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i w:val="1"/>
          <w:iCs w:val="1"/>
          <w:color w:val="auto"/>
        </w:rPr>
        <w:t>Laws, rules and regulations relating to public companies may be costly and impact our ability to attract and retain directors and executive officers.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40" w:firstLine="509"/>
        <w:spacing w:after="0" w:line="243" w:lineRule="auto"/>
        <w:rPr>
          <w:sz w:val="20"/>
          <w:szCs w:val="20"/>
          <w:color w:val="auto"/>
        </w:rPr>
      </w:pPr>
      <w:r>
        <w:rPr>
          <w:rFonts w:ascii="Times New Roman" w:cs="Times New Roman" w:eastAsia="Times New Roman" w:hAnsi="Times New Roman"/>
          <w:sz w:val="18"/>
          <w:szCs w:val="18"/>
          <w:color w:val="auto"/>
        </w:rPr>
        <w:t>Laws and regulations affecting public companies, including rules adopted by the SEC and by Nasdaq, may result in increased costs to us. These laws, rules and regulations could make it more difficult or costly for us to obtain certain types of insurance, including director and officer liability insurance, and we may be forced to accept reduced policy limits and coverage or incur substantially higher costs to obtain the same or similar coverage. The impact of these events could also make it more difficult for us to attract and retain qualified persons to serve on our board of directors, on our board committees or as executive officers. We cannot estimate accurately the amount or timing of additional costs we may incur to respond to these laws, rules and regulations.</w:t>
      </w:r>
    </w:p>
    <w:p>
      <w:pPr>
        <w:spacing w:after="0" w:line="195"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We identified a material weakness in our internal control over financial reporting and determined that our disclosure controls and procedures were ineffective as of June 30, 2021. As a result, we restated our financial statements as of and for the years ended June 30, 2021 and 2020. Relevant unaudited interim financial information for each of the quarterly periods ended September 30, 2020 through December 31, 2021 was also restated. As of June 30, 2022, we are in the process of remediating this material weakness. In the future, we may identify additional material weaknesses or otherwise fail to maintain an effective system of internal control over financial reporting or adequate disclosure controls and procedures, which may result in material errors in our financial statements or cause us to fail to meet our period reporting obligations.</w:t>
      </w:r>
    </w:p>
    <w:p>
      <w:pPr>
        <w:spacing w:after="0" w:line="7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w:t>
      </w:r>
    </w:p>
    <w:p>
      <w:pPr>
        <w:spacing w:after="0" w:line="2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conducted an assessment of the effectiveness of our internal control over financial reporting as of June 30, 2021.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In Management's Report on Internal Control over Financial Reporting included in our original Form 10-K for the year ended June 30, 2021, filed on September 2, 2021, (the "Original Form 10-K") our management previously concluded that we maintained effective internal control over financial reporting as of June 30, 2021. Our management subsequently concluded that a material weakness existed and our internal control over financial reporting was not effective as of June 30, 2021.</w:t>
      </w:r>
    </w:p>
    <w:p>
      <w:pPr>
        <w:spacing w:after="0" w:line="93"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In May 2022, we determined that we made certain errors in the manner in which we recognized revenue from our License, Development and Commercialization Agreement with Kyowa Kirin Company (the “KKC Commercialization Agreement”) with the result that revenue was overstated in some quarters and understated in other quarters in our financial statements during 2020 and 2021. The errors relate to the appropriate timing and amounts of revenue recognized over time under the cost-to-cost method associated with the KKC Commercialization Agreement.</w:t>
      </w:r>
    </w:p>
    <w:p>
      <w:pPr>
        <w:spacing w:after="0" w:line="68"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As a result, we determined that there were material errors in the financial statements that required a restatement of the June 30, 2021 and 2020 financial statements included in the Original Form 10-K for the year ended June 30, 2021 and our Forms 10-Q for the quarterly periods ended September 30, 2020 through December 31, 2021. This was due to the inadequate design and implementation of controls to evaluate and monitor the accounting for revenue recognition related to license agreements.</w:t>
      </w:r>
    </w:p>
    <w:p>
      <w:pPr>
        <w:spacing w:after="0" w:line="68"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Management is implementing enhanced internal controls to remediate the material weakness. The remediation plan includes enhancement of our contract review of license agreements to confirm appropriate understanding of the terms, as well as implementation of a control designed to evaluate and monitor, at inception and on a quarterly basis, the estimated consideration to be received under license agreements for purposes of revenue recognition, analysis of deferred revenue balances, and enhanced detailed review of our revenue recognition models. The elements of our remediation plan can only be accomplished over time, and we can offer no assurance that these initiatives will ultimately have the intended effects.</w:t>
      </w:r>
    </w:p>
    <w:p>
      <w:pPr>
        <w:spacing w:after="0" w:line="85"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If we are not able to comply with the requirements of the Sarbanes-Oxley Act or if we are unable to maintain effective internal control over financial reporting, we may not be able to produce timely and accurate financial statements or guarantee that information required to be disclosed by us in the reports that we file with the SEC, is recorded, processed, summarized, and reported within the time periods specified in SEC rules and forms. Any failure of our internal control over financial reporting or disclosure controls and procedures could cause our investors to lose confidence in our publicly reported information, cause the market price of our stock to decline, expose us to sanctions or investigations by the SEC or other regulatory authorities, or impact our results of operations.</w:t>
      </w:r>
    </w:p>
    <w:p>
      <w:pPr>
        <w:spacing w:after="0" w:line="195"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privacy issues could compromise our information and expose us to liability, which would cause our business and reputation to suffer.</w:t>
      </w:r>
    </w:p>
    <w:p>
      <w:pPr>
        <w:spacing w:after="0" w:line="5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our proprietary business information and that of our suppliers, as well as personally identifiable information of clinical trial participants and employees. Similarly, our third party providers possess certain of our sensitive protected health data. The secure maintenance of this information is critical to our operations and business strategy. Despite our reasonable security measures, our information technology and infrastructure may be vulnerable to cyberattacks or breached due to employee error, malfeasance or other disruptions. Cyberattacks and other security incidents are increasing in their frequency, levels of persistence, sophistication and intensity, and are being conducted by sophisticated and organized groups and individuals with a wide range of motives and expertise.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more sophisticated, and such systems, controls and processes may not be successful in preventing a breach or other incident. Any such security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incident could compromise our networks and the information stored there could be accessed, publicly disclosed, encrypted, lost or stolen. We could be required to expend significant amounts of money and other resources to repair or replace information systems or networks. In addition, our liability insurance may not be sufficient in type or amount to cover us against claims related to security breaches, cyberattacks and other related security incidents.</w:t>
      </w:r>
    </w:p>
    <w:p>
      <w:pPr>
        <w:spacing w:after="0" w:line="63"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legislative and regulatory landscape for privacy and data protection continues to evolve, and there has been an increasing amount of focus on privacy and data protection issues with the potential to affect our business, including compliance with the Health Insurance Portability and Accountability Act of 1996 and state laws requiring security breach notification. The collection and use of personal health data of individuals in the European Union is also governed by strict data protection laws. In addition to existing laws, since May 25, 2018, the General Data Protection Regulation (“GDPR”) has imposed obligations with respect to European Union data and substantial fines for breaches of the data protection rules. The GDPR increased our responsibility and potential liability in relation to personal data that we process, and we were required to implement additional mechanisms to comply with the GDPR and related European Union data protection rules. Enforcement uncertainty and the costs associated with ensuring GDPR compliance may be onerous and adversely affect our business, operating results, prospects and financial condition.</w:t>
      </w:r>
    </w:p>
    <w:p>
      <w:pPr>
        <w:spacing w:after="0" w:line="76"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continue to evaluate the legal issues that arise concerning transfer of personal data of residents of the European Economic Area (“EEA”) member states or the U.K. to the U.S. or other jurisdictions that are not deemed adequate by the European Commission. Among other steps, we are implementing the new standard contractual clauses issued on June 4, 2021 by the European Commission. It remains uncertain how these standard contractual clauses will be implemented by the data exporters and data importers and whether they will ultimately be deemed sufficient by European courts. MEI Pharma observes the developments and will agree to the appropriate data transfer mechanism. In addition to standard contractual clauses, we may rely on individual contents of the patients where appropriate and necessary to safeguard the data flow from the EU to the U.S. Present solutions to legitimize transfers of personal data from the EEA may be challenged or deemed insufficient. We may, in addition to other impacts, experience additional costs associated with increased compliance burdens, and we and our customers face the potential for regulators in the EEA or U.K. to apply different standards to the transfer of personal data from the EEA/ U.K. to the U.S., and to block, or require ad hoc verification of measures taken with respect to, certain data flows from the EEA or U.K. to the U.S. We also may be required to engage in new contract negotiations with third parties that aid in processing data on our behalf. We may experience reluctance or refusal by current or prospective European clinical trial sites and CROs to use our products, and we may find it necessary or desirable to make further changes to our processing of personal data of EEA or U.K. data subjects.</w:t>
      </w:r>
    </w:p>
    <w:p>
      <w:pPr>
        <w:spacing w:after="0" w:line="74"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Additionally, California has the California Consumer Privacy Act (“CCPA”), which creates individual privacy rights for consumers (as that word is broadly defined in the law) and places increased privacy and security obligations on entities handling personal data of consumers or households. The CCPA may significantly impact our business activities and require substantial compliance costs that adversely affect business, operating results, prospects and financial condition. Amendments to the CCPA mandated by the California Privacy Rights Act (“CPRA”) will impose additional privacy requirements, effective on January 1, 2023. Similarly comprehensive state consumer privacy laws in other states, such as Virginia, Utah, Connecticut and Colorado will also become effective in 2023. These new state privacy measures may reflect the start of a movement in other state legislatures to enact more comprehensive privacy laws, which would create a more complex privacy regulatory landscape for our business in the U.S. In addition, there is privacy legislation and rulemaking efforts at the federal level which may increase our privacy obligations in the U.S.</w:t>
      </w:r>
    </w:p>
    <w:p>
      <w:pPr>
        <w:spacing w:after="0" w:line="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Thus, any access, disclosure or other loss of information, including our data being breached at our partners or third party providers, along with violations of privacy laws that exist and are increasing around the world, could result in legal claims or proceedings and liability under laws that protect the privacy of personal information, disrupt our operations and damage our reputation, which could adversely affect our business.</w:t>
      </w:r>
    </w:p>
    <w:p>
      <w:pPr>
        <w:spacing w:after="0" w:line="16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37"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Even if we contract with third parties for the disposal of these materials and waste,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8"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the use of hazardous materials, but this insurance may not provide adequate coverage against potential liabilities. However, we do not maintain insurance for environmental liability or toxic tort claims that may be asserted against us.</w:t>
      </w:r>
    </w:p>
    <w:p>
      <w:pPr>
        <w:spacing w:after="0" w:line="6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51"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Events outside of our control, including natural disasters and public health emergencies, could severely disrupt our operations and have a material adverse effect on our business, operating results, prospects or financial condition. If a natural disaster, or public health emergency such as COVID-19, power outage or other event occurred that prevented us from conducting our clinical trials, including by damaging our critical infrastructure, such as third party facilities, or that otherwise disrupted operations and travel,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operating results, prospects or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deductibility of net operating losses could adversely affect our business and financial condition.</w:t>
      </w:r>
    </w:p>
    <w:p>
      <w:pPr>
        <w:spacing w:after="0" w:line="12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We have a history of net operating losses. In December 2017, the U.S government enacted comprehensive tax legislation commonly referred to as the Tax Cuts and Jobs Act (the “Tax Act”). The Tax Act limits the deduction of net operating losses to 80% of current year taxable income. The limitations on the net operating loss deduction, as well other changes in tax policy, may subject us to additional taxation, adversely affecting our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Securities Markets and Investment in our Stock</w:t>
      </w:r>
    </w:p>
    <w:p>
      <w:pPr>
        <w:spacing w:after="0" w:line="21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may continue to be highly volatile and could decline in value and we may incur significant costs from class action litigation.</w:t>
      </w:r>
    </w:p>
    <w:p>
      <w:pPr>
        <w:spacing w:after="0" w:line="3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could be highly volatile in response to various factors, many of which are beyond our control, including, but not limited to, the following:</w:t>
      </w:r>
    </w:p>
    <w:p>
      <w:pPr>
        <w:spacing w:after="0" w:line="67" w:lineRule="exact"/>
        <w:rPr>
          <w:sz w:val="20"/>
          <w:szCs w:val="20"/>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develop our drug candidates;</w:t>
      </w:r>
    </w:p>
    <w:p>
      <w:pPr>
        <w:spacing w:after="0" w:line="15" w:lineRule="exact"/>
        <w:rPr>
          <w:rFonts w:ascii="Times New Roman" w:cs="Times New Roman" w:eastAsia="Times New Roman" w:hAnsi="Times New Roman"/>
          <w:sz w:val="18"/>
          <w:szCs w:val="18"/>
          <w:color w:val="auto"/>
        </w:rPr>
      </w:pPr>
    </w:p>
    <w:p>
      <w:pPr>
        <w:ind w:left="1020" w:hanging="504"/>
        <w:spacing w:after="0" w:line="234"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results and timing of clinical trials and pre-clinical studies;</w:t>
      </w: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7"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introduced or announced by us or our competitors;</w:t>
      </w:r>
    </w:p>
    <w:p>
      <w:pPr>
        <w:ind w:left="1020" w:hanging="504"/>
        <w:spacing w:after="0" w:line="234"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ind w:left="1020" w:hanging="504"/>
        <w:spacing w:after="0" w:line="234"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operating results;</w:t>
      </w: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or termination of licenses, research contracts or other collaboration agreements;</w:t>
      </w:r>
    </w:p>
    <w:p>
      <w:pPr>
        <w:spacing w:after="0" w:line="7"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the regulatory climate and the biotechnology, pharmaceutical and genomics industries;</w:t>
      </w:r>
    </w:p>
    <w:p>
      <w:pPr>
        <w:ind w:left="1020" w:hanging="504"/>
        <w:spacing w:after="0" w:line="234"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stock market as a result of current or future domestic and global events;</w:t>
      </w: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7"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any market for our securities; and</w:t>
      </w: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delisting of our common stock from a national stock exchange.</w:t>
      </w:r>
    </w:p>
    <w:p>
      <w:pPr>
        <w:spacing w:after="0" w:line="83"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Equity markets in general, and the market for biotechnology and life sciences companies in particular, have experienced substantial price and volume fluctuations that have often been unrelated or disproportionate to the operating performance of companies traded in those markets. In addition, changes in economic conditions in the U.S., the Europe or globally, particularly in the context of current global events, could impact upon our ability to grow profitably. Adverse economic changes are outside our control and may result in material adverse impacts on our business or our results of operations. These broad market and industry factors may materially affect the market price of shares of our common stock, regardless of our development and operating performance. In the past, following periods of volatility in the market price of a company’s securities, securities class-action litigation has often been instituted against that company. Such litigation, if instituted against us, could cause us to incur substantial costs and divert management’s attention and resources.</w:t>
      </w:r>
    </w:p>
    <w:p>
      <w:pPr>
        <w:spacing w:after="0" w:line="180"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common stock issued upon exercise of outstanding warrants or options, may depress the market price of our common stock and cause stockholders to experience dilution.</w:t>
      </w:r>
    </w:p>
    <w:p>
      <w:pPr>
        <w:spacing w:after="0" w:line="51"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of substantial amounts of our common stock in the public market, including upon exercise of outstanding warrants or stock options, and any subsequent sales of such shares. As of June 30, 2022, we had outstanding warrants exercisable to purchase 16,058,985 shares of common stock at an exercise price of $2.54 per share, which expire in May 2023. We also had outstanding options to purchase 19,934,007 shares of common stock and outstanding restricted stock units ("RSUs") representing the right to receive 184,400 shares of common stock. We may seek additional capital through one or more additional equity transactions in the future; however, such transactions will be subject to market conditions and there can be no assurance any such transactions will be completed. If we sell shares in the future, the prices at which we sell these future shares will vary, and these variations may be significant. Stockholders will experience significant dilution if we sell these future shares at prices significantly below the price at which such previous stockholders invested.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Because we do not intend to pay, and have not paid, any cash dividends on our shares of common stock, our stockholders will not be able to receive a return on their shares unless the value of our common stock appreciates and they sell their shares.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and we intend to retain any future earnings to finance the development and expansion of our business. We do not anticipate paying any cash dividends on our common stock in the foreseeable future. Therefore, our stockholders will not be able to receive a return on their investment unless the value of our common stock appreciates and they sell their shares.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the net proceeds from any exercise of outstanding warrants and options.</w:t>
      </w:r>
    </w:p>
    <w:p>
      <w:pPr>
        <w:spacing w:after="0" w:line="121"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We will have broad discretion to use the net proceeds to us upon any exercise of outstanding warrants and options, and investors in our stock will be relying on the judgment of our board of directors and management regarding the application of these proceeds. Although we expect to use a substantial portion of the net proceeds from any exercise of the warrants and options for general corporate purposes and progression of our clinical trial programs, we have not allocated these net proceeds for specific purposes.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authorized to issue blank check preferred stock, which could adversely affect the holders of our common stock.</w:t>
      </w:r>
    </w:p>
    <w:p>
      <w:pPr>
        <w:spacing w:after="0" w:line="107"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Our amended and restated certificate of incorporation allows us to issue blank check preferred stock with rights potentially senior to those of our common stock without any further vote or action by the holders of our common stock. The issuance of a class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shares, or making a change in control of the Company more difficult.</w:t>
      </w:r>
    </w:p>
    <w:p>
      <w:pPr>
        <w:spacing w:after="0" w:line="189" w:lineRule="exact"/>
        <w:rPr>
          <w:sz w:val="20"/>
          <w:szCs w:val="20"/>
          <w:color w:val="auto"/>
        </w:rPr>
      </w:pPr>
    </w:p>
    <w:p>
      <w:pPr>
        <w:ind w:right="70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amended and restated certificate of incorporation and third amended and restated bylaws, as well as provisions of Delaware law, could impair a takeover attempt.</w:t>
      </w:r>
    </w:p>
    <w:p>
      <w:pPr>
        <w:spacing w:after="0" w:line="51"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and third amended and restated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81" w:lineRule="exact"/>
        <w:rPr>
          <w:sz w:val="20"/>
          <w:szCs w:val="20"/>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providing for three classes of directors, which limits the ability of a stockholder or group to gain control of our board;</w:t>
      </w:r>
    </w:p>
    <w:p>
      <w:pPr>
        <w:spacing w:after="0" w:line="15" w:lineRule="exact"/>
        <w:rPr>
          <w:rFonts w:ascii="Times New Roman" w:cs="Times New Roman" w:eastAsia="Times New Roman" w:hAnsi="Times New Roman"/>
          <w:sz w:val="18"/>
          <w:szCs w:val="18"/>
          <w:color w:val="auto"/>
        </w:rPr>
      </w:pPr>
    </w:p>
    <w:p>
      <w:pPr>
        <w:ind w:left="1020" w:hanging="504"/>
        <w:spacing w:after="0" w:line="23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ind w:left="1020" w:right="500" w:hanging="504"/>
        <w:spacing w:after="0" w:line="24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 and</w:t>
      </w:r>
    </w:p>
    <w:p>
      <w:pPr>
        <w:ind w:left="1020" w:right="80" w:hanging="504"/>
        <w:spacing w:after="0" w:line="239"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9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Our third amended and restated bylaws require,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w:t>
      </w:r>
    </w:p>
    <w:p>
      <w:pPr>
        <w:spacing w:after="0" w:line="6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third amended and restated bylaws provide that, unless the Company consents in writing to the selection of an alternative forum, the Court of Chancery of the State of Delaware will, to the fullest extent permitted by law, be the sole and exclusive forum for any stockholder to bring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its directors, officers or employees arising pursuant to any provision of the Delaware General Corporation Law, or (iv) any action asserting a claim against the Company, its directors, officers or employees governed by the internal affairs doctrine, and, if brought outside of Delaware, the stockholder bringing the suit will be deemed to have consented to service of process on such stockholder’s counsel, provided, however, that, in each case, if the Court of Chancery does not have jurisdiction, the forum for such action shall be another state court located within the State of Delaware or, if no state court located within the State of Delaware has jurisdiction, the federal district court for the District of Delaware, in all cases subject to the court having personal jurisdiction over the indispensable parties named as defendants therein.</w:t>
      </w:r>
    </w:p>
    <w:p>
      <w:pPr>
        <w:spacing w:after="0" w:line="7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shares of capital stock of the Company shall be deemed to have notice of and consented to such provisions.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Notwithstanding the foregoing, the forum selection provision of our third amended and restated bylaws will not apply to suits brought to enforce any liability or duty created by the federal securities laws or any other claim for which the federal district courts of the U.S. of America shall be the sole and exclusive forum.</w:t>
      </w:r>
    </w:p>
    <w:p>
      <w:pPr>
        <w:spacing w:after="0" w:line="81"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third amended and restated bylaws to be inapplicable or unenforceable in an action, we may incur additional costs associated with resolving such action in other jurisdictions, which could harm our business, operating results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executive officers and directors may sell shares of their stock, and these sales could adversely affect our stock price.</w:t>
      </w:r>
    </w:p>
    <w:p>
      <w:pPr>
        <w:spacing w:after="0" w:line="107"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Sales of our stock by our executive officers and directors, or the perception that such sales may occur, could cause the market price of our common stock to decline or could make it more difficult for us to raise funds through the sale of equity in the future, either as part, or outside, of trading plans under Rule 10b5-1 under the Securities Exchange Act of 1934, as amended (the “Exchange Act”).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occupy approximately 45,100 square feet of office space in San Diego, California under a lease that expires in November 2029. We believe our current office space is adequate for our immediate needs and that suitable additional space will be available as and when needed.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“MEIP”.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07"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As of September 6, 2022, there were 133,260,865 shares of our common stock outstanding and 556 holders of record of our common stock. This number was derived from our stockholder records and does not include beneficial owners of our common stock whose shares are held in the name of various dealers, clearing agencies, banks, brokers and other fiduciaries.</w:t>
      </w:r>
    </w:p>
    <w:p>
      <w:pPr>
        <w:spacing w:after="0" w:line="6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For a discussion of outstanding warrants and other securities exercisable for or convertible into shares of our common stock, see Notes 8 and 9 under Item 8 in this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anticipate paying any cash dividends in the foreseeable future.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intend to retain all available funds and future earnings, if any, to support operations and finance the growth and development of our business.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future determination related to our dividend policy will be made at the discretion of our board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07"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The table below shows, as of June 30, 2022, information for equity compensation plans previously approved by stockholders and for compensation plans not previously approved by stockholders.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 future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0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6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00" w:type="dxa"/>
            <w:vAlign w:val="bottom"/>
          </w:tcPr>
          <w:p>
            <w:pPr>
              <w:spacing w:after="0"/>
              <w:rPr>
                <w:sz w:val="13"/>
                <w:szCs w:val="13"/>
                <w:color w:val="auto"/>
              </w:rPr>
            </w:pPr>
          </w:p>
        </w:tc>
        <w:tc>
          <w:tcPr>
            <w:tcW w:w="15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00" w:type="dxa"/>
            <w:vAlign w:val="bottom"/>
          </w:tcPr>
          <w:p>
            <w:pPr>
              <w:spacing w:after="0"/>
              <w:rPr>
                <w:sz w:val="13"/>
                <w:szCs w:val="13"/>
                <w:color w:val="auto"/>
              </w:rPr>
            </w:pPr>
          </w:p>
        </w:tc>
        <w:tc>
          <w:tcPr>
            <w:tcW w:w="21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7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 (1)</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17,761,407</w:t>
            </w: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center"/>
              <w:ind w:left="1063"/>
              <w:spacing w:after="0"/>
              <w:rPr>
                <w:sz w:val="20"/>
                <w:szCs w:val="20"/>
                <w:color w:val="auto"/>
              </w:rPr>
            </w:pPr>
            <w:r>
              <w:rPr>
                <w:rFonts w:ascii="Times New Roman" w:cs="Times New Roman" w:eastAsia="Times New Roman" w:hAnsi="Times New Roman"/>
                <w:sz w:val="18"/>
                <w:szCs w:val="18"/>
                <w:color w:val="auto"/>
                <w:w w:val="98"/>
              </w:rPr>
              <w:t>$2.95</w:t>
            </w:r>
          </w:p>
        </w:tc>
        <w:tc>
          <w:tcPr>
            <w:tcW w:w="10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9,154,665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2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Equity compensation plans not approved by security holders (2)</w:t>
            </w:r>
          </w:p>
        </w:tc>
        <w:tc>
          <w:tcPr>
            <w:tcW w:w="16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2,357,0</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8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color w:val="auto"/>
              </w:rPr>
              <w:t>2.07</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56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20,118,407</w:t>
            </w:r>
          </w:p>
        </w:tc>
        <w:tc>
          <w:tcPr>
            <w:tcW w:w="10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top w:val="single" w:sz="8" w:color="auto"/>
              <w:bottom w:val="single" w:sz="8" w:color="auto"/>
            </w:tcBorders>
            <w:shd w:val="clear" w:color="auto" w:fill="CFF0FC"/>
          </w:tcPr>
          <w:p>
            <w:pPr>
              <w:jc w:val="center"/>
              <w:ind w:left="1063"/>
              <w:spacing w:after="0"/>
              <w:rPr>
                <w:sz w:val="20"/>
                <w:szCs w:val="20"/>
                <w:color w:val="auto"/>
              </w:rPr>
            </w:pPr>
            <w:r>
              <w:rPr>
                <w:rFonts w:ascii="Times New Roman" w:cs="Times New Roman" w:eastAsia="Times New Roman" w:hAnsi="Times New Roman"/>
                <w:sz w:val="18"/>
                <w:szCs w:val="18"/>
                <w:color w:val="auto"/>
                <w:w w:val="98"/>
              </w:rPr>
              <w:t>$2.85</w:t>
            </w:r>
          </w:p>
        </w:tc>
        <w:tc>
          <w:tcPr>
            <w:tcW w:w="100" w:type="dxa"/>
            <w:vAlign w:val="bottom"/>
            <w:tcBorders>
              <w:bottom w:val="single" w:sz="8" w:color="CFF0FC"/>
            </w:tcBorders>
            <w:shd w:val="clear" w:color="auto" w:fill="CFF0FC"/>
          </w:tcPr>
          <w:p>
            <w:pPr>
              <w:spacing w:after="0"/>
              <w:rPr>
                <w:sz w:val="21"/>
                <w:szCs w:val="21"/>
                <w:color w:val="auto"/>
              </w:rPr>
            </w:pP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9,297,665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left="1020" w:right="20" w:hanging="504"/>
        <w:spacing w:after="0" w:line="244"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17,577,007 shares of common stock issuable upon exercise of options and 184,400 shares of common stock upon vesting of RSUs, in each case, granted under the MEI Pharma, Inc. Amended and Restated 2008 Stock Omnibus Equity Compensation Plan (“Omnibus Plan”), under which 29,014,794 shares of common stock are authorized for issuance. The Omnibus Plan provides for the grant of options and/or other stock-based or stock-denominated awards to our non-employee directors, officers, employees and advisors. The weighted-average exercise price presented is the weighted-average exercise price of vested and unvested options. The RSUs have no exercise price. For purposes of determining the number of shares available for future grant, each outstanding RSU as of June 30, 2022 is calculated as 1.25 shares of common stock under the terms of the Omnibus Plan.</w:t>
      </w:r>
    </w:p>
    <w:p>
      <w:pPr>
        <w:spacing w:after="0" w:line="77" w:lineRule="exact"/>
        <w:rPr>
          <w:rFonts w:ascii="Times New Roman" w:cs="Times New Roman" w:eastAsia="Times New Roman" w:hAnsi="Times New Roman"/>
          <w:sz w:val="18"/>
          <w:szCs w:val="18"/>
          <w:color w:val="auto"/>
        </w:rPr>
      </w:pPr>
    </w:p>
    <w:p>
      <w:pPr>
        <w:ind w:left="1020" w:right="140" w:hanging="504"/>
        <w:spacing w:after="0" w:line="25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2,357,000 shares of common stock issuable upon exercise of options granted under the MEI Pharma, Inc. 2022 Inducement Plan (“Inducement Plan”), under which 2,500,000 shares of common stock are authorized for issuance. The Inducement Plan provides for the grant of options and/or other stock-based or stock-denominated awards to attract and retain selected individuals to serve as employees. The weighted-average exercise price presented is the weighted-average exercise price of vested and unvested options.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07"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“Item 8. Financial Statements and Supplementary Data” included below in this Annual Report. Operating results are not necessarily indicative of results that may occur in future periods.</w:t>
      </w:r>
    </w:p>
    <w:p>
      <w:pPr>
        <w:spacing w:after="0" w:line="41"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This discussion and analysis contains forward-looking statements that involve a number of risks, uncertainties and assumptions. Actual results may differ materially from those anticipated in the forward-looking statements as a result of many factors including, but not limited to, those set forth under “Cautionary Statement About Forward-Looking Statements” and “Risk Factors” in Item 1A. included above in this Annual Report. All forward-looking statements included in this Annual Report are based on the information available to us as of the time we file this Annual Report, and except as required by law, we undertake no obligation to update publicly or revise any forward-looking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7"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7"/>
          <w:szCs w:val="17"/>
          <w:color w:val="auto"/>
        </w:rPr>
        <w:t>We are a late-stage pharmaceutical company committed to the development and commercialization of novel cancer therapies intended to improve outcomes for patients. MEI Pharma's portfolio of drug candidates has three clinical-stage assets, including zandelisib (f/k/a ME-401), currently in multiple ongoing clinical studies intended to support marketing applications with the U.S. Food and Drug Administration (“FDA”) and other regulatory authorities globally. Our approach to building our pipeline is to license or acquire promising cancer agents and build value in programs through development, commercialization and strategic partnerships, as appropriate. Our common stock is listed on the Nasdaq Capital Market under the symbol “MEIP.”</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121" w:lineRule="exact"/>
        <w:rPr>
          <w:sz w:val="20"/>
          <w:szCs w:val="20"/>
          <w:color w:val="auto"/>
        </w:rPr>
      </w:pPr>
    </w:p>
    <w:p>
      <w:pPr>
        <w:jc w:val="both"/>
        <w:ind w:right="220" w:firstLine="509"/>
        <w:spacing w:after="0" w:line="250" w:lineRule="auto"/>
        <w:rPr>
          <w:sz w:val="20"/>
          <w:szCs w:val="20"/>
          <w:color w:val="auto"/>
        </w:rPr>
      </w:pPr>
      <w:r>
        <w:rPr>
          <w:rFonts w:ascii="Times New Roman" w:cs="Times New Roman" w:eastAsia="Times New Roman" w:hAnsi="Times New Roman"/>
          <w:sz w:val="18"/>
          <w:szCs w:val="18"/>
          <w:color w:val="auto"/>
        </w:rPr>
        <w:t>We build our pipeline by licensing promising cancer agents and creating value in programs through development, commercialization and strategic partnerships, as appropriate. Our objective is to leverage the mechanisms and properties of our pipeline drug candidates to optimize the balance between efficacy and tolerability to meet the needs of patients with cancer. Our drug candidate pipeline includes:</w:t>
      </w:r>
    </w:p>
    <w:p>
      <w:pPr>
        <w:spacing w:after="0" w:line="81" w:lineRule="exact"/>
        <w:rPr>
          <w:sz w:val="20"/>
          <w:szCs w:val="20"/>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Zandelisib (f/k/a ME-401), an oral phosphatidylinositol 3-kinase (“PI3K”) delta inhibitor;</w:t>
      </w:r>
    </w:p>
    <w:p>
      <w:pPr>
        <w:spacing w:after="0" w:line="15" w:lineRule="exact"/>
        <w:rPr>
          <w:rFonts w:ascii="Times New Roman" w:cs="Times New Roman" w:eastAsia="Times New Roman" w:hAnsi="Times New Roman"/>
          <w:sz w:val="18"/>
          <w:szCs w:val="18"/>
          <w:color w:val="auto"/>
        </w:rPr>
      </w:pPr>
    </w:p>
    <w:p>
      <w:pPr>
        <w:ind w:left="1020" w:hanging="504"/>
        <w:spacing w:after="0" w:line="234"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Voruciclib, an oral cyclin-dependent kinase ("CDK") 9 (“CDK9”) inhibitor; and</w:t>
      </w: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ME-344, a mitochondrial inhibitor targeting the oxidative phosphorylation (“OXPHOS”) complex.</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more complete discussion of our business, see the section of this Annual Report “Item 1. Business”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Nasdaq Bid Price Letter</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May 9, 2022, we received a letter from Nasdaq indicating that, for the last thirty consecutive business days, the bid price for our common stock had closed below the minimum $1.00 per share requirement for continued listing on the Nasdaq Capital Market.</w:t>
      </w:r>
    </w:p>
    <w:p>
      <w:pPr>
        <w:spacing w:after="0" w:line="54"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In accordance with Nasdaq listing rules, we were provided an initial period of 180 calendar days, or until November 7, 2022, to regain compliance. The letter states that Nasdaq will provide written notification that we have achieved compliance with its rules if at any time before November 7, 2022, the bid price of our common stock closes at $1.00 per share or more for a minimum of ten consecutive business days. The Nasdaq letter had no immediate effect on the listing or trading of our common stock, and the common stock continued to trade on The Nasdaq Capital Market.</w:t>
      </w:r>
    </w:p>
    <w:p>
      <w:pPr>
        <w:spacing w:after="0" w:line="68"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If we do not regain compliance with Nasdaq listing rules by November 7, 2022, we may be eligible for an additional 180 calendar day compliance period. To qualify, we would be required to meet the continued listing requirement for market value of publicly held shares and all other initial listing standards for the Nasdaq Capital Market, with the exception of the bid price requirement, and would need to provide written notice of its intention to cure the deficiency during the second compliance period, by effecting a reverse stock split, if necessary. However, if it appears to Nasdaq that we will not be able to cure the deficiency, or if we are otherwise not eligible, Nasdaq would notify us that our securities would be subject to delisting. In the event of such a notification, we may appeal Nasdaq’s determination to delist our securities, but there can be no assurance Nasdaq would grant our request for continued listing.</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regained compliance with Nasdaq listing rules as of the date of this Annual Report.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Transactions</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Underwritten Registered Offering</w:t>
      </w:r>
    </w:p>
    <w:p>
      <w:pPr>
        <w:spacing w:after="0" w:line="119"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During the year ended June 30, 2022, we completed an underwritten registered offering of 20,125,000 shares of common stock at a price per share of $2.60 for net cash proceeds of $48.7 million, after offering costs of $3.7 million. During the year ended June 30, 2020, we completed an underwritten registered offering of 32,343,750 shares of common stock at a price per share of $1.60 for net cash proceeds of $48.5 million, after offering costs of $3.3 million.</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Shelf Registration Statement</w:t>
      </w:r>
    </w:p>
    <w:p>
      <w:pPr>
        <w:spacing w:after="0" w:line="105"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We have a shelf registration statement that permits us to sell, from time to time, up to $200.0 million of common stock, preferred stock and warrants. The shelf registration was filed and declared effective in May 2020, replacing our prior shelf registration statement that was filed and declared effective in May 2017, and carrying forward approximately $107.5 million of unsold securities registered under the prior shelf registration statement. As of June 30, 2022, there was $123.4 million aggregate value of securities available under the shelf registration statement.</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At-The-Market Equity Offering</w:t>
      </w:r>
    </w:p>
    <w:p>
      <w:pPr>
        <w:spacing w:after="0" w:line="119"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On November 10, 2020, we entered into an At-The-Market Equity Offering Sales Agreement (the “2020 ATM Sales Agreement”), pursuant to which we may sell an aggregate of up to $60.0 million of our common stock pursuant to the shelf registration statement. We had previously entered into an At-The-Market Equity Offering Sales Agreement in November 2017 (the “2017 ATM Sales Agreement”), pursuant to which we could sell an aggregate of up to $30.0 million of our common stock pursuant to the shelf registration statement. The 2017 ATM Sales Agreement expired on November 8, 2020. During the year ended June 30, 2021, we sold 958,083 shares under the 2017 ATM Sales Agreement for net proceeds of $3.1 million, after costs of $0.1 million. There were no sales under the 2020 ATM Sales Agreement during the year ended June 30, 2022. As of June 30, 2022, there was $60.0 million remaining available under the 2020 ATM Sales Agreement.</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05" w:lineRule="exact"/>
        <w:rPr>
          <w:sz w:val="20"/>
          <w:szCs w:val="20"/>
          <w:color w:val="auto"/>
        </w:rPr>
      </w:pPr>
    </w:p>
    <w:p>
      <w:pPr>
        <w:jc w:val="both"/>
        <w:ind w:right="80" w:firstLine="509"/>
        <w:spacing w:after="0" w:line="247" w:lineRule="auto"/>
        <w:rPr>
          <w:sz w:val="20"/>
          <w:szCs w:val="20"/>
          <w:color w:val="auto"/>
        </w:rPr>
      </w:pPr>
      <w:r>
        <w:rPr>
          <w:rFonts w:ascii="Times New Roman" w:cs="Times New Roman" w:eastAsia="Times New Roman" w:hAnsi="Times New Roman"/>
          <w:sz w:val="18"/>
          <w:szCs w:val="18"/>
          <w:color w:val="auto"/>
        </w:rPr>
        <w:t>As of June 30, 2022, we had outstanding warrants to purchase 16,058,985 shares of our common stock. The warrants are fully vested, exercisable at a price of $2.54 per share and expire in May 2023. Pursuant to the terms of the warrants, we could be required to settle the warrants in cash in the event of an acquisition of the Company and, as a result, the warrants are required to be measured at fair value and reported as a liability in the Balance Sheets.</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Therefore, we are required to account for the warrants as liabilities and record them at fair value. The warrants were revalued as of June 30, 2022, 2021 and 2020 at $1.6 million, $22.4 million and $40.5 million, respectively. The changes in fair value were recorded on our Statements of Operations. During the year ended June 30, 2021, a warrant holder completed a cashless exercise of 2,617 warrants for 964 shares of common stock. No warrants were exercised during the years ended June 30, 2022 and 2020.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Management Estimates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financial statements, which have been prepared in accordance with accounting principles generally accepted in the U.S. The preparation of these financial statements</w:t>
      </w:r>
    </w:p>
    <w:p>
      <w:pPr>
        <w:sectPr>
          <w:pgSz w:w="11900" w:h="16838" w:orient="portrait"/>
          <w:cols w:equalWidth="0" w:num="1">
            <w:col w:w="11240"/>
          </w:cols>
          <w:pgMar w:left="320" w:top="414" w:right="3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requires us to make estimates and assumptions that affect the reported amounts of assets, liabilities, expenses and related disclosures. Actual results could differ from those estimates. We believe the following accounting policies to be critical to the judgments and estimates used in the preparation of our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Revenues from Customers</w:t>
      </w:r>
    </w:p>
    <w:p>
      <w:pPr>
        <w:spacing w:after="0" w:line="103"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when control of the promised goods or services is transferred to our customers, in an amount that reflects the consideration we expect to be entitled to in exchange for those goods or services. For enforceable contracts with our customers, we first identify the distinct performance obligations – or accounting units – within the contract. Performance obligations are commitments in a contract to transfer a distinct good or service to the customer.</w:t>
      </w:r>
    </w:p>
    <w:p>
      <w:pPr>
        <w:spacing w:after="0" w:line="67"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Payments received under commercial arrangements, such as licensing technology rights, may include non-refundable fees at the inception of the arrangements, cost reimbursements, milestone payments for specific achievements designated in the agreements, and royalties on the sale of products. At the inception of arrangements that include variable consideration, we use judgment to estimate the amount of variable consideration to include in the transaction price using the most likely method. If it is probable that a significant revenue reversal will not occur, the estimated amount is included in the transaction price. Milestone payments that are not within our or the licensee’s control, such as regulatory approvals, are not included in the transaction price until those approvals are received. At the end of each reporting period, we re-evaluate estimated variable consideration included in the transaction price and any related constraint and, as necessary, we adjust our estimate of the overall transaction price.</w:t>
      </w:r>
    </w:p>
    <w:p>
      <w:pPr>
        <w:spacing w:after="0" w:line="91"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We develop estimates of the stand-alone selling price for each distinct performance obligation. Variable consideration that relates specifically to our efforts to satisfy specific performance obligations is allocated entirely to those performance obligations. Other components of the transaction price are allocated based on the relative stand-alone selling price, over which management has applied significant judgment. We develop assumptions that require judgment to determine the stand-alone selling price for license-related performance obligations, which may include forecasted revenues, development timelines, reimbursement rates for personnel costs, discount rates and probabilities of technical, regulatory and commercial success. We estimate stand-alone selling price for research and development performance obligations by forecasting the expected costs of satisfying a performance obligation plus an appropriate margin.</w:t>
      </w:r>
    </w:p>
    <w:p>
      <w:pPr>
        <w:spacing w:after="0" w:line="7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In the case of a license that is a distinct performance obligation, we recognize revenue allocated to the license from non-refundable, up-front fees at the point in time when the license is transferred to the licensee and the licensee can use and benefit from the license. For licenses that are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 the measure of progress each reporting period and, if necessary, adjust the measure of performance and related revenue recognition.</w:t>
      </w:r>
    </w:p>
    <w:p>
      <w:pPr>
        <w:spacing w:after="0" w:line="9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selection of the method to measure progress towards completion requires judgment and is based on the nature of the products or services to be provided. Revenue is recorded proportionally as costs are incurred. We generally use the cost-to-cost measure of progress because it best depicts the transfer of control to the customer which occurs as we incur costs. Under the cost-to-cost measure of progress, the extent of progress towards completion is measured based on the ratio of costs incurred to date to the total estimated costs at completion of the performance obligation (an “input method” under Topic 606). We use judgment to estimate the total cost expected to complete the research and development performance obligations, which include subcontractors’ costs, labor, materials, other direct costs and an allocation of indirect costs. We evaluate these cost estimates and the progress each reporting period and, as necessary, we adjust the measure of progress and related revenue recognition.</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Revenues from Collaborators</w:t>
      </w:r>
    </w:p>
    <w:p>
      <w:pPr>
        <w:spacing w:after="0" w:line="103"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 xml:space="preserve">At contract inception, we assess whether the collaboration arrangements are within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("Topic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Topic 808 that contain multiple units of account, we first determine which units of account within the arrangement are within the scope of Topic 808 and which elements are within the scope of Topic 606. For units of account within collaboration arrangements that are accounted for pursuant to Topic 808, an appropriate recognition method is determined and applied consistently, by analogy to authoritative accounting literature. For units of account within collaboration arrangements that are accounted for pursuant to Topic 606, we recognize revenue as discussed above. Consideration received that does not meet the requirements to satisfy Topic 606 revenue recognition criteria is recorded as deferred revenue on the Balance Sheets, classified as either current or long-term deferred revenue based on our best estimate of when such amounts will be recognized.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07"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include costs paid to third party contractors to perform research, conduct clinical trials and develop and manufacture drug materials. Clinical trial costs, including costs associated with third party contractors, are a significant component of research and development expenses. We expense research and development costs based on work performed. In determining the amount to expense, management relies on estimates of total costs based on contract components completed, the enrollment of subjects, the completion of trials, and other events. Costs incurred related to the purchase or licensing of in-process research and development for early-stage products or products that are not commercially viable and ready for use, or have no alternative future use, are charged to expense in the period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07"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Share-based compensation expense stock options and restricted stock units, ("RSUs"), granted to employees and directors is recognized in the Statements of Operations based on estimated amounts. For stock options, we estimate the grant date fair value using a Black-Scholes valuation model, which requires the use of multiple subjective inputs including estimated future volatility, expected forfeitures and the expected term of the awards. We estimate the expected future volatility based on the stock’s historical price volatility. The stock’s future volatility may differ from the estimated volatility at the grant date. For RSUs, we estimate the grant date fair value using our closing stock price on the date of grant. We recognize the effect of forfeitures in share-based compensation expense when the forfeitures occur. We recognize the value of the awards over the awards’ requisite service or performance periods. The requisite service period is generally the time over which our share-based awards vest.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Liability</w:t>
      </w:r>
    </w:p>
    <w:p>
      <w:pPr>
        <w:spacing w:after="0" w:line="121"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Pursuant to the terms of the warrants, we could be required to settle our warrants in cash in the event of an acquisition of the Company and, as a result, the warrants are required to be measured at fair value and reported as a liability in the Balance Sheets. We recorded the fair value of the warrants upon issuance using the Black-Scholes valuation model, and are required to revalue the warrants at each reporting date with any changes in fair value recorded on our Statements of Operations. Inputs used to determine the estimated fair value of the warrant liabilities include the estimated fair value of the underlying stock at the valuation date, the estimated term of the warrants, risk-free interest rates, expected dividends and the expected volatility of the underlying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0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At the inception of a leasing arrangement, we determine whether the arrangement is or contains a lease based on the unique facts and circumstances within the arrangement. A lease is identified where an arrangement conveys the right to control the use of identified property, plant, and equipment for a period of time in exchange for consideration. Leases which are identified within the scope of ASC 842 and which have a term greater than one year are recognized on our Balance Sheets as ROU assets and operating lease liabilities. Operating lease liabilities and their corresponding ROU assets are recorded based on the present value of lease payments over the expected remaining lease term. The lease term includes any renewal options and termination options that we are reasonably certain to exercise. Certain adjustments to the ROU asset may be required for items such as initial direct costs paid or incentives received. The present value of lease payments is determined by using the interest rate implicit in the lease, if that rate is readily determinable; otherwise, we use our incremental borrowing rate. The interest rate implicit in lease contracts to calculate the present value is typically not readily determinable. As such, significant management judgment is required to estimate the incremental borrowing rate.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7"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Our income tax expense consists of current and deferred income tax expense or benefit. Current income tax expense or benefit is the amount of income taxes expected to be payable or refundable for the current year. A deferred income tax asset or liability is recognized for the future tax consequences attributable to tax credits and loss carryforwards and to differences between the financial statement carrying amounts of existing assets and liabilities and their respective tax bases. Deferred tax assets are reduced by a valuation allowance when, in the opinion of management, it is more likely than not that some portion or all of the deferred tax assets will not be realized. As of June 30, 2022 and 2021, we have established a valuation allowance to fully reserve our net deferred tax assets. Changes in our ownership may limit the amount of net operating loss carryforwards that can be utilized in the future to offset taxable income.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June 30, 2022 and 2021</w:t>
      </w:r>
    </w:p>
    <w:p>
      <w:pPr>
        <w:spacing w:after="0" w:line="11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increased by $5.9 million primarily due to increased reimbursement of expenses from KKC due to research and development activity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zandelisib.</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74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table illustrates the components of our research and development expenses for the years presented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206" w:lineRule="exact"/>
        <w:rPr>
          <w:sz w:val="20"/>
          <w:szCs w:val="20"/>
          <w:color w:val="auto"/>
        </w:rPr>
      </w:pPr>
    </w:p>
    <w:tbl>
      <w:tblPr>
        <w:tblLayout w:type="fixed"/>
        <w:tblInd w:w="1080" w:type="dxa"/>
        <w:tblCellMar>
          <w:top w:w="0" w:type="dxa"/>
          <w:left w:w="0" w:type="dxa"/>
          <w:bottom w:w="0" w:type="dxa"/>
          <w:right w:w="0" w:type="dxa"/>
        </w:tblCellMar>
      </w:tblPr>
      <w:tr>
        <w:trPr>
          <w:trHeight w:val="187"/>
        </w:trPr>
        <w:tc>
          <w:tcPr>
            <w:tcW w:w="6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80" w:type="dxa"/>
            <w:vAlign w:val="bottom"/>
          </w:tcPr>
          <w:p>
            <w:pPr>
              <w:spacing w:after="0"/>
              <w:rPr>
                <w:sz w:val="16"/>
                <w:szCs w:val="16"/>
                <w:color w:val="auto"/>
              </w:rPr>
            </w:pPr>
          </w:p>
        </w:tc>
      </w:tr>
      <w:tr>
        <w:trPr>
          <w:trHeight w:val="169"/>
        </w:trPr>
        <w:tc>
          <w:tcPr>
            <w:tcW w:w="6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zandelisib</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54,764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46,052</w:t>
            </w:r>
          </w:p>
        </w:tc>
        <w:tc>
          <w:tcPr>
            <w:tcW w:w="80" w:type="dxa"/>
            <w:vAlign w:val="bottom"/>
            <w:shd w:val="clear" w:color="auto" w:fill="CFF0FC"/>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voruciclib</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80" w:type="dxa"/>
            <w:vAlign w:val="bottom"/>
          </w:tcPr>
          <w:p>
            <w:pPr>
              <w:spacing w:after="0"/>
              <w:rPr>
                <w:sz w:val="18"/>
                <w:szCs w:val="18"/>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ME-344</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shd w:val="clear" w:color="auto" w:fill="CFF0FC"/>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22,487</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19,447</w:t>
            </w:r>
          </w:p>
        </w:tc>
        <w:tc>
          <w:tcPr>
            <w:tcW w:w="80" w:type="dxa"/>
            <w:vAlign w:val="bottom"/>
          </w:tcPr>
          <w:p>
            <w:pPr>
              <w:spacing w:after="0"/>
              <w:rPr>
                <w:sz w:val="18"/>
                <w:szCs w:val="18"/>
                <w:color w:val="auto"/>
              </w:rPr>
            </w:pPr>
          </w:p>
        </w:tc>
      </w:tr>
      <w:tr>
        <w:trPr>
          <w:trHeight w:val="249"/>
        </w:trPr>
        <w:tc>
          <w:tcPr>
            <w:tcW w:w="6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85,641</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69,398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596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596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-24765</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-7620</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80"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Research and development expenses consist primarily of clinical trial costs, including payments to contract research organizations, pre-clinical study costs, and costs to manufacture our drug candidates for non-clinical and clinical studies. Other research and development expenses consist primarily of salaries and personnel costs, share-based compensation, legal costs, and other costs not allocated to specific drug programs. Costs related to zandelisib increased for the year ended June 30, 2022 primarily as a result of higher professional services and drug manufacturing costs offset by decreased costs for the COASTAL study as a result of higher start-up costs during the prior year. Costs related to voruciclib increased for the year ended June 30, 2022 compared with the year ended June 30, 2021 primarily due to increased costs associated with the Phase 1 study and drug manufacturing costs. Cost related to ME-344 increased for the year ended June 30, 2022 compared with the year ended June 30, 2021 primarily due to increased drug manufacturing costs and start-up costs for the Phase 2 study. Other research and development costs increased for the year ended June 30, 2022 compared with the year ended June 30, 2021 primarily due to higher levels of personnel costs associated with increased headcount to support our clinical activities.</w:t>
      </w:r>
    </w:p>
    <w:p>
      <w:pPr>
        <w:spacing w:after="0" w:line="8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general and administrative expenses of $6.1 million was primarily due to increases in personnel costs of $2.5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external professional services of $2.0 million and corporate overhead costs of $1.6 million.</w:t>
      </w:r>
    </w:p>
    <w:p>
      <w:pPr>
        <w:spacing w:after="0" w:line="4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increased by $1.9 million was primarily due to the increase in non-cash gains of $2.6 million related to the changes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fair value of our warrant liability for warrants issued in connection with our private placement of shares of common stock, primarily as a result of changes in our stock price. Interest and dividend income decreased by $0.2 million for the year ended June 30, 2022 as compared to the year ended June 30, 2021 due to lower average short-term investment balances during the year ended June 30, 2022 as compared to the year ended June 30,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June 30, 2021 and 2020</w:t>
      </w:r>
    </w:p>
    <w:p>
      <w:pPr>
        <w:spacing w:after="0" w:line="107" w:lineRule="exact"/>
        <w:rPr>
          <w:sz w:val="20"/>
          <w:szCs w:val="20"/>
          <w:color w:val="auto"/>
        </w:rPr>
      </w:pPr>
    </w:p>
    <w:p>
      <w:pPr>
        <w:ind w:right="160" w:firstLine="509"/>
        <w:spacing w:after="0" w:line="295" w:lineRule="auto"/>
        <w:rPr>
          <w:sz w:val="20"/>
          <w:szCs w:val="20"/>
          <w:color w:val="auto"/>
        </w:rPr>
      </w:pPr>
      <w:r>
        <w:rPr>
          <w:rFonts w:ascii="Times New Roman" w:cs="Times New Roman" w:eastAsia="Times New Roman" w:hAnsi="Times New Roman"/>
          <w:sz w:val="17"/>
          <w:szCs w:val="17"/>
          <w:color w:val="auto"/>
        </w:rPr>
        <w:t>We have omitted discussion of the results of operations for the fiscal year ended June 30, 2020 because it would be redundant to the discussion previously included in Part II, Item 7 of our Annual Report on Form 10-K/A for the fiscal year ended June 30, 2021, filed with the SEC on May 23,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 "The Company and Summary of Significant Accounting Policies," to the Financial Statements included in Item 8 of this Annual Report.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have accumulated losses of $374.2 million since inception and expect to incur operating losses and generate negative cash flows from operations for the foreseeable future. As of June 30, 2022, we had $153.3 million in cash, cash equivalents and short-term investments. We believe that these resources will be sufficient to fund our operations for at least 12 months from the issuance of this Annual Report.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76" w:lineRule="exact"/>
        <w:rPr>
          <w:sz w:val="20"/>
          <w:szCs w:val="20"/>
          <w:color w:val="auto"/>
        </w:rPr>
      </w:pPr>
    </w:p>
    <w:p>
      <w:pPr>
        <w:ind w:right="300" w:firstLine="509"/>
        <w:spacing w:after="0" w:line="250"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Sources and Uses of Our Cash</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year ended June 30, 2022 was $48.7 million ($68.7 million, net of $20.0 million of milestone payments received from KKC) compared to $32.0 million ($52.4 million, net of $20.4 million received from the Japanese government for tax</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withholdings) for the year ended June 30, 2021. The increase in net cash used in operating activities was due to increased research and development and general and administrative activities as well as other changes in working capital. Net cash provided by operating activities for the year ended June 30, 2020 was $34.3 million ($45.3 million, net of a $79.6 million license fee received from KKC).</w:t>
      </w:r>
    </w:p>
    <w:p>
      <w:pPr>
        <w:spacing w:after="0" w:line="81" w:lineRule="exact"/>
        <w:rPr>
          <w:sz w:val="20"/>
          <w:szCs w:val="20"/>
          <w:color w:val="auto"/>
        </w:rPr>
      </w:pPr>
    </w:p>
    <w:p>
      <w:pPr>
        <w:jc w:val="both"/>
        <w:ind w:right="200" w:firstLine="509"/>
        <w:spacing w:after="0" w:line="250"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June 30, 2022 was $6.9 million compared to $24.7 million for the year ended June 30, 2021. The decrease in net cash provided by investing activities was primarily due to lower maturities and purchases of short-term investments during the year ended June 30, 2022.</w:t>
      </w:r>
    </w:p>
    <w:p>
      <w:pPr>
        <w:spacing w:after="0" w:line="81" w:lineRule="exact"/>
        <w:rPr>
          <w:sz w:val="20"/>
          <w:szCs w:val="20"/>
          <w:color w:val="auto"/>
        </w:rPr>
      </w:pPr>
    </w:p>
    <w:p>
      <w:pPr>
        <w:jc w:val="both"/>
        <w:ind w:right="160" w:firstLine="509"/>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June 30, 2022 was $49.1 million compared to $3.5 million for the year ended June 30, 2021. Cash raised during the years ended June 30, 2022 and 2021 included $48.7 million and $3.1 million, respectively, of net proceeds from the issuance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Additionally, we have employment agreements with certain of our current employees that provide for severance payments and accelerated vesting for share-based awards if their employment is terminated under specified circumstances.</w:t>
      </w:r>
    </w:p>
    <w:p>
      <w:pPr>
        <w:spacing w:after="0" w:line="68"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In July 2020, we entered into a lease agreement (the "Initial Lease Agreement") for approximately 32,800 square feet of office space in San Diego, California. The Initial Lease Agreement was extended to November 2029 in accordance with the amended lease agreement that we entered into in January 2022 (the "Amended Lease Agreement"). The Amended Lease Agreement also provides for an additional 12,300 square feet of office space adjacent to our current office in San Diego, California and encompasses both our current office space and the additional office space, for a total of approximately 45,100 square feet, which began on July 1, 2022. The average annual lease payment under the Initial and Amended Lease Agreements is approximately $2.5 million, plus a pro rata share of certain building expenses. Our total contractual obligation over the remaining term of the Initial and Amended Lease Agreements is approximately $18.6 million.</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19" w:lineRule="exact"/>
        <w:rPr>
          <w:sz w:val="20"/>
          <w:szCs w:val="20"/>
          <w:color w:val="auto"/>
        </w:rPr>
      </w:pPr>
    </w:p>
    <w:p>
      <w:pPr>
        <w:ind w:right="100" w:firstLine="509"/>
        <w:spacing w:after="0" w:line="242" w:lineRule="auto"/>
        <w:rPr>
          <w:sz w:val="20"/>
          <w:szCs w:val="20"/>
          <w:color w:val="auto"/>
        </w:rPr>
      </w:pPr>
      <w:r>
        <w:rPr>
          <w:rFonts w:ascii="Times New Roman" w:cs="Times New Roman" w:eastAsia="Times New Roman" w:hAnsi="Times New Roman"/>
          <w:sz w:val="18"/>
          <w:szCs w:val="18"/>
          <w:color w:val="auto"/>
        </w:rPr>
        <w:t>In September 2017, we entered into the Presage License Agreement. Under the terms of the Presage License Agreement, Presage granted to us exclusive worldwide rights to develop, manufacture and commercialize voruciclib, a clinical-stage, oral and selective CDK inhibitor, and related compounds. In exchange, we paid Presage $2.9 million. With respect to the first indication, an incremental $2.0 million payment, due upon dosing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mid-single-digit tiered royalties on the net sales of any product successfully developed. As an alternative to milestone and royalty payments related to countries in which we sublicense product rights, we will pay to Presage a tiered percent (which decreases as product development progresses) of amounts received from such sublicensees. As of June 30, 2022, we had not accrued any amounts for potential future payments.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119"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As a result of the ongoing COVID-19 pandemic, various public health orders and guidance measures have been implemented across much of the U.S., and across the globe, including in the locations of our office, clinical trial sites, key vendors and partners. Despite the relaxation of many governmental orders earlier this year, COVID-19 still impacts the normal conduct of business. Furthermore, the COVID-19 virus may continue to mutate into different strains, which could be more contagious or severe or for which current vaccines and treatments are not effective or available.</w:t>
      </w:r>
    </w:p>
    <w:p>
      <w:pPr>
        <w:spacing w:after="0" w:line="68"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While we continue to enroll and dose patients in our clinical trials, our clinical development program timelines may continue to be subject to potential negative impacts from the ongoing pandemic in the U.S. and globally. The extent to which the ongoing pandemic continues to impact our business, including our preclinical studies, CMC studies, manufacturing, and clinical trials, will depend on future developments, which are highly uncertain and cannot be predicted with confidence.</w:t>
      </w:r>
    </w:p>
    <w:p>
      <w:pPr>
        <w:spacing w:after="0" w:line="68"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We may experience enrollment delays and suspensions, patient withdrawals, postponement of planned clinical or preclinical studies, redirection of site resources from studies, and study deviations or noncompliance. We may also need to maintain or implement study modifications, suspensions, or terminations, the introduction of additional remote study procedures and modified informed consent procedures, study site changes, direct delivery of investigational products to patient homes or alternative sites, which may require state licensing, and changes or delays in site monitoring. The foregoing may require that we consult with relevant review and ethics committees, IRBs and the FDA. The foregoing may also impact the integrity of our study data. The ongoing COVID-19 pandemic may further increase the need for clinical trial patient monitoring and regulatory reporting of adverse effects, and may delay regulatory authority meetings, inspections, assessments, or the regulatory review of marketing or investigational applications or submissions.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180" w:firstLine="509"/>
        <w:spacing w:after="0" w:line="250" w:lineRule="auto"/>
        <w:rPr>
          <w:sz w:val="20"/>
          <w:szCs w:val="20"/>
          <w:color w:val="auto"/>
        </w:rPr>
      </w:pPr>
      <w:r>
        <w:rPr>
          <w:rFonts w:ascii="Times New Roman" w:cs="Times New Roman" w:eastAsia="Times New Roman" w:hAnsi="Times New Roman"/>
          <w:sz w:val="18"/>
          <w:szCs w:val="18"/>
          <w:color w:val="auto"/>
        </w:rPr>
        <w:t>The ongoing COVID-19 pandemic may also impact our ability to procure the necessary supply of our investigational drug products, as well as any ancillary supplies necessary for the conduct of our studies. Third party manufacturers may also need to implement measures and changes, or deviate from typical manufacturing requirements that may otherwise adversely impact our product candidates.</w:t>
      </w:r>
    </w:p>
    <w:p>
      <w:pPr>
        <w:spacing w:after="0" w:line="8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In light of the ongoing COVID-19 pandemic, the FDA issued a number of new guidance documents. Specifically, as a result of the potential effect of the ongoing COVID-19 pandemic on many clinical trial programs in the U.S. and globally, the FDA issued guidance concerning potential impacts on clinical trial programs, which guidance FDA has continually updated. In addition, the European Medicines Agency (“EMA”) as well as various country regulatory authorities (EU and UK) have issued similar guidance. We have adapted the FDA and EMA/UK guidance for study procedures, data collection, and oversight resulting from the ongoing COVID-19 pandemic.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Our exposure to market interest rates relates primarily to our cash, cash equivalents and short-term investments. We have cash reserves held in U.S. dollars, and we place funds on deposit with financial institutions, which are readily available. Our short-term investments consist solely of U.S. government securities with a maturity of three to twelve months.</w:t>
      </w:r>
    </w:p>
    <w:p>
      <w:pPr>
        <w:spacing w:after="0" w:line="81" w:lineRule="exact"/>
        <w:rPr>
          <w:sz w:val="20"/>
          <w:szCs w:val="20"/>
          <w:color w:val="auto"/>
        </w:rPr>
      </w:pPr>
    </w:p>
    <w:p>
      <w:pPr>
        <w:ind w:right="160" w:firstLine="509"/>
        <w:spacing w:after="0" w:line="243" w:lineRule="auto"/>
        <w:rPr>
          <w:sz w:val="20"/>
          <w:szCs w:val="20"/>
          <w:color w:val="auto"/>
        </w:rPr>
      </w:pPr>
      <w:r>
        <w:rPr>
          <w:rFonts w:ascii="Times New Roman" w:cs="Times New Roman" w:eastAsia="Times New Roman" w:hAnsi="Times New Roman"/>
          <w:sz w:val="18"/>
          <w:szCs w:val="18"/>
          <w:color w:val="auto"/>
        </w:rPr>
        <w:t>We place our cash deposits with high credit quality financial institutions and, by policy, limit the amount of credit exposure to any one corporation or bank. These deposits are in excess of the Federal Deposit Insurance Corporation insurance limits. We are adverse to principal loss and we ensure the safety and preservation of our invested funds by limiting default risk, market risk and reinvestment risk. We seek to mitigate default risk by depositing funds with high credit quality financial institutions, by limiting the amount of credit exposure to any one corporation or bank, by purchasing short-term investments consisting of U.S. government securities, and by positioning our portfolio to respond appropriately to a significant reduction in a credit rating of any such financial institution.</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consider the effects of interest rate movements to be a material risk to our financial condition.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07"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Inflation generally affects us by increasing our clinical trial costs. We do not believe that inflation has had a material effect on our business, financial condition or results of operations during the years ended June 30, 2022, 2021 or 2020.</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 (BDO USA, LLP; San Diego, California; PCAOB ID# 243)</w:t>
            </w:r>
          </w:p>
        </w:tc>
        <w:tc>
          <w:tcPr>
            <w:tcW w:w="15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344"/>
        </w:trPr>
        <w:tc>
          <w:tcPr>
            <w:tcW w:w="92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Balance Sheets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9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Statements of Operations</w:t>
            </w:r>
          </w:p>
        </w:tc>
        <w:tc>
          <w:tcPr>
            <w:tcW w:w="20" w:type="dxa"/>
            <w:vAlign w:val="bottom"/>
            <w:tcBorders>
              <w:bottom w:val="single" w:sz="8" w:color="0000EE"/>
            </w:tcBorders>
          </w:tcPr>
          <w:p>
            <w:pPr>
              <w:spacing w:after="0"/>
              <w:rPr>
                <w:sz w:val="24"/>
                <w:szCs w:val="24"/>
                <w:color w:val="auto"/>
              </w:rPr>
            </w:pPr>
          </w:p>
        </w:tc>
        <w:tc>
          <w:tcPr>
            <w:tcW w:w="7560" w:type="dxa"/>
            <w:vAlign w:val="bottom"/>
            <w:gridSpan w:val="5"/>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344"/>
        </w:trPr>
        <w:tc>
          <w:tcPr>
            <w:tcW w:w="23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Statements of Stockholders’ Equity</w:t>
            </w:r>
          </w:p>
        </w:tc>
        <w:tc>
          <w:tcPr>
            <w:tcW w:w="6920" w:type="dxa"/>
            <w:vAlign w:val="bottom"/>
            <w:gridSpan w:val="2"/>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344"/>
        </w:trPr>
        <w:tc>
          <w:tcPr>
            <w:tcW w:w="92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Statements of Cash Flows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
        </w:trPr>
        <w:tc>
          <w:tcPr>
            <w:tcW w:w="1700" w:type="dxa"/>
            <w:vAlign w:val="bottom"/>
            <w:tcBorders>
              <w:right w:val="single" w:sz="8" w:color="0000EE"/>
            </w:tcBorders>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2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Notes to Financial Statements</w:t>
            </w: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76"/>
        </w:trPr>
        <w:tc>
          <w:tcPr>
            <w:tcW w:w="102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6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414" w:right="6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MEI Pharma,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have audited the accompanying balance sheets of MEI Pharma, Inc. (the “Company”) as of June 30, 2022 and 2021, the related statements of operations, stockholders’ equity, and cash flows for each of the three years in the period ended June 30, 2022 and the related notes (collectively referred to as the “financial statements”). In our opinion, the financial statements present fairly, in all material respects, the financial position of the Company at June 30, 2022 and 2021, and the results of its operations and its cash flows for each of the three years in the period ended June 30, 2022, in conformity with accounting principles generally accepted in the United States of America.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Estimation of accrued pre-clinical and clinical trial expenses</w:t>
      </w:r>
    </w:p>
    <w:p>
      <w:pPr>
        <w:spacing w:after="0" w:line="1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described in Note 7 of the financial statements, the Company had accrued pre-clinical and clinical trial expenses of $5.3 million as of June 30, 2022. Clinical trial costs, including costs associated with third-party contractors, are a significant component of research and development expenses. In determining the amount of accrued pre-clinical and clinical trial expenses incurred, management relies on estimates of work completed to date for various components of contracted services, the enrollment of subjects, the completion of trials, and other events.</w:t>
      </w:r>
    </w:p>
    <w:p>
      <w:pPr>
        <w:spacing w:after="0" w:line="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identified the estimation of accrued pre-clinical and clinical trial expenses as a critical audit matter. Evaluating the progress or stage of completion of the activities under the Company’s research and development agreements is dependent upon multiple points of data from third-party service providers and internal clinical personnel. Additionally, due to the duration of clinical-related development activities, the estimate of accrued pre-clinical and clinical trial expenses incurred requires judgment based on the nature and amounts of ongoing activities, the status of each activity, and the estimated progress for each key activity. Auditing these elements involved especially challenging and subjective auditor judgment due to the nature and extent of auditor effort required to address the matter.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jc w:val="both"/>
        <w:ind w:left="1020" w:hanging="504"/>
        <w:spacing w:after="0" w:line="250"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nature and extent of progress of clinical trial activities based on inquiries of the Company’s research and development personnel, which were corroborated through inspection of meeting minutes maintained by the Company related to clinical trial and project status meetings held with various third parties.</w:t>
      </w:r>
    </w:p>
    <w:p>
      <w:pPr>
        <w:spacing w:after="0" w:line="81" w:lineRule="exact"/>
        <w:rPr>
          <w:rFonts w:ascii="Times New Roman" w:cs="Times New Roman" w:eastAsia="Times New Roman" w:hAnsi="Times New Roman"/>
          <w:sz w:val="18"/>
          <w:szCs w:val="18"/>
          <w:color w:val="auto"/>
        </w:rPr>
      </w:pPr>
    </w:p>
    <w:p>
      <w:pPr>
        <w:ind w:left="1020" w:hanging="504"/>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independent estimates of the costs incurred for certain activities performed by third parties utilizing information from internal and external sources and comparing expected amounts to the amounts recorded by the Company.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20" w:right="20" w:hanging="504"/>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completeness of the accrued clinical trial expenses by comparing invoices received by the Company subsequent to June 30, 2022 to the amounts accrued by the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for the KKC License, Development and Commercialization Agreement</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described in Notes 1 and 2 of the financial statements, the Company recognizes revenue under the KKC Commercialization Agreement when control of the promised goods or services are transferred to the customer in an amount that reflects the consideration to which the company expects to be entitled to in exchange for those goods or services. For development services satisfied over time, the Company uses the cost-to-cost measure of progress whereby progress is measured based on the ratio of costs incurred to date compared to the total estimated costs.</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have identified the accounting for revenue recognition under the KKC Commercialization agreement as a critical audit matter. The Company identified certain errors in the revenue recognition model, constituting a material weakness, related to the manner in which revenue related to development services was recognized under the KKC Commercialization Agreement. Auditing the Company’s revised revenue recognition model was especially challenging due to the increased auditor effort required.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83" w:lineRule="exact"/>
        <w:rPr>
          <w:sz w:val="20"/>
          <w:szCs w:val="20"/>
          <w:color w:val="auto"/>
        </w:rPr>
      </w:pPr>
    </w:p>
    <w:p>
      <w:pPr>
        <w:ind w:left="1020" w:right="2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logic and key assumptions used in the Company’s revised revenue recognition model to determine that errors identified were corrected and revenue recognition was accurately calculated.</w:t>
      </w:r>
    </w:p>
    <w:p>
      <w:pPr>
        <w:spacing w:after="0" w:line="41" w:lineRule="exact"/>
        <w:rPr>
          <w:rFonts w:ascii="Times New Roman" w:cs="Times New Roman" w:eastAsia="Times New Roman" w:hAnsi="Times New Roman"/>
          <w:sz w:val="18"/>
          <w:szCs w:val="18"/>
          <w:color w:val="auto"/>
        </w:rPr>
      </w:pPr>
    </w:p>
    <w:p>
      <w:pPr>
        <w:ind w:left="1020" w:right="20" w:hanging="504"/>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Recalculating current year revenue and deferred revenue balances based on the terms of the KKC Commercialization Agreement as well as management estimates with respect to the progress towards completion of development services.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700" w:type="dxa"/>
            <w:vAlign w:val="bottom"/>
            <w:shd w:val="clear" w:color="auto" w:fill="CFF0FC"/>
          </w:tcPr>
          <w:p>
            <w:pPr>
              <w:ind w:left="34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137,512</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144,883</w:t>
            </w:r>
          </w:p>
        </w:tc>
        <w:tc>
          <w:tcPr>
            <w:tcW w:w="100" w:type="dxa"/>
            <w:vAlign w:val="bottom"/>
          </w:tcPr>
          <w:p>
            <w:pPr>
              <w:spacing w:after="0"/>
              <w:rPr>
                <w:sz w:val="18"/>
                <w:szCs w:val="18"/>
                <w:color w:val="auto"/>
              </w:rPr>
            </w:pPr>
          </w:p>
        </w:tc>
      </w:tr>
      <w:tr>
        <w:trPr>
          <w:trHeight w:val="209"/>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cash equivalents and short-term investments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153,252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153,426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Unbilled receivables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167,126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164,817</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177,840</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00" w:type="dxa"/>
            <w:vAlign w:val="bottom"/>
          </w:tcPr>
          <w:p>
            <w:pPr>
              <w:ind w:left="180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20,211</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long-term</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90,610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74,696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125,427</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124,632</w:t>
            </w:r>
          </w:p>
        </w:tc>
        <w:tc>
          <w:tcPr>
            <w:tcW w:w="100" w:type="dxa"/>
            <w:vAlign w:val="bottom"/>
          </w:tcPr>
          <w:p>
            <w:pPr>
              <w:spacing w:after="0"/>
              <w:rPr>
                <w:sz w:val="18"/>
                <w:szCs w:val="18"/>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$0.01 par value; 100 shares authorized; none outstanding</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0"/>
        </w:trPr>
        <w:tc>
          <w:tcPr>
            <w:tcW w:w="770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$0.00000002 par value; 226,000 shares authorized; 133,152 and 112,615</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at June 30, 2022 and 2021, respectively.</w:t>
            </w:r>
          </w:p>
        </w:tc>
        <w:tc>
          <w:tcPr>
            <w:tcW w:w="38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426,572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369,171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(374,159 )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(319,705 )</w:t>
            </w:r>
          </w:p>
        </w:tc>
      </w:tr>
      <w:tr>
        <w:trPr>
          <w:trHeight w:val="209"/>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52,413</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177,840</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174,098</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-3381375</wp:posOffset>
            </wp:positionV>
            <wp:extent cx="6858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-3381375</wp:posOffset>
            </wp:positionV>
            <wp:extent cx="6858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-2816225</wp:posOffset>
            </wp:positionV>
            <wp:extent cx="1250315"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50315" cy="16256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-1968500</wp:posOffset>
            </wp:positionV>
            <wp:extent cx="6858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-1968500</wp:posOffset>
            </wp:positionV>
            <wp:extent cx="6858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-1412240</wp:posOffset>
            </wp:positionV>
            <wp:extent cx="6858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-1412240</wp:posOffset>
            </wp:positionV>
            <wp:extent cx="6858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-170815</wp:posOffset>
            </wp:positionV>
            <wp:extent cx="685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jc w:val="center"/>
        <w:ind w:right="-5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09"/>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34,796</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34,065</w:t>
            </w:r>
          </w:p>
        </w:tc>
        <w:tc>
          <w:tcPr>
            <w:tcW w:w="100" w:type="dxa"/>
            <w:vAlign w:val="bottom"/>
          </w:tcPr>
          <w:p>
            <w:pPr>
              <w:spacing w:after="0"/>
              <w:rPr>
                <w:sz w:val="18"/>
                <w:szCs w:val="18"/>
                <w:color w:val="auto"/>
              </w:rPr>
            </w:pPr>
          </w:p>
        </w:tc>
      </w:tr>
      <w:tr>
        <w:trPr>
          <w:trHeight w:val="216"/>
        </w:trPr>
        <w:tc>
          <w:tcPr>
            <w:tcW w:w="6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24,414</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95,220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53,453</w:t>
            </w:r>
          </w:p>
        </w:tc>
        <w:tc>
          <w:tcPr>
            <w:tcW w:w="100" w:type="dxa"/>
            <w:vAlign w:val="bottom"/>
          </w:tcPr>
          <w:p>
            <w:pPr>
              <w:spacing w:after="0"/>
              <w:rPr>
                <w:sz w:val="18"/>
                <w:szCs w:val="18"/>
                <w:color w:val="auto"/>
              </w:rPr>
            </w:pPr>
          </w:p>
        </w:tc>
      </w:tr>
      <w:tr>
        <w:trPr>
          <w:trHeight w:val="209"/>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(75,484</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(60,424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(22,870 )</w:t>
            </w: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(8 )</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9"/>
        </w:trPr>
        <w:tc>
          <w:tcPr>
            <w:tcW w:w="65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(54,454 </w:t>
            </w:r>
            <w:r>
              <w:rPr>
                <w:rFonts w:ascii="Times New Roman" w:cs="Times New Roman" w:eastAsia="Times New Roman" w:hAnsi="Times New Roman"/>
                <w:sz w:val="18"/>
                <w:szCs w:val="18"/>
                <w:color w:val="auto"/>
                <w:highlight w:val="white"/>
              </w:rPr>
              <w:t>)</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xml:space="preserve">(41,314 </w:t>
            </w:r>
            <w:r>
              <w:rPr>
                <w:rFonts w:ascii="Times New Roman" w:cs="Times New Roman" w:eastAsia="Times New Roman" w:hAnsi="Times New Roman"/>
                <w:sz w:val="18"/>
                <w:szCs w:val="18"/>
                <w:color w:val="auto"/>
                <w:highlight w:val="white"/>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(47,173 </w:t>
            </w:r>
            <w:r>
              <w:rPr>
                <w:rFonts w:ascii="Times New Roman" w:cs="Times New Roman" w:eastAsia="Times New Roman" w:hAnsi="Times New Roman"/>
                <w:sz w:val="18"/>
                <w:szCs w:val="18"/>
                <w:color w:val="auto"/>
                <w:highlight w:val="white"/>
              </w:rPr>
              <w:t>)</w:t>
            </w: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(54,454 )</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(41,314 )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(47,173 )</w:t>
            </w: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560" w:type="dxa"/>
            <w:vAlign w:val="bottom"/>
            <w:tcBorders>
              <w:bottom w:val="single" w:sz="8" w:color="CFF0FC"/>
            </w:tcBorders>
            <w:shd w:val="clear" w:color="auto" w:fill="CFF0FC"/>
          </w:tcPr>
          <w:p>
            <w:pPr>
              <w:ind w:left="3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(62,500</w:t>
            </w: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(68,708</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(47,173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6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6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(0.44 )</w:t>
            </w:r>
          </w:p>
        </w:tc>
        <w:tc>
          <w:tcPr>
            <w:tcW w:w="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(0.37 )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(0.52 )</w:t>
            </w: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65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(0.50 </w:t>
            </w:r>
            <w:r>
              <w:rPr>
                <w:rFonts w:ascii="Times New Roman" w:cs="Times New Roman" w:eastAsia="Times New Roman" w:hAnsi="Times New Roman"/>
                <w:sz w:val="18"/>
                <w:szCs w:val="18"/>
                <w:color w:val="auto"/>
                <w:highlight w:val="white"/>
              </w:rPr>
              <w:t>)</w:t>
            </w:r>
          </w:p>
        </w:tc>
        <w:tc>
          <w:tcPr>
            <w:tcW w:w="400" w:type="dxa"/>
            <w:vAlign w:val="bottom"/>
            <w:gridSpan w:val="2"/>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1"/>
              <w:spacing w:after="0" w:line="196" w:lineRule="exact"/>
              <w:rPr>
                <w:sz w:val="20"/>
                <w:szCs w:val="20"/>
                <w:color w:val="auto"/>
              </w:rPr>
            </w:pPr>
            <w:r>
              <w:rPr>
                <w:rFonts w:ascii="Times New Roman" w:cs="Times New Roman" w:eastAsia="Times New Roman" w:hAnsi="Times New Roman"/>
                <w:sz w:val="18"/>
                <w:szCs w:val="18"/>
                <w:color w:val="auto"/>
              </w:rPr>
              <w:t xml:space="preserve">(0.60 </w:t>
            </w:r>
            <w:r>
              <w:rPr>
                <w:rFonts w:ascii="Times New Roman" w:cs="Times New Roman" w:eastAsia="Times New Roman" w:hAnsi="Times New Roman"/>
                <w:sz w:val="18"/>
                <w:szCs w:val="18"/>
                <w:color w:val="auto"/>
                <w:highlight w:val="white"/>
              </w:rPr>
              <w:t>)</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(0.52 </w:t>
            </w:r>
            <w:r>
              <w:rPr>
                <w:rFonts w:ascii="Times New Roman" w:cs="Times New Roman" w:eastAsia="Times New Roman" w:hAnsi="Times New Roman"/>
                <w:sz w:val="18"/>
                <w:szCs w:val="18"/>
                <w:color w:val="auto"/>
                <w:highlight w:val="white"/>
              </w:rPr>
              <w:t>)</w:t>
            </w: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net loss per share:</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112,527</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91,080</w:t>
            </w:r>
          </w:p>
        </w:tc>
        <w:tc>
          <w:tcPr>
            <w:tcW w:w="10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560" w:type="dxa"/>
            <w:vAlign w:val="bottom"/>
            <w:tcBorders>
              <w:bottom w:val="single" w:sz="8" w:color="CFF0FC"/>
            </w:tcBorders>
            <w:shd w:val="clear" w:color="auto" w:fill="CFF0FC"/>
          </w:tcPr>
          <w:p>
            <w:pPr>
              <w:ind w:left="3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125,142</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114,481</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91,080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-3244215</wp:posOffset>
            </wp:positionV>
            <wp:extent cx="76835"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-3244215</wp:posOffset>
            </wp:positionV>
            <wp:extent cx="6858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-3244215</wp:posOffset>
            </wp:positionV>
            <wp:extent cx="6858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-2687955</wp:posOffset>
            </wp:positionV>
            <wp:extent cx="76835"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-2687955</wp:posOffset>
            </wp:positionV>
            <wp:extent cx="6858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-2687955</wp:posOffset>
            </wp:positionV>
            <wp:extent cx="6858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-2397125</wp:posOffset>
            </wp:positionV>
            <wp:extent cx="76835"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-2397125</wp:posOffset>
            </wp:positionV>
            <wp:extent cx="6858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-2397125</wp:posOffset>
            </wp:positionV>
            <wp:extent cx="6858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-949960</wp:posOffset>
            </wp:positionV>
            <wp:extent cx="2046605"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46605"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-650240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-650240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-650240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14"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0"/>
        </w:trPr>
        <w:tc>
          <w:tcPr>
            <w:tcW w:w="5740" w:type="dxa"/>
            <w:vAlign w:val="bottom"/>
          </w:tcPr>
          <w:p>
            <w:pPr>
              <w:spacing w:after="0"/>
              <w:rPr>
                <w:sz w:val="13"/>
                <w:szCs w:val="13"/>
                <w:color w:val="auto"/>
              </w:rPr>
            </w:pPr>
          </w:p>
        </w:tc>
        <w:tc>
          <w:tcPr>
            <w:tcW w:w="1180" w:type="dxa"/>
            <w:vAlign w:val="bottom"/>
          </w:tcPr>
          <w:p>
            <w:pPr>
              <w:jc w:val="right"/>
              <w:ind w:right="232"/>
              <w:spacing w:after="0" w:line="15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580"/>
              <w:spacing w:after="0" w:line="15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3"/>
                <w:szCs w:val="13"/>
                <w:color w:val="auto"/>
              </w:rPr>
            </w:pPr>
          </w:p>
        </w:tc>
        <w:tc>
          <w:tcPr>
            <w:tcW w:w="1240" w:type="dxa"/>
            <w:vAlign w:val="bottom"/>
            <w:gridSpan w:val="2"/>
          </w:tcPr>
          <w:p>
            <w:pPr>
              <w:jc w:val="right"/>
              <w:ind w:right="321"/>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89"/>
        </w:trPr>
        <w:tc>
          <w:tcPr>
            <w:tcW w:w="5740" w:type="dxa"/>
            <w:vAlign w:val="bottom"/>
          </w:tcPr>
          <w:p>
            <w:pPr>
              <w:spacing w:after="0"/>
              <w:rPr>
                <w:sz w:val="16"/>
                <w:szCs w:val="16"/>
                <w:color w:val="auto"/>
              </w:rPr>
            </w:pPr>
          </w:p>
        </w:tc>
        <w:tc>
          <w:tcPr>
            <w:tcW w:w="11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240" w:type="dxa"/>
            <w:vAlign w:val="bottom"/>
            <w:gridSpan w:val="2"/>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2019</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73,545</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279,148</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(231,218</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47,930</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(47,173 )</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(47,173 )</w:t>
            </w: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 net of issuance costs of $3,731</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69,231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69,231</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(278,391 )</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77,061</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(41,314 )</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(41,314 )</w:t>
            </w: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net of issuance costs of $64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 of warrants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369,171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(319,705 )</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49,466</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(54,454 )</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(54,454 )</w:t>
            </w: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net of issuance costs of $3,652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48,673</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 for vested restricted stock units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(194 )</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(194 )</w:t>
            </w: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133,152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426,572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(374,159 )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52,413</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-1831975</wp:posOffset>
            </wp:positionV>
            <wp:extent cx="76835"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-1831975</wp:posOffset>
            </wp:positionV>
            <wp:extent cx="6858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-1831975</wp:posOffset>
            </wp:positionV>
            <wp:extent cx="6858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-1831975</wp:posOffset>
            </wp:positionV>
            <wp:extent cx="6858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-1001395</wp:posOffset>
            </wp:positionV>
            <wp:extent cx="76835"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-1001395</wp:posOffset>
            </wp:positionV>
            <wp:extent cx="6858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-1001395</wp:posOffset>
            </wp:positionV>
            <wp:extent cx="6858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-1001395</wp:posOffset>
            </wp:positionV>
            <wp:extent cx="6858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-170815</wp:posOffset>
            </wp:positionV>
            <wp:extent cx="7683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-170815</wp:posOffset>
            </wp:positionV>
            <wp:extent cx="6858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-170815</wp:posOffset>
            </wp:positionV>
            <wp:extent cx="6858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09"/>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(54,454 )</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(41,314 )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(47,173 )</w:t>
            </w:r>
          </w:p>
        </w:tc>
      </w:tr>
      <w:tr>
        <w:trPr>
          <w:trHeight w:val="170"/>
        </w:trPr>
        <w:tc>
          <w:tcPr>
            <w:tcW w:w="65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Adjustments to reconcile net loss to net cash (used in) provided by</w:t>
            </w: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6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40" w:type="dxa"/>
            <w:vAlign w:val="bottom"/>
          </w:tcPr>
          <w:p>
            <w:pPr>
              <w:spacing w:after="0"/>
              <w:rPr>
                <w:sz w:val="18"/>
                <w:szCs w:val="18"/>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(20,752 )</w:t>
            </w:r>
          </w:p>
        </w:tc>
        <w:tc>
          <w:tcPr>
            <w:tcW w:w="300" w:type="dxa"/>
            <w:vAlign w:val="bottom"/>
          </w:tcPr>
          <w:p>
            <w:pPr>
              <w:spacing w:after="0"/>
              <w:rPr>
                <w:sz w:val="18"/>
                <w:szCs w:val="18"/>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(18,122 )</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22,870</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40" w:type="dxa"/>
            <w:vAlign w:val="bottom"/>
          </w:tcPr>
          <w:p>
            <w:pPr>
              <w:spacing w:after="0"/>
              <w:rPr>
                <w:sz w:val="18"/>
                <w:szCs w:val="18"/>
                <w:color w:val="auto"/>
              </w:rPr>
            </w:pPr>
          </w:p>
        </w:tc>
        <w:tc>
          <w:tcPr>
            <w:tcW w:w="13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Unbilled receivables</w:t>
            </w:r>
          </w:p>
        </w:tc>
        <w:tc>
          <w:tcPr>
            <w:tcW w:w="340" w:type="dxa"/>
            <w:vAlign w:val="bottom"/>
          </w:tcPr>
          <w:p>
            <w:pPr>
              <w:spacing w:after="0"/>
              <w:rPr>
                <w:sz w:val="18"/>
                <w:szCs w:val="18"/>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(2,462 )</w:t>
            </w:r>
          </w:p>
        </w:tc>
        <w:tc>
          <w:tcPr>
            <w:tcW w:w="300" w:type="dxa"/>
            <w:vAlign w:val="bottom"/>
          </w:tcPr>
          <w:p>
            <w:pPr>
              <w:spacing w:after="0"/>
              <w:rPr>
                <w:sz w:val="18"/>
                <w:szCs w:val="18"/>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(4,724 )</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(2,347 )</w:t>
            </w:r>
          </w:p>
        </w:tc>
      </w:tr>
      <w:tr>
        <w:trPr>
          <w:trHeight w:val="216"/>
        </w:trPr>
        <w:tc>
          <w:tcPr>
            <w:tcW w:w="6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Receivable for foreign tax withholding</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(20,420 )</w:t>
            </w:r>
          </w:p>
        </w:tc>
      </w:tr>
      <w:tr>
        <w:trPr>
          <w:trHeight w:val="216"/>
        </w:trPr>
        <w:tc>
          <w:tcPr>
            <w:tcW w:w="6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18"/>
                <w:szCs w:val="18"/>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(21 )</w:t>
            </w:r>
          </w:p>
        </w:tc>
        <w:tc>
          <w:tcPr>
            <w:tcW w:w="300" w:type="dxa"/>
            <w:vAlign w:val="bottom"/>
          </w:tcPr>
          <w:p>
            <w:pPr>
              <w:spacing w:after="0"/>
              <w:rPr>
                <w:sz w:val="18"/>
                <w:szCs w:val="18"/>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(1,073 )</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(812 )</w:t>
            </w:r>
          </w:p>
        </w:tc>
      </w:tr>
      <w:tr>
        <w:trPr>
          <w:trHeight w:val="216"/>
        </w:trPr>
        <w:tc>
          <w:tcPr>
            <w:tcW w:w="6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(2,350 )</w:t>
            </w:r>
          </w:p>
        </w:tc>
      </w:tr>
      <w:tr>
        <w:trPr>
          <w:trHeight w:val="216"/>
        </w:trPr>
        <w:tc>
          <w:tcPr>
            <w:tcW w:w="6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(4,435 )</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75,883</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Pr>
          <w:p>
            <w:pPr>
              <w:spacing w:after="0"/>
              <w:rPr>
                <w:sz w:val="18"/>
                <w:szCs w:val="18"/>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(845 )</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(48,746</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(31,964</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(479 )</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(708 )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(894 )</w:t>
            </w:r>
          </w:p>
        </w:tc>
      </w:tr>
      <w:tr>
        <w:trPr>
          <w:trHeight w:val="216"/>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40" w:type="dxa"/>
            <w:vAlign w:val="bottom"/>
          </w:tcPr>
          <w:p>
            <w:pPr>
              <w:spacing w:after="0"/>
              <w:rPr>
                <w:sz w:val="18"/>
                <w:szCs w:val="18"/>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(272,652 )</w:t>
            </w:r>
          </w:p>
        </w:tc>
        <w:tc>
          <w:tcPr>
            <w:tcW w:w="300" w:type="dxa"/>
            <w:vAlign w:val="bottom"/>
          </w:tcPr>
          <w:p>
            <w:pPr>
              <w:spacing w:after="0"/>
              <w:rPr>
                <w:sz w:val="18"/>
                <w:szCs w:val="18"/>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(420,153 )</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(190,279 )</w:t>
            </w:r>
          </w:p>
        </w:tc>
      </w:tr>
      <w:tr>
        <w:trPr>
          <w:trHeight w:val="216"/>
        </w:trPr>
        <w:tc>
          <w:tcPr>
            <w:tcW w:w="6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maturity of short-term investments</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280,023</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445,569</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(106,294 )</w:t>
            </w:r>
          </w:p>
        </w:tc>
      </w:tr>
      <w:tr>
        <w:trPr>
          <w:trHeight w:val="209"/>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gross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72,962</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issuance costs</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(3,652 )</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(64 )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(3,731 )</w:t>
            </w:r>
          </w:p>
        </w:tc>
      </w:tr>
      <w:tr>
        <w:trPr>
          <w:trHeight w:val="216"/>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r>
      <w:tr>
        <w:trPr>
          <w:trHeight w:val="170"/>
        </w:trPr>
        <w:tc>
          <w:tcPr>
            <w:tcW w:w="65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Payment of RSU tax withholdings in exchange for common shares</w:t>
            </w: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65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surrendered by RSU holders</w:t>
            </w:r>
          </w:p>
        </w:tc>
        <w:tc>
          <w:tcPr>
            <w:tcW w:w="3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(194 )</w:t>
            </w: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Collection of common stock proceeds receivable</w:t>
            </w:r>
          </w:p>
        </w:tc>
        <w:tc>
          <w:tcPr>
            <w:tcW w:w="340" w:type="dxa"/>
            <w:vAlign w:val="bottom"/>
          </w:tcPr>
          <w:p>
            <w:pPr>
              <w:spacing w:after="0"/>
              <w:rPr>
                <w:sz w:val="18"/>
                <w:szCs w:val="18"/>
                <w:color w:val="auto"/>
              </w:rPr>
            </w:pPr>
          </w:p>
        </w:tc>
        <w:tc>
          <w:tcPr>
            <w:tcW w:w="13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tcPr>
          <w:p>
            <w:pPr>
              <w:spacing w:after="0"/>
              <w:rPr>
                <w:sz w:val="18"/>
                <w:szCs w:val="18"/>
                <w:color w:val="auto"/>
              </w:rPr>
            </w:pPr>
          </w:p>
        </w:tc>
      </w:tr>
      <w:tr>
        <w:trPr>
          <w:trHeight w:val="209"/>
        </w:trPr>
        <w:tc>
          <w:tcPr>
            <w:tcW w:w="6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49,051</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(3,788 )</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tcPr>
          <w:p>
            <w:pPr>
              <w:spacing w:after="0"/>
              <w:rPr>
                <w:sz w:val="18"/>
                <w:szCs w:val="18"/>
                <w:color w:val="auto"/>
              </w:rPr>
            </w:pPr>
          </w:p>
        </w:tc>
      </w:tr>
      <w:tr>
        <w:trPr>
          <w:trHeight w:val="216"/>
        </w:trPr>
        <w:tc>
          <w:tcPr>
            <w:tcW w:w="6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12,331</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15,740</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2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12,331</w:t>
            </w:r>
          </w:p>
        </w:tc>
        <w:tc>
          <w:tcPr>
            <w:tcW w:w="10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5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 issued pursuant to cashless exercise</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5005705</wp:posOffset>
            </wp:positionH>
            <wp:positionV relativeFrom="paragraph">
              <wp:posOffset>-2936240</wp:posOffset>
            </wp:positionV>
            <wp:extent cx="76835"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-2936240</wp:posOffset>
            </wp:positionV>
            <wp:extent cx="6858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-2936240</wp:posOffset>
            </wp:positionV>
            <wp:extent cx="6858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-2379980</wp:posOffset>
            </wp:positionV>
            <wp:extent cx="76835"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-2379980</wp:posOffset>
            </wp:positionV>
            <wp:extent cx="6858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-2379980</wp:posOffset>
            </wp:positionV>
            <wp:extent cx="6858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-1137920</wp:posOffset>
            </wp:positionV>
            <wp:extent cx="76835"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-1137920</wp:posOffset>
            </wp:positionV>
            <wp:extent cx="6858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-1137920</wp:posOffset>
            </wp:positionV>
            <wp:extent cx="6858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-855345</wp:posOffset>
            </wp:positionV>
            <wp:extent cx="76835"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-855345</wp:posOffset>
            </wp:positionV>
            <wp:extent cx="6858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-855345</wp:posOffset>
            </wp:positionV>
            <wp:extent cx="6858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07"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 xml:space="preserve">MEI Pharma, Inc. is a late-stage pharmaceutical company </w:t>
      </w:r>
      <w:r>
        <w:rPr>
          <w:rFonts w:ascii="Times New Roman" w:cs="Times New Roman" w:eastAsia="Times New Roman" w:hAnsi="Times New Roman"/>
          <w:sz w:val="18"/>
          <w:szCs w:val="18"/>
          <w:color w:val="333333"/>
        </w:rPr>
        <w:t>committed to the development and commercialization of novel cancer therapies intended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to improve outcomes for patients. Our portfolio of drug candidates includes three clinical-stage assets, including zandelisib (f/k/a ME-401), currently in multiple ongoing clinical studies intended to support marketing applications with the U.S. Food and Drug Administration (“FDA”) and other regulatory authorities globally. </w:t>
      </w:r>
      <w:r>
        <w:rPr>
          <w:rFonts w:ascii="Times New Roman" w:cs="Times New Roman" w:eastAsia="Times New Roman" w:hAnsi="Times New Roman"/>
          <w:sz w:val="18"/>
          <w:szCs w:val="18"/>
          <w:color w:val="000000"/>
        </w:rPr>
        <w:t>Our common stock is listed on the Nasdaq Capital Market under the symbol “MEIP.”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107"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build our pipeline by licensing or acquiring promising cancer agents and creating value in programs through development, commercialization and strategic partnerships, as appropriate. </w:t>
      </w:r>
      <w:r>
        <w:rPr>
          <w:rFonts w:ascii="Times New Roman" w:cs="Times New Roman" w:eastAsia="Times New Roman" w:hAnsi="Times New Roman"/>
          <w:sz w:val="18"/>
          <w:szCs w:val="18"/>
          <w:color w:val="333333"/>
        </w:rPr>
        <w:t>Our objective is to leverage the mechanisms and properties of our pipeline drug candidates to optimize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balance between efficacy and tolerability to meet the needs of patients with cancer. </w:t>
      </w:r>
      <w:r>
        <w:rPr>
          <w:rFonts w:ascii="Times New Roman" w:cs="Times New Roman" w:eastAsia="Times New Roman" w:hAnsi="Times New Roman"/>
          <w:sz w:val="18"/>
          <w:szCs w:val="18"/>
          <w:color w:val="000000"/>
        </w:rPr>
        <w:t>Our drug candidate pipeline includes:</w:t>
      </w:r>
    </w:p>
    <w:p>
      <w:pPr>
        <w:spacing w:after="0" w:line="61" w:lineRule="exact"/>
        <w:rPr>
          <w:sz w:val="20"/>
          <w:szCs w:val="20"/>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zandelisib (f/k/a ME-401), an oral phosphatidylinositol 3-kinase (“PI3K”) delta inhibitor;</w:t>
      </w:r>
    </w:p>
    <w:p>
      <w:pPr>
        <w:spacing w:after="0" w:line="27" w:lineRule="exact"/>
        <w:rPr>
          <w:rFonts w:ascii="Times New Roman" w:cs="Times New Roman" w:eastAsia="Times New Roman" w:hAnsi="Times New Roman"/>
          <w:sz w:val="18"/>
          <w:szCs w:val="18"/>
          <w:color w:val="auto"/>
        </w:rPr>
      </w:pPr>
    </w:p>
    <w:p>
      <w:pPr>
        <w:ind w:left="1020" w:hanging="504"/>
        <w:spacing w:after="0" w:line="23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voruciclib, an oral cyclin-dependent kinase ("CDK") 9 inhibitor; and</w:t>
      </w: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ME-344, a mitochondrial inhibitor targeting the oxidative phosphorylation (“OXPHOS”) complex.</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GAAP”) requires management to make estimates and assumptions that affect the amounts reported in the financial statements and disclosures made in the accompanying notes to the financial statements. We use estimates that affect the reported amounts (including assets, liabilities, revenues and expenses) and related disclosures. Actual results could materially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0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have accumulated losses of $374.2 million since inception and expect to incur operating losses and generate negative cash flows from operations for the foreseeable future. As of June 30, 2022, we had $153.3 million in cash, cash equivalents and short-term investments. We believe that these resources will be sufficient to meet our obligations and fund our liquidity and capital expenditure requirements for at least the next 12 months from the issuance of these financial statements.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198" w:lineRule="exact"/>
        <w:rPr>
          <w:sz w:val="20"/>
          <w:szCs w:val="20"/>
          <w:color w:val="auto"/>
        </w:rPr>
      </w:pPr>
    </w:p>
    <w:p>
      <w:pPr>
        <w:ind w:right="280" w:firstLine="509"/>
        <w:spacing w:after="0" w:line="250"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0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Proceeds from issuance of common stock and payment of issuance costs have been reclassified in the prior year financial statements to conform to the current year financial statement presentation. These changes did not impact previously reported net loss, loss per share, stockholders’ equity, total assets or total cash flows.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07"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of cash and highly liquid investments with original maturities of three months or less when purchased. Cash is maintained at financial institutions and, at times, balances may exceed federally insured limits. We have not experienced any losses related to these balances.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107"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Short-term investments are marketable securities with maturities greater than three months but less than one year from date of purchase. As of June 30, 2022 and 2021, our short-term investments consisted of $137.5 million and $144.9 million, respectively, in United States, "U.S.", government securities. The short-term investments held as of June 30, 2022 and 2021 are considered to be “held to maturity” and are carried at amortized cost. As of June 30, 2022 and 2021, the gross unrealized gains and losses were immaterial.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based on three levels of inputs, of which the first two are considered observable and the last unobservable, that may be used to measure fair value is as follows:</w:t>
      </w:r>
    </w:p>
    <w:p>
      <w:pPr>
        <w:spacing w:after="0" w:line="68" w:lineRule="exact"/>
        <w:rPr>
          <w:sz w:val="20"/>
          <w:szCs w:val="20"/>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1020" w:right="300" w:hanging="504"/>
        <w:spacing w:after="0" w:line="258"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0"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07"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and depreciated over the estimated useful lives of the assets (generally three to seven years) using the straight-line method. Leasehold improvements are stated at cost and are amortized over the shorter of the estimated useful lives of the assets or the lease term.</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0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 xml:space="preserve">Financial Accounting Standards Board ("FASB") Accounting Standards Codification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establishes a right-of-use ("ROU") model that requires a lessee to record a ROU asset and a lease liability on the Balance Sheets for all leases with terms longer than 12 months. Leases are classified as either finance or operating, with classification affecting the pattern of expense recognition in the income statement. We elected the following as practical expedients: 1) an entity need not reassess whether any expired or existing contracts are or contain leases, 2) an entity need not reassess the lease classification for any expired or existing leases, and 3) an entity need not reassess initial direct costs for any existing leases.</w:t>
      </w:r>
    </w:p>
    <w:p>
      <w:pPr>
        <w:spacing w:after="0" w:line="70" w:lineRule="exact"/>
        <w:rPr>
          <w:sz w:val="20"/>
          <w:szCs w:val="20"/>
          <w:color w:val="auto"/>
        </w:rPr>
      </w:pPr>
    </w:p>
    <w:p>
      <w:pPr>
        <w:jc w:val="both"/>
        <w:ind w:right="220" w:firstLine="509"/>
        <w:spacing w:after="0" w:line="258" w:lineRule="auto"/>
        <w:rPr>
          <w:sz w:val="20"/>
          <w:szCs w:val="20"/>
          <w:color w:val="auto"/>
        </w:rPr>
      </w:pPr>
      <w:r>
        <w:rPr>
          <w:rFonts w:ascii="Times New Roman" w:cs="Times New Roman" w:eastAsia="Times New Roman" w:hAnsi="Times New Roman"/>
          <w:sz w:val="18"/>
          <w:szCs w:val="18"/>
          <w:color w:val="auto"/>
        </w:rPr>
        <w:t>Rent expense for operating leases is recognized on a straight-line basis over the lease term based on the total lease payments. We have elected the practical expedient to not separate lease and non-lease components for our real estate leases. Our non-lease components are primarily related to property maintenance, which varies based on future outcomes, and thus is recognized in rent expense when incurred.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 from Customers</w:t>
      </w:r>
    </w:p>
    <w:p>
      <w:pPr>
        <w:spacing w:after="0" w:line="117" w:lineRule="exact"/>
        <w:rPr>
          <w:sz w:val="20"/>
          <w:szCs w:val="20"/>
          <w:color w:val="auto"/>
        </w:rPr>
      </w:pPr>
    </w:p>
    <w:p>
      <w:pPr>
        <w:jc w:val="both"/>
        <w:ind w:right="280" w:firstLine="509"/>
        <w:spacing w:after="0" w:line="251" w:lineRule="auto"/>
        <w:rPr>
          <w:sz w:val="20"/>
          <w:szCs w:val="20"/>
          <w:color w:val="auto"/>
        </w:rPr>
      </w:pPr>
      <w:r>
        <w:rPr>
          <w:rFonts w:ascii="Times New Roman" w:cs="Times New Roman" w:eastAsia="Times New Roman" w:hAnsi="Times New Roman"/>
          <w:sz w:val="18"/>
          <w:szCs w:val="18"/>
          <w:color w:val="auto"/>
        </w:rPr>
        <w:t xml:space="preserve">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we recognize revenue when control of the promised goods or services is transferred to our customers, in an amount that reflects the consideration we expect to be entitled to in exchange for those goods or services. For enforceable contracts with our customers, we first identify the distinct performance obligations – or accounting units – within the contract. Performance obligations are commitments in a contract to transfer a distinct good or service to the customer.</w:t>
      </w:r>
    </w:p>
    <w:p>
      <w:pPr>
        <w:spacing w:after="0" w:line="67" w:lineRule="exact"/>
        <w:rPr>
          <w:sz w:val="20"/>
          <w:szCs w:val="20"/>
          <w:color w:val="auto"/>
        </w:rPr>
      </w:pPr>
    </w:p>
    <w:p>
      <w:pPr>
        <w:ind w:right="300" w:firstLine="509"/>
        <w:spacing w:after="0" w:line="250" w:lineRule="auto"/>
        <w:rPr>
          <w:sz w:val="20"/>
          <w:szCs w:val="20"/>
          <w:color w:val="auto"/>
        </w:rPr>
      </w:pPr>
      <w:r>
        <w:rPr>
          <w:rFonts w:ascii="Times New Roman" w:cs="Times New Roman" w:eastAsia="Times New Roman" w:hAnsi="Times New Roman"/>
          <w:sz w:val="18"/>
          <w:szCs w:val="18"/>
          <w:color w:val="auto"/>
        </w:rPr>
        <w:t>Payments received under commercial arrangements, such as licensing technology rights, may include non-refundable fees at the inception of the arrangements, milestone payments for specific achievements designated in the agreements, and royalties on the sale of products. At the inception of arrangements that include milestone payments, we use judgment to evaluate whether the milestones are probable</w:t>
      </w:r>
    </w:p>
    <w:p>
      <w:pPr>
        <w:sectPr>
          <w:pgSz w:w="11900" w:h="16838" w:orient="portrait"/>
          <w:cols w:equalWidth="0" w:num="1">
            <w:col w:w="11200"/>
          </w:cols>
          <w:pgMar w:left="320" w:top="414" w:right="379" w:bottom="1440" w:gutter="0" w:footer="0" w:header="0"/>
        </w:sectPr>
      </w:pP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79"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of being achieved, and we estimate the amount to include in the transaction price using the most likely method. If it is probable that a significant revenue reversal will not occur, the estimated amount is included in the transaction price. Milestone payments that are not within our or the licensee’s control, such as regulatory approvals, are not included in the transaction price until those approvals are received. At the end of each reporting period, we re-evaluate the probability of achievement of development milestones and any related constraint and, as necessary, we adjust our estimate of the overall transaction price.</w:t>
      </w:r>
    </w:p>
    <w:p>
      <w:pPr>
        <w:spacing w:after="0" w:line="175"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8"/>
          <w:szCs w:val="18"/>
          <w:color w:val="auto"/>
        </w:rPr>
        <w:t>We may enter into arrangements that consist of multiple performance obligations. Such arrangements may include any combination of our deliverables. To the extent a contract includes multiple promised deliverables, we apply judgment to determine whether promised deliverables are capable of being distinct and are distinct in the context of the contract. If these criteria are not met, the promised deliverables are accounted for as a combined performance obligation. For arrangements with multiple distinct performance obligations, we allocate variable consideration related to our 50-50 cost share for development services directly to the associated performance obligation and then allocate the remaining consideration among the performance obligations based on their relative stand-alone selling price. Stand-alone selling price is the price at which we would sell a promised good or service separately to the customer. When not directly observable, we typically estimate the stand-alone selling price for each distinct performance obligation. Variable consideration that relates specifically to our efforts to satisfy specific performance obligations is allocated entirely to those performance obligations. Other components of the transaction price are allocated based on the relative stand-alone selling price, over which management has applied significant judgment. We develop assumptions that require judgment to determine the stand-alone selling price for license-related performance obligations, which may include forecasted revenues, development timelines, reimbursement rates for personnel costs, discount rates and probabilities of technical, regulatory and commercial success. We estimate stand-alone selling price for research and development performance obligations by forecasting the expected costs of satisfying a performance obligation plus an appropriate margin.</w:t>
      </w:r>
    </w:p>
    <w:p>
      <w:pPr>
        <w:spacing w:after="0" w:line="197"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In the case of a license that is a distinct performance obligation, we recognize revenue allocated to the license from non-refundable, up-front fees at the point in time when the license is transferred to the licensee and the licensee can use and benefit from the license. For licenses that are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 the measure of progress each reporting period and, if necessary, adjust the measure of performance and related revenue recognition. From time to time, we perform additional services for Kyowa Kirin Co., Ltd. ("KKC") at their request, the costs of which are fully reimbursed to us. The cost of these services is recognized in the Statements of Operations as research and development expense.</w:t>
      </w:r>
    </w:p>
    <w:p>
      <w:pPr>
        <w:spacing w:after="0" w:line="19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selection of the method to measure progress towards completion requires judgment and is based on the nature of the products or services to be provided. Revenue is recorded proportionally as costs are incurred. We generally use the cost-to-cost measure of progress because it best depicts the transfer of control to the customer which occurs as we incur costs. Under the cost-to-cost measure of progress, the extent of progress towards completion is measured based on the ratio of costs incurred to date to the total estimated costs at completion of the performance obligation (an “input method” under Topic 606). We use judgment to estimate the total cost expected to complete the research and development performance obligations, which include subcontractors’ costs, labor, materials, other direct costs and an allocation of indirect costs. We evaluate these cost estimates and the progress each reporting period and, as necessary, we adjust the measure of progress and related revenue recognition.</w:t>
      </w:r>
    </w:p>
    <w:p>
      <w:pPr>
        <w:spacing w:after="0" w:line="18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For arrangements that include sales-based or usage-based royalties, we recognize revenue at the later of (i) when the related sales occur or (ii) when the performance obligation to which some or all of the royalty has been allocated has been satisfied or partially satisfied. To date, we have not recognized any sales-based or usage-based royalty revenue from license agreements.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recognized revenue associated with the following license agreements for the periods presented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9"/>
        </w:trPr>
        <w:tc>
          <w:tcPr>
            <w:tcW w:w="114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Agreement:</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KKC Commercialization Agreement</w:t>
            </w:r>
          </w:p>
        </w:tc>
        <w:tc>
          <w:tcPr>
            <w:tcW w:w="16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40,697</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34,356</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Helsinn License Agreement</w:t>
            </w:r>
          </w:p>
        </w:tc>
        <w:tc>
          <w:tcPr>
            <w:tcW w:w="1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40,697</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34,796</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8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Timing of Revenue Recognition:</w:t>
            </w:r>
          </w:p>
        </w:tc>
        <w:tc>
          <w:tcPr>
            <w:tcW w:w="1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services performed over time</w:t>
            </w:r>
          </w:p>
        </w:tc>
        <w:tc>
          <w:tcPr>
            <w:tcW w:w="16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37,304</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31,302</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Pass through services at a point in time</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transferred at a point in time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38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40,697</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34,796</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27,756</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14"/>
        </w:trPr>
        <w:tc>
          <w:tcPr>
            <w:tcW w:w="11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8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-1369060</wp:posOffset>
            </wp:positionV>
            <wp:extent cx="5969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-1369060</wp:posOffset>
            </wp:positionV>
            <wp:extent cx="5143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-1369060</wp:posOffset>
            </wp:positionV>
            <wp:extent cx="5143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-504825</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-487680</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-504825</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-487680</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-504825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-487680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Based on the characteristics of the Helsinn License Agreement, we recognized revenue based on the extent of progress towards completion of the performance obligations. The performance obligations under the Helsinn License Agreement were completed in June 2021, and the Helsinn License Agreement was terminated in November 2021.</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05" w:lineRule="exact"/>
        <w:rPr>
          <w:sz w:val="20"/>
          <w:szCs w:val="20"/>
          <w:color w:val="auto"/>
        </w:rPr>
      </w:pPr>
    </w:p>
    <w:p>
      <w:pPr>
        <w:jc w:val="both"/>
        <w:ind w:right="480" w:firstLine="509"/>
        <w:spacing w:after="0" w:line="258" w:lineRule="auto"/>
        <w:rPr>
          <w:sz w:val="20"/>
          <w:szCs w:val="20"/>
          <w:color w:val="auto"/>
        </w:rPr>
      </w:pPr>
      <w:r>
        <w:rPr>
          <w:rFonts w:ascii="Times New Roman" w:cs="Times New Roman" w:eastAsia="Times New Roman" w:hAnsi="Times New Roman"/>
          <w:sz w:val="18"/>
          <w:szCs w:val="18"/>
          <w:color w:val="auto"/>
        </w:rPr>
        <w:t>Accounts receivable are included on our Balance Sheets in “Prepaid expenses and other current assets”, and contract liabilities are included in “Deferred revenue” and “Deferred revenue, long-term” in our Balance Sheets. The following table presents changes in accounts receivable, unbilled receivables and contract liabilities accounted for under Topic 606 for the periods presented (in thousands):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Years Ended June 30,</w:t>
            </w:r>
          </w:p>
        </w:tc>
      </w:tr>
      <w:tr>
        <w:trPr>
          <w:trHeight w:val="169"/>
        </w:trPr>
        <w:tc>
          <w:tcPr>
            <w:tcW w:w="53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beginning of year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r>
      <w:tr>
        <w:trPr>
          <w:trHeight w:val="216"/>
        </w:trPr>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Amounts billed</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54,611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25,682</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received</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(54,611 )</w:t>
            </w: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(25,765 )</w:t>
            </w:r>
          </w:p>
        </w:tc>
      </w:tr>
      <w:tr>
        <w:trPr>
          <w:trHeight w:val="249"/>
        </w:trPr>
        <w:tc>
          <w:tcPr>
            <w:tcW w:w="53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 end of year</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96"/>
        </w:trPr>
        <w:tc>
          <w:tcPr>
            <w:tcW w:w="5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Unbilled receivables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Unbilled receivables, beginning of year</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Billable amounts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30,406</w:t>
            </w:r>
          </w:p>
        </w:tc>
        <w:tc>
          <w:tcPr>
            <w:tcW w:w="80" w:type="dxa"/>
            <w:vAlign w:val="bottom"/>
          </w:tcPr>
          <w:p>
            <w:pPr>
              <w:spacing w:after="0"/>
              <w:rPr>
                <w:sz w:val="18"/>
                <w:szCs w:val="18"/>
                <w:color w:val="auto"/>
              </w:rPr>
            </w:pPr>
          </w:p>
        </w:tc>
      </w:tr>
      <w:tr>
        <w:trPr>
          <w:trHeight w:val="216"/>
        </w:trPr>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Amounts billed</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(54,354 )</w:t>
            </w: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(25,682 )</w:t>
            </w:r>
          </w:p>
        </w:tc>
      </w:tr>
      <w:tr>
        <w:trPr>
          <w:trHeight w:val="209"/>
        </w:trPr>
        <w:tc>
          <w:tcPr>
            <w:tcW w:w="53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Unbilled receivables, end of year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80" w:type="dxa"/>
            <w:vAlign w:val="bottom"/>
            <w:tcBorders>
              <w:top w:val="single" w:sz="8" w:color="CFF0FC"/>
            </w:tcBorders>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3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 beginning of year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14,677</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19,108</w:t>
            </w:r>
          </w:p>
        </w:tc>
        <w:tc>
          <w:tcPr>
            <w:tcW w:w="80" w:type="dxa"/>
            <w:vAlign w:val="bottom"/>
          </w:tcPr>
          <w:p>
            <w:pPr>
              <w:spacing w:after="0"/>
              <w:rPr>
                <w:sz w:val="18"/>
                <w:szCs w:val="18"/>
                <w:color w:val="auto"/>
              </w:rPr>
            </w:pPr>
          </w:p>
        </w:tc>
      </w:tr>
      <w:tr>
        <w:trPr>
          <w:trHeight w:val="216"/>
        </w:trPr>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(3,777 )</w:t>
            </w: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(4,798 )</w:t>
            </w: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received</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18"/>
                <w:szCs w:val="18"/>
                <w:color w:val="auto"/>
              </w:rPr>
            </w:pPr>
          </w:p>
        </w:tc>
      </w:tr>
      <w:tr>
        <w:trPr>
          <w:trHeight w:val="249"/>
        </w:trPr>
        <w:tc>
          <w:tcPr>
            <w:tcW w:w="53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Contract liabilities, end of year</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-1463675</wp:posOffset>
            </wp:positionV>
            <wp:extent cx="882015" cy="162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2015" cy="16256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-889635</wp:posOffset>
            </wp:positionV>
            <wp:extent cx="5143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-889635</wp:posOffset>
            </wp:positionV>
            <wp:extent cx="42545"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545" cy="17145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-24765</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-7620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393"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The timing of revenue recognition, invoicing and cash collections results in billed accounts receivable and unbilled receivables (contract assets) and deferred revenue (contract liabilities). We invoice our customers in accordance with agreed-upon contractual terms, typically at periodic intervals or upon achievement of contractual milestones. Invoicing may occur subsequent to revenue recognition, resulting in unbilled receivables. We may receive advance payments from our customers before revenue is recognized, resulting in contract liabilities. The unbilled receivables and deferred revenue reported on the Balance Sheets relate to the KKC Commercialization Agreement.</w:t>
      </w:r>
    </w:p>
    <w:p>
      <w:pPr>
        <w:spacing w:after="0" w:line="72" w:lineRule="exact"/>
        <w:rPr>
          <w:sz w:val="20"/>
          <w:szCs w:val="20"/>
          <w:color w:val="auto"/>
        </w:rPr>
      </w:pPr>
    </w:p>
    <w:p>
      <w:pPr>
        <w:jc w:val="both"/>
        <w:ind w:right="280" w:firstLine="509"/>
        <w:spacing w:after="0" w:line="258" w:lineRule="auto"/>
        <w:rPr>
          <w:sz w:val="20"/>
          <w:szCs w:val="20"/>
          <w:color w:val="auto"/>
        </w:rPr>
      </w:pPr>
      <w:r>
        <w:rPr>
          <w:rFonts w:ascii="Times New Roman" w:cs="Times New Roman" w:eastAsia="Times New Roman" w:hAnsi="Times New Roman"/>
          <w:sz w:val="18"/>
          <w:szCs w:val="18"/>
          <w:color w:val="auto"/>
        </w:rPr>
        <w:t>As of June 30, 2022 and 2021, we had unbilled receivables of $10.0 million and $7.6 million, respectively, related to our remaining performance obligations under the KKC Commercialization Agreement. Our unbilled receivables are comprised of amounts that are billable based on the contractual provisions of the license agreement but not yet billed.</w:t>
      </w:r>
    </w:p>
    <w:p>
      <w:pPr>
        <w:spacing w:after="0" w:line="61"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 xml:space="preserve">As of June 30, 2022 and 2021, we had $95.4 million and $79.2 million, respectively, of deferred revenue associated with the KKC Commercialization Agreement, of which $64.5 million relates to the U.S. license which is a unit of account under the scope of ASC Topic 808, </w:t>
      </w:r>
      <w:r>
        <w:rPr>
          <w:rFonts w:ascii="Times New Roman" w:cs="Times New Roman" w:eastAsia="Times New Roman" w:hAnsi="Times New Roman"/>
          <w:sz w:val="18"/>
          <w:szCs w:val="18"/>
          <w:i w:val="1"/>
          <w:iCs w:val="1"/>
          <w:color w:val="auto"/>
        </w:rPr>
        <w:t xml:space="preserve">Collaborative Arrangements </w:t>
      </w:r>
      <w:r>
        <w:rPr>
          <w:rFonts w:ascii="Times New Roman" w:cs="Times New Roman" w:eastAsia="Times New Roman" w:hAnsi="Times New Roman"/>
          <w:sz w:val="18"/>
          <w:szCs w:val="18"/>
          <w:color w:val="auto"/>
        </w:rPr>
        <w:t>("Topic 808") and is not a performance obligation under Topic 606. The remaining balance of deferred revenue as of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and 2021 of $30.9 million and $14.7 million, respectively, relates to the development services performance obligations which are under the scope of Topic 606.</w:t>
      </w:r>
    </w:p>
    <w:p>
      <w:pPr>
        <w:spacing w:after="0" w:line="8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Our contract liabilities accounted for under Topic 606 relate to the amount of initial upfront consideration that was allocated to the development services performance obligations. Contract liabilities are recognized over the duration of the performance obligations based on the costs incurred relative to total expected costs.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 from Collaborators</w:t>
      </w:r>
    </w:p>
    <w:p>
      <w:pPr>
        <w:spacing w:after="0" w:line="105"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At contract inception, we assess whether the collaboration arrangements are within the scope of Topic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Topic 808 that contain multiple units of account, we first determine which units of account within the arrangement are within the scope of Topic 808 and which elements are within the scope of Topic 606. For units of account within collaboration arrangements that are accounted for pursuant to Topic 808, an appropriate recognition method is determined and applied consistently, by analogy to authoritative accounting literature. For elements of collaboration arrangements that are accounted for pursuant to Topic 606, we recognize revenue as discussed above. Consideration received that does not meet the requirements to satisfy Topic 606 revenue recognition criteria is recorded as deferred revenue in the accompanying Balance Sheets, classified as either current or long-term deferred revenue based on our best estimate of when such amounts will be recognized.</w:t>
      </w:r>
    </w:p>
    <w:p>
      <w:pPr>
        <w:sectPr>
          <w:pgSz w:w="11900" w:h="16838" w:orient="portrait"/>
          <w:cols w:equalWidth="0" w:num="1">
            <w:col w:w="11200"/>
          </w:cols>
          <w:pgMar w:left="320" w:top="414" w:right="379" w:bottom="1440" w:gutter="0" w:footer="0" w:header="0"/>
        </w:sectPr>
      </w:pP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 of revenue primarily includes external costs paid to third party contractors to perform research, conduct clinical trials and develop and</w:t>
      </w:r>
    </w:p>
    <w:p>
      <w:pPr>
        <w:spacing w:after="0" w:line="1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manufacture drug materials, and internal compensation and related personnel expenses to support our research and development performance obligations associated with the Helsinn License Agreement which was terminated in November 2021.</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07"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include costs paid to third party contractors to perform research, conduct clinical trials and develop and manufacture drug materials. Clinical trial costs, including costs associated with third party contractors, are a significant component of research and development expenses. We expense research and development costs based on work performed. In determining the amount to expense, management relies on estimates of total costs based on contract components completed, the enrollment of subjects, the completion of trials, and other events. Costs incurred related to the purchase or licensing of in-process research and development for early-stage products or products that are not commercially viable and ready for use, or have no alternative future use, are charged to expense in the period incurred.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0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Share-based compensation expense for stock options and restricted stock units ("RSUs") granted to employees and directors is recognized in the Statements of Operations based on estimated amounts. The cost of stock options is measured at the grant date, based on the estimated fair value of the stock option using the Black-Scholes valuation model, which incorporates various assumptions including expected volatility, risk-free interest rate, the expected term of the award and the dividend yield on the underlying stock. Expected volatility is calculated based on the historical volatility of our stock over the expected option life and other appropriate factors. The expected option term is computed using the "simplified" method as permitted under the provisions of ASC 718-10-S99. We use the simplified method to calculate the expected term of share options and similar instruments as we do not have sufficient historical exercise data to provide a reasonable basis upon which to estimate the expected term. Risk-free interest rates are calculated based on continuously compounded risk-free rates for the appropriate term. The dividend yield is assumed to be zero as we have never paid or declared any cash dividends and does not intend to do so in the foreseeable future. For RSUs, we estimate the grant date fair value using our closing stock price on the date of grant. The estimated fair value of stock options and RSUs is amortized on a straight-line basis over the requisite service period, adjusted for actual forfeitures at the time they occur. The requisite service period is generally the time over which our share-based awards vest.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Dividend Income</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on cash balances is recognized when earned. Dividend income is recognized when the right to receive the payment is established.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Our income tax expense consists of current and deferred income tax expense or benefit. Current income tax expense or benefit is the amount of income taxes expected to be payable or refundable for the current year. A deferred income tax asset or liability is recognized for the future tax consequences attributable to tax credits and loss carryforwards and to differences between the financial statement carrying amounts of existing assets and liabilities and their respective tax bases. Deferred tax assets are reduced by a valuation allowance when, in the opinion of management, it is more likely than not that some portion or all of the deferred tax assets will not be realized. As of June 30, 2022 and 2021, we have established a valuation allowance to fully reserve our net deferred tax assets. Tax rate changes are reflected in income during the period such changes are enacted. Changes in our ownership may limit the amount of net operating loss carryforwards that can be utilized in the future to offset taxable income.</w:t>
      </w:r>
    </w:p>
    <w:p>
      <w:pPr>
        <w:spacing w:after="0" w:line="18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FASB Topic on income taxes prescribes a recognition threshold and measurement attribute criteria for the financial statement recognition and measurement of tax positions taken or expected to be taken in a tax return. For those benefits to be recognized, a tax position must be more-likely-than-not to be sustained upon examination by taxing authorities. An uncertain income tax position will not be recognized if it has less than a 50% likelihood of being sustained. There were no unrecognized tax benefits as of June 30, 2022 and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Basic and diluted net loss per share are computed using the weighted-average number of shares of common stock outstanding during the period, less any shares subject to repurchase or forfeiture. There were no shares of common stock subject to repurchase or forfeiture for the years ended June 30, 2022, 2021 and 2020. Our potentially dilutive shares, which include outstanding stock options, restricted stock units, and warrants, are considered to be common stock equivalents and are only included in the calculation of diluted net loss per share when their effect is dilutive. The assessment of dilution is made on a quarterly basis and therefore the annual determination of diluted net loss per share only includes those quarters in which the potential common stock equivalents were determined to be dilutive.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of net loss used to calculate basic and diluted loss per share for the periods presented (in thousands):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4"/>
                <w:szCs w:val="14"/>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loss—basic</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(54,454</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(41,314</w:t>
            </w:r>
          </w:p>
        </w:tc>
        <w:tc>
          <w:tcPr>
            <w:tcW w:w="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(47,173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18"/>
                <w:szCs w:val="18"/>
                <w:color w:val="auto"/>
              </w:rPr>
            </w:pPr>
          </w:p>
        </w:tc>
        <w:tc>
          <w:tcPr>
            <w:tcW w:w="10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(8,046 )</w:t>
            </w:r>
          </w:p>
        </w:tc>
        <w:tc>
          <w:tcPr>
            <w:tcW w:w="24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(27,394 )</w:t>
            </w:r>
          </w:p>
        </w:tc>
        <w:tc>
          <w:tcPr>
            <w:tcW w:w="2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loss—diluted</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240" w:type="dxa"/>
            <w:vAlign w:val="bottom"/>
            <w:tcBorders>
              <w:bottom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(68,708</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(47,173</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-24765</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-7620</wp:posOffset>
            </wp:positionV>
            <wp:extent cx="596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-24765</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-7620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 used in calculating net loss per share for the periods presented was determined as follows (in thousands):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4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Years Ended June 30,</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used in calculating basic net loss per share</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124,473</w:t>
            </w: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112,527</w:t>
            </w:r>
          </w:p>
        </w:tc>
        <w:tc>
          <w:tcPr>
            <w:tcW w:w="10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91,080</w:t>
            </w:r>
          </w:p>
        </w:tc>
        <w:tc>
          <w:tcPr>
            <w:tcW w:w="0" w:type="dxa"/>
            <w:vAlign w:val="bottom"/>
          </w:tcPr>
          <w:p>
            <w:pPr>
              <w:spacing w:after="0"/>
              <w:rPr>
                <w:sz w:val="1"/>
                <w:szCs w:val="1"/>
                <w:color w:val="auto"/>
              </w:rPr>
            </w:pPr>
          </w:p>
        </w:tc>
      </w:tr>
      <w:tr>
        <w:trPr>
          <w:trHeight w:val="170"/>
        </w:trPr>
        <w:tc>
          <w:tcPr>
            <w:tcW w:w="54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Effect of potentially dilutive common shares from equity awards and</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liability-classified warrants</w:t>
            </w:r>
          </w:p>
        </w:tc>
        <w:tc>
          <w:tcPr>
            <w:tcW w:w="1060" w:type="dxa"/>
            <w:vAlign w:val="bottom"/>
            <w:vMerge w:val="continue"/>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used in calculating diluted net loss per share</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125,142</w:t>
            </w:r>
          </w:p>
        </w:tc>
        <w:tc>
          <w:tcPr>
            <w:tcW w:w="4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114,481</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4893945</wp:posOffset>
            </wp:positionH>
            <wp:positionV relativeFrom="paragraph">
              <wp:posOffset>-24765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-7620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following potentially dilutive shares have been excluded from the calculation of net loss per share for the periods presented because of their anti-dilutive effect (in thousands):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1140" w:type="dxa"/>
            <w:vAlign w:val="bottom"/>
            <w:tcBorders>
              <w:bottom w:val="single" w:sz="8" w:color="auto"/>
            </w:tcBorders>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11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1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20,488</w:t>
            </w:r>
          </w:p>
        </w:tc>
        <w:tc>
          <w:tcPr>
            <w:tcW w:w="14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15,887</w:t>
            </w:r>
          </w:p>
        </w:tc>
        <w:tc>
          <w:tcPr>
            <w:tcW w:w="1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11,030</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16,062</w:t>
            </w:r>
          </w:p>
        </w:tc>
      </w:tr>
      <w:tr>
        <w:trPr>
          <w:trHeight w:val="21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anti-dilutive shares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20,329</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27,092</w:t>
            </w:r>
          </w:p>
        </w:tc>
      </w:tr>
      <w:tr>
        <w:trPr>
          <w:trHeight w:val="20"/>
        </w:trPr>
        <w:tc>
          <w:tcPr>
            <w:tcW w:w="5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4825365</wp:posOffset>
            </wp:positionH>
            <wp:positionV relativeFrom="paragraph">
              <wp:posOffset>-170815</wp:posOffset>
            </wp:positionV>
            <wp:extent cx="85725"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-170815</wp:posOffset>
            </wp:positionV>
            <wp:extent cx="7683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17145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 Pronouncement</w:t>
      </w:r>
    </w:p>
    <w:p>
      <w:pPr>
        <w:spacing w:after="0" w:line="105"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2016-13, </w:t>
      </w:r>
      <w:r>
        <w:rPr>
          <w:rFonts w:ascii="Times New Roman" w:cs="Times New Roman" w:eastAsia="Times New Roman" w:hAnsi="Times New Roman"/>
          <w:sz w:val="18"/>
          <w:szCs w:val="18"/>
          <w:i w:val="1"/>
          <w:iCs w:val="1"/>
          <w:color w:val="auto"/>
        </w:rPr>
        <w:t>Financial Instruments—Credit Losses (Topic 326):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on Financial Instruments </w:t>
      </w:r>
      <w:r>
        <w:rPr>
          <w:rFonts w:ascii="Times New Roman" w:cs="Times New Roman" w:eastAsia="Times New Roman" w:hAnsi="Times New Roman"/>
          <w:sz w:val="18"/>
          <w:szCs w:val="18"/>
          <w:color w:val="auto"/>
        </w:rPr>
        <w:t>(“ASU 2016-13”), as amended. The amendments in ASU 2016-13 require, among other things, financial assets measured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amortized cost basis to be presented at the net amount expected to be collected as compared to previous U.S. GAAP which delayed recognition until it was probable a loss had been incurred. The amendments in this standard are effective for fiscal years beginning after December 15, 2022, including interim periods within those fiscal years, with early adoption permitted. We are currently evaluating the impact that adoption of ASU 2016-13 will have on our financial statements and related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KKC License, Development and Commercialization Agreement</w:t>
      </w:r>
    </w:p>
    <w:p>
      <w:pPr>
        <w:spacing w:after="0" w:line="107"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In April 2020, we entered into the License, Development and Commercialization Agreement (the “KKC Commercialization Agreement”) with Kyowa Kirin Company (“KKC”). Under the KKC Commercialization Agreement,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payment-bearing, license under certain patents and know-how controlled by us to develop and commercialize zandelisib and any pharmaceutical product containing zandelisib for all human indications in countries outside of the U.S. (the “Ex-U.S.” or the “Ex-U.S. License”).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KKC paid us an initial payment of $100 million in May 2020. Additionally, we may earn up to approximately $582.5 million in potential development, regulatory and commercialization milestone payments, plus royalties on net sales of zandelisib in the Ex-U.S., which are tiered beginning in the teens.</w:t>
      </w:r>
    </w:p>
    <w:p>
      <w:pPr>
        <w:spacing w:after="0" w:line="9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KKC will be responsible for the development and commercialization of zandelisib in the Ex-U.S. and, subject to certain exceptions, will be solely responsible for all costs related thereto. We will co-develop and co-promote zandelisib with KKC in the U.S., with the Company recording all revenue from U.S. sales. We will share U.S. profits and costs (including development costs) on a 50-50 basis with KKC. We will also provide to KKC certain drug supplies necessary for the development and commercialization of zandelisib in the Ex-U.S., with the understanding that KKC will assume responsibility for manufacturing for the Ex-U.S. as soon as practicable.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79"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We assessed the KKC Commercialization Agreement in accordance with Topic 808 and Topic 606 and determined that our obligations comprise the U.S. License, the Ex-U.S. License, and development services (the “Development Services”). We determined that the KKC Commercialization Agreement is a collaborative arrangement in accordance with Topic 808 that contains multiple units of account, as we and KKC are both active participants in the development and commercialization activities and are exposed to significant risks and rewards that are dependent on commercial success of the activities of the arrangement. The U.S. License is a unit of account under the scope of Topic 808 and is not a deliverable under Topic 606, while the Ex-U.S. License and Development Services performance obligations are under the scope of Topic 606.</w:t>
      </w:r>
    </w:p>
    <w:p>
      <w:pPr>
        <w:spacing w:after="0" w:line="70"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We determined, at the time of our initial assessment, that the total transaction price of $191.5 million is comprised of the upfront payment of $100.0 million, expected milestone payments of $20.0 million, estimated variable consideration related to development cost-sharing of $66.3 million, and deferred revenue of $5.2 million from the KKC Commercialization Agreement. During the year ended June 30, 2022, we updated our estimate of variable consideration related to development cost sharing to $234.9 million. We increased our estimate primarily as a result of further visibility into total expected costs for these development estimates. Any variable consideration related to sales-based royalties and commercial milestones related to licenses of intellectual property will be determined when the sale or usage occurs and is, therefore, excluded from the transaction price. In addition, we are eligible to receive future development and regulatory milestones upon the achievement of certain criteria; however, these amounts are excluded from variable consideration as the risk of significant revenue reversal will only be resolved depending on future research and development and/or regulatory approval outcomes. We re-evaluate the estimated variable consideration included in the transaction price and any related constraints at the end of each reporting period.</w:t>
      </w:r>
    </w:p>
    <w:p>
      <w:pPr>
        <w:spacing w:after="0" w:line="75"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We allocated the transaction price to each unit of account. Variable consideration that relates specifically to our efforts to satisfy specific performance obligations are allocated entirely to those performance obligations. Other components of the transaction price are allocated based on the relative stand-alone selling price, over which management has applied significant judgment. We developed the estimated stand-alone selling price for the licenses using the risk-adjusted net present values of estimated cash flows, and the estimated stand-alone selling price of the development services performance obligations by estimating costs to be incurred, and an appropriate margin, using an income approach.</w:t>
      </w:r>
    </w:p>
    <w:p>
      <w:pPr>
        <w:spacing w:after="0" w:line="68"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We determined that control of the U.S. License and Ex-U.S. License were transferred to KKC during the year ended June 30, 2020, and recognized revenue of $21.0 million related to the Ex-U.S. License. The $64.5 million transaction price allocated to the U.S. License obligation accounted for under Topic 808 is recorded as non-current deferred revenue and will begin to be recognized upon future commercialization as non-ASC 606 revenue. As of June 30, 2022 and 2021, we recorded deferred revenue of $30.9 million and $14.7 million, respectively, for the transaction price allocated to the Development Services performance obligations, and we are recognizing this revenue based on the proportional performance of these development activities which we expect to recognize through fiscal year 2030.</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BeiGene Collaboration</w:t>
      </w:r>
    </w:p>
    <w:p>
      <w:pPr>
        <w:spacing w:after="0" w:line="107"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In October 2018, we entered into a clinical collaboration with BeiGene, Ltd. (“BeiGene”) to evaluate the safety and efficacy of zandelisib in combination with BeiGene’s zanubrutinib (marketed as Brukinsa), an investigational inhibitor of Bruton’s tyrosine kinase (“BTK”), for the treatment of patients with B-cell malignancies. Under the terms of the clinical collaboration agreement with BeiGene, we amended our ongoing Phase 1b trial to include evaluation of zandelisib in combination with zanubrutinib in patients with B-cell malignancies. Study costs are being shared equally by the parties, and we agreed to supply zandelisib and BeiGene agreed to supply zanubrutinib. We record the costs reimbursed by BeiGene as a reduction of our research and development expenses. We retained full commercial rights for zandelisib, and BeiGene retained full commercial rights for zanubrutinib.</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Other License Agreements</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19" w:lineRule="exact"/>
        <w:rPr>
          <w:sz w:val="20"/>
          <w:szCs w:val="20"/>
          <w:color w:val="auto"/>
        </w:rPr>
      </w:pPr>
    </w:p>
    <w:p>
      <w:pPr>
        <w:ind w:right="180" w:firstLine="509"/>
        <w:spacing w:after="0" w:line="243" w:lineRule="auto"/>
        <w:rPr>
          <w:sz w:val="20"/>
          <w:szCs w:val="20"/>
          <w:color w:val="auto"/>
        </w:rPr>
      </w:pPr>
      <w:r>
        <w:rPr>
          <w:rFonts w:ascii="Times New Roman" w:cs="Times New Roman" w:eastAsia="Times New Roman" w:hAnsi="Times New Roman"/>
          <w:sz w:val="18"/>
          <w:szCs w:val="18"/>
          <w:color w:val="auto"/>
        </w:rPr>
        <w:t>In September 2017, we, as licensee, entered into a license agreement with Presage Biosciences, Inc. (“Presage”). Under the terms of the license agreement, Presage granted to us exclusive worldwide rights to develop, manufacture and commercialize voruciclib, a clinical-stage, oral and selective CDK inhibitor, and related compounds. In exchange, we paid $2.9 million to Presage.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 digit tiered royalties on the net sales of any product successfully developed. As an alternative to milestone and royalty payments related to countries in which we sublicense product rights, we will pay to Presage a tiered percentage (which decreases as product development progresses) of amounts received from such sublicensees.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Helsinn License Agreement</w:t>
      </w:r>
    </w:p>
    <w:p>
      <w:pPr>
        <w:spacing w:after="0" w:line="105"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In August 2016, we entered into an exclusive worldwide license, development, manufacturing and commercialization agreement with Helsinn Healthcare SA, a Swiss pharmaceutical corporation, for pracinostat in acute myeloid leukemia, myelodysplastic syndrome and other potential indications (the “Helsinn License Agreement”). As of June 30, 2021, our performance obligations related to the Helsinn License Agreement had been met, and the Helsinn License Agreement was terminated in November 2021.</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21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carrying amounts of financial instruments such as cash equivalents, short-term investments and accounts payable approximate the related fair values due to the short-term maturities of these instruments. We invest our excess cash in financial instruments which are readily convertible into cash, such as money market funds and U.S. government securities. Cash equivalents and short-term investments are classified as Level 1 as defined by the fair value hierarchy.</w:t>
      </w:r>
    </w:p>
    <w:p>
      <w:pPr>
        <w:spacing w:after="0" w:line="176"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In May 2018, we issued warrants in connection with our private placement of shares of common stock. Pursuant to the terms of the warrants, we could be required to settle the warrants in cash in the event of an acquisition of the Company and, as a result, the warrants are required to be measured at fair value and reported as a liability in the Balance Sheets. We recorded the fair value of the warrants upon issuance using the Black-Scholes valuation model and are required to revalue the warrants at each reporting date with any changes in fair value recorded on our Statements of Operations. The valuation of the warrants is considered under Level 3 of the fair value hierarchy due to the need to use assumptions in the valuation that are both significant to the fair value measurement and unobservable. Inputs used to determine the estimated fair value of the warrant liabilities include the estimated fair value of the underlying stock at the valuation date, the estimated term of the warrants, risk-free interest rates, expected dividends and the expected volatility of the underlying stock. The significant unobservable inputs used in the fair value measurement of the warrant liabilities were the volatility rate and the estimated term of the warrants. Generally, increases or decreases in the fair value of the underlying stock and estimated term would result in a directionally similar impact to the fair value measurement. The changes in the fair value of the Level 3 warrant liability are reflected on the Statements of Operations for the years ended June 30, 2022, 2021 and 2020.</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calculate the fair value of the warrant liability, the following assumptions were used for the periods presented:</w:t>
      </w:r>
    </w:p>
    <w:p>
      <w:pPr>
        <w:spacing w:after="0" w:line="200" w:lineRule="exact"/>
        <w:rPr>
          <w:sz w:val="20"/>
          <w:szCs w:val="20"/>
          <w:color w:val="auto"/>
        </w:rPr>
      </w:pP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3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139.4 %</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88.5 %</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Black-Scholes fair value</w:t>
            </w: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-684530</wp:posOffset>
            </wp:positionV>
            <wp:extent cx="4991735"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991735" cy="13716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-410210</wp:posOffset>
            </wp:positionV>
            <wp:extent cx="4991735"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91735" cy="137160"/>
                    </a:xfrm>
                    <a:prstGeom prst="rect">
                      <a:avLst/>
                    </a:prstGeom>
                    <a:noFill/>
                  </pic:spPr>
                </pic:pic>
              </a:graphicData>
            </a:graphic>
          </wp:anchor>
        </w:drawing>
      </w:r>
    </w:p>
    <w:p>
      <w:pPr>
        <w:spacing w:after="0" w:line="177"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sets forth a summary of changes in the estimated fair value of our Level 3 warrant liability for the years ended June 30, 2022 and 2021 (in thousands):</w:t>
      </w:r>
    </w:p>
    <w:p>
      <w:pPr>
        <w:spacing w:after="0" w:line="358"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Fair Value of Warrants Using Significant</w:t>
      </w:r>
    </w:p>
    <w:p>
      <w:pPr>
        <w:spacing w:after="0" w:line="5"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Unobservable Inputs (Level 3)</w:t>
      </w:r>
    </w:p>
    <w:p>
      <w:pPr>
        <w:spacing w:after="0" w:line="8" w:lineRule="exact"/>
        <w:rPr>
          <w:sz w:val="20"/>
          <w:szCs w:val="20"/>
          <w:color w:val="auto"/>
        </w:rPr>
      </w:pPr>
    </w:p>
    <w:tbl>
      <w:tblPr>
        <w:tblLayout w:type="fixed"/>
        <w:tblInd w:w="1240" w:type="dxa"/>
        <w:tblCellMar>
          <w:top w:w="0" w:type="dxa"/>
          <w:left w:w="0" w:type="dxa"/>
          <w:bottom w:w="0" w:type="dxa"/>
          <w:right w:w="0" w:type="dxa"/>
        </w:tblCellMar>
      </w:tblPr>
      <w:tr>
        <w:trPr>
          <w:trHeight w:val="169"/>
        </w:trPr>
        <w:tc>
          <w:tcPr>
            <w:tcW w:w="58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1,</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40,483</w:t>
            </w:r>
          </w:p>
        </w:tc>
        <w:tc>
          <w:tcPr>
            <w:tcW w:w="8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of warrant liability to equity upon exercise of warrants</w:t>
            </w:r>
          </w:p>
        </w:tc>
        <w:tc>
          <w:tcPr>
            <w:tcW w:w="3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estimated fair value of liability classified warrants</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(20,752 )</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(18,122 )</w:t>
            </w:r>
          </w:p>
        </w:tc>
      </w:tr>
      <w:tr>
        <w:trPr>
          <w:trHeight w:val="209"/>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22,355</w:t>
            </w:r>
          </w:p>
        </w:tc>
        <w:tc>
          <w:tcPr>
            <w:tcW w:w="80" w:type="dxa"/>
            <w:vAlign w:val="bottom"/>
            <w:tcBorders>
              <w:top w:val="single" w:sz="8" w:color="CFF0FC"/>
            </w:tcBorders>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-170815</wp:posOffset>
            </wp:positionV>
            <wp:extent cx="51435"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-170815</wp:posOffset>
            </wp:positionV>
            <wp:extent cx="51435"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tcPr>
          <w:p>
            <w:pPr>
              <w:spacing w:after="0"/>
              <w:rPr>
                <w:sz w:val="18"/>
                <w:szCs w:val="18"/>
                <w:color w:val="auto"/>
              </w:rPr>
            </w:pPr>
          </w:p>
        </w:tc>
      </w:tr>
      <w:tr>
        <w:trPr>
          <w:trHeight w:val="209"/>
        </w:trPr>
        <w:tc>
          <w:tcPr>
            <w:tcW w:w="5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(648 )</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(330 )</w:t>
            </w:r>
          </w:p>
        </w:tc>
      </w:tr>
      <w:tr>
        <w:trPr>
          <w:trHeight w:val="249"/>
        </w:trPr>
        <w:tc>
          <w:tcPr>
            <w:tcW w:w="53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-24765</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right="400" w:firstLine="509"/>
        <w:spacing w:after="0" w:line="281" w:lineRule="auto"/>
        <w:rPr>
          <w:sz w:val="20"/>
          <w:szCs w:val="20"/>
          <w:color w:val="auto"/>
        </w:rPr>
      </w:pPr>
      <w:r>
        <w:rPr>
          <w:rFonts w:ascii="Times New Roman" w:cs="Times New Roman" w:eastAsia="Times New Roman" w:hAnsi="Times New Roman"/>
          <w:sz w:val="18"/>
          <w:szCs w:val="18"/>
          <w:color w:val="auto"/>
        </w:rPr>
        <w:t>Depreciation expense of property and equipment for the years ended June 30, 2022, 2021 and 2020 was approximately $326,000, $285,000 and $75,000, respectively.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Liabilities</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pre-clinical and clinical trial expenses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and professional services expenses</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r>
      <w:tr>
        <w:trPr>
          <w:trHeight w:val="249"/>
        </w:trPr>
        <w:tc>
          <w:tcPr>
            <w:tcW w:w="53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-24765</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-7620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Transactions</w:t>
      </w:r>
    </w:p>
    <w:p>
      <w:pPr>
        <w:spacing w:after="0" w:line="2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Underwritten Registered Offering</w:t>
      </w:r>
    </w:p>
    <w:p>
      <w:pPr>
        <w:spacing w:after="0" w:line="105"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During the year ended June 30, 2022, we completed an underwritten registered offering of 20,125,000 shares of common stock at a price per share of $2.60 for net cash proceeds of $48.7 million, after offering costs of $3.7 million. During the year ended June 30, 2020, we completed an underwritten registered offering of 32,343,750 shares of common stock at a price per share of $1.60 for net cash proceeds of $48.5 million, after offering costs of $3.3 million.</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Shelf Registration Statement</w:t>
      </w:r>
    </w:p>
    <w:p>
      <w:pPr>
        <w:spacing w:after="0" w:line="119"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We have a shelf registration statement that permits us to sell, from time to time, up to $200.0 million of common stock, preferred stock and warrants. The shelf registration was filed and declared effective in May 2020, replacing our prior shelf registration statement that was filed and declared effective in May 2017, and carrying forward approximately $107.5 million of unsold securities registered under the prior shelf registration statement. As of June 30, 2022, there was $123.4 million aggregate value of securities available under the shelf registration statement.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At-The-Market Equity Offering</w:t>
      </w:r>
    </w:p>
    <w:p>
      <w:pPr>
        <w:spacing w:after="0" w:line="10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On November 10, 2020, we entered into an At-The-Market Equity Offering Sales Agreement (the “2020 ATM Sales Agreement”), pursuant to which we may sell an aggregate of up to $60.0 million of our common stock pursuant to the shelf registration statement. We had previously entered into an At-The-Market Equity Offering Sales Agreement in November 2017 (the “2017 ATM Sales Agreement”), pursuant to which we could sell an aggregate of up to $30.0 million of our common stock pursuant to the shelf registration statement. The 2017 ATM Sales Agreement expired on November 8, 2020. During the year ended June 30, 2020, we sold 5,471,684 shares under the 2017 ATM Sales Agreement for net proceeds of $20.7 million, after costs of $0.4 million. During the year ended June 30, 2021, we sold 958,083 shares under the 2017 ATM Sales Agreement for net proceeds of $3.1 million, after costs of $0.1 million. As of June 30, 2022, there was $60.0 million available under the 2020 ATM Sales Agreement.</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7"/>
          <w:szCs w:val="17"/>
          <w:color w:val="auto"/>
        </w:rPr>
        <w:t>As of June 30, 2022, we have outstanding warrants to purchase 16,058,985 shares of our common stock. The warrants are fully vested, exercisable at a price of $2.54 per share and expire in May 2023. Pursuant to the terms of the warrants, we could be required to settle the warrants in cash in the event of an acquisition of the Company and, as a result, the warrants are required to be measured at fair value and reported as a liability in the Balance Sheets.</w:t>
      </w:r>
    </w:p>
    <w:p>
      <w:pPr>
        <w:spacing w:after="0" w:line="1"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8"/>
          <w:szCs w:val="18"/>
          <w:color w:val="auto"/>
        </w:rPr>
        <w:t>The warrants were revalued as of June 30, 2022, 2021 and 2020 at $1.6 million, $22.4 million and $40.5 million, respectively. The changes in fair value were recorded on our Statements of Operations for the years ended June 30, 2022, 2021 and 2020. During the year ended June 30, 2021, a warrant holder completed a cashless exercise of 2,617 warrants for 964 shares of common stock. No warrants were exercised during the years ended June 30, 2022 and 2020.</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07"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Our total authorized share capital is 226,100,000 shares consisting of 226,000,000 shares of common stock, $0.00000002 par value per share, and 100,000 shares of preferred stock, $0.01 par value per share.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In the event of a liquidation, dissolution or winding up of our affairs, holders of the common stock will be entitled to share ratably in all our assets that are remaining after payment of our liabilities and the liquidation preference of any outstanding shares of preferred stock. All outstanding shares of common stock are fully paid and non-assessable. The rights, preferences and privileges of holders of common stock are subject to any series of preferred stock that we have issued or that we may issue in the future. The holders of common stock have no pre-emptive rights and are not subject to future calls or assessments by us.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0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Our board of directors has the authority to issue up to 100,000 shares of preferred stock with a par value of $.01 per share in one or more series and to fix the rights, preferences, privileges and restrictions in respect of that preferred stock, including dividend rights, dividend rates, conversion rights, voting rights, terms of redemption (including sinking fund provisions), redemption prices and liquidation preferences, and the number of shares constituting such series and the designation of any such series, without future vote or action by the stockholders. Therefore, the board of directors, without the approval of the stockholders, could authorize the issue of preferred stock with voting, conversion and other rights that could affect the voting power, dividend and other rights of the holders of shares or that could have the effect of delaying, deferring or preventing a change of control. There were no shares of preferred stock outstanding as of June 30, 2022 or 2021.</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Share-Based Compensation</w:t>
      </w:r>
    </w:p>
    <w:p>
      <w:pPr>
        <w:spacing w:after="0" w:line="107"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We use equity-based compensation programs to provide long-term performance incentives for our employees. These incentives consist primarily of stock options and RSUs. In December 2008, we adopted the MEI Pharma, Inc. 2008 Stock Omnibus Equity Compensation Plan (the “Omnibus Plan”), as amended and restated from time to time, under which 29,014,794 shares of common stock are authorized for issuance. The Omnibus Plan provides for the grant of options and/or other stock-based or stock-denominated awards to our non-employee directors, officers, employees and advisors. As of June 30, 2022, there were 9,154,665 shares available for future grant under the Omnibus Plan.</w:t>
      </w:r>
    </w:p>
    <w:p>
      <w:pPr>
        <w:spacing w:after="0" w:line="85"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In May 2021, we adopted the 2021 Inducement Plan ("Inducement Plan"), under which 2,500,000 shares of common stock are authorized for issuance. The Inducement Plan is intended to assist us in attracting and retaining selected individuals to serve as employees who are expected to contribute to our success, by providing an inducement for such individuals to enter into employment with us, and to achieve long-term objectives that will benefit stockholders of the Company. As of June 30, 2022, there were 143,000 shares available for future grant under the Inducement Plan.</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share-based compensation expense for all stock awards consists of the following, in thousands:</w:t>
      </w: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09"/>
        </w:trPr>
        <w:tc>
          <w:tcPr>
            <w:tcW w:w="5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2,610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5,740</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00" w:type="dxa"/>
            <w:vAlign w:val="bottom"/>
          </w:tcPr>
          <w:p>
            <w:pPr>
              <w:spacing w:after="0"/>
              <w:rPr>
                <w:sz w:val="18"/>
                <w:szCs w:val="18"/>
                <w:color w:val="auto"/>
              </w:rPr>
            </w:pPr>
          </w:p>
        </w:tc>
      </w:tr>
      <w:tr>
        <w:trPr>
          <w:trHeight w:val="249"/>
        </w:trPr>
        <w:tc>
          <w:tcPr>
            <w:tcW w:w="59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760" w:type="dxa"/>
            <w:vAlign w:val="bottom"/>
            <w:tcBorders>
              <w:bottom w:val="single" w:sz="8" w:color="auto"/>
            </w:tcBorders>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8,350</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4893945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-24765</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-24765</wp:posOffset>
            </wp:positionV>
            <wp:extent cx="5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-7620</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Stock options granted to employees vest 25% one year from the date of grant and ratably each month thereafter for a period of 36 months and expire ten years from the date of grant. Stock options granted to directors vest ratably each month for a period of 12 months from the date of grant and expire ten years from the date of grant. As of June 30, 2022, there were a total of 19,934,007 options outstanding. Of the total outstanding options, 17,577,007 were granted under the Omnibus Plan and 2,357,000 were granted under the Inducement Plan.</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 summary of our stock option activity and related data follows: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0"/>
        </w:trPr>
        <w:tc>
          <w:tcPr>
            <w:tcW w:w="4540" w:type="dxa"/>
            <w:vAlign w:val="bottom"/>
          </w:tcPr>
          <w:p>
            <w:pPr>
              <w:spacing w:after="0"/>
              <w:rPr>
                <w:sz w:val="13"/>
                <w:szCs w:val="13"/>
                <w:color w:val="auto"/>
              </w:rPr>
            </w:pPr>
          </w:p>
        </w:tc>
        <w:tc>
          <w:tcPr>
            <w:tcW w:w="1340" w:type="dxa"/>
            <w:vAlign w:val="bottom"/>
          </w:tcPr>
          <w:p>
            <w:pPr>
              <w:jc w:val="right"/>
              <w:ind w:right="255"/>
              <w:spacing w:after="0" w:line="15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340" w:type="dxa"/>
            <w:vAlign w:val="bottom"/>
          </w:tcPr>
          <w:p>
            <w:pPr>
              <w:jc w:val="right"/>
              <w:ind w:right="42"/>
              <w:spacing w:after="0" w:line="15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3"/>
                <w:szCs w:val="13"/>
                <w:color w:val="auto"/>
              </w:rPr>
            </w:pPr>
          </w:p>
        </w:tc>
        <w:tc>
          <w:tcPr>
            <w:tcW w:w="20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3"/>
                <w:szCs w:val="13"/>
                <w:color w:val="auto"/>
              </w:rPr>
            </w:pPr>
          </w:p>
        </w:tc>
        <w:tc>
          <w:tcPr>
            <w:tcW w:w="1340" w:type="dxa"/>
            <w:vAlign w:val="bottom"/>
          </w:tcPr>
          <w:p>
            <w:pPr>
              <w:jc w:val="right"/>
              <w:ind w:right="282"/>
              <w:spacing w:after="0" w:line="159" w:lineRule="exact"/>
              <w:rPr>
                <w:sz w:val="20"/>
                <w:szCs w:val="20"/>
                <w:color w:val="auto"/>
              </w:rPr>
            </w:pPr>
            <w:r>
              <w:rPr>
                <w:rFonts w:ascii="Times New Roman" w:cs="Times New Roman" w:eastAsia="Times New Roman" w:hAnsi="Times New Roman"/>
                <w:sz w:val="14"/>
                <w:szCs w:val="14"/>
                <w:b w:val="1"/>
                <w:bCs w:val="1"/>
                <w:color w:val="auto"/>
              </w:rPr>
              <w:t>Aggregate</w:t>
            </w:r>
          </w:p>
        </w:tc>
      </w:tr>
      <w:tr>
        <w:trPr>
          <w:trHeight w:val="189"/>
        </w:trPr>
        <w:tc>
          <w:tcPr>
            <w:tcW w:w="4540" w:type="dxa"/>
            <w:vAlign w:val="bottom"/>
          </w:tcPr>
          <w:p>
            <w:pPr>
              <w:spacing w:after="0"/>
              <w:rPr>
                <w:sz w:val="16"/>
                <w:szCs w:val="16"/>
                <w:color w:val="auto"/>
              </w:rPr>
            </w:pPr>
          </w:p>
        </w:tc>
        <w:tc>
          <w:tcPr>
            <w:tcW w:w="13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6"/>
                <w:szCs w:val="16"/>
                <w:color w:val="auto"/>
              </w:rPr>
            </w:pPr>
          </w:p>
        </w:tc>
        <w:tc>
          <w:tcPr>
            <w:tcW w:w="1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6"/>
                <w:szCs w:val="16"/>
                <w:color w:val="auto"/>
              </w:rPr>
            </w:pPr>
          </w:p>
        </w:tc>
        <w:tc>
          <w:tcPr>
            <w:tcW w:w="13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June 30, 2021</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16,668,542</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6"/>
        </w:trPr>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7,124,734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(348,547)</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6"/>
        </w:trPr>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(3,510,722)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9"/>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19,934,007</w:t>
            </w:r>
          </w:p>
        </w:tc>
        <w:tc>
          <w:tcPr>
            <w:tcW w:w="15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1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$50,600</w:t>
            </w:r>
          </w:p>
        </w:tc>
      </w:tr>
      <w:tr>
        <w:trPr>
          <w:trHeight w:val="196"/>
        </w:trPr>
        <w:tc>
          <w:tcPr>
            <w:tcW w:w="4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exercisable at June 30, 2022</w:t>
            </w: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10,844,635</w:t>
            </w:r>
          </w:p>
        </w:tc>
        <w:tc>
          <w:tcPr>
            <w:tcW w:w="1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$2.95</w:t>
            </w:r>
          </w:p>
        </w:tc>
        <w:tc>
          <w:tcPr>
            <w:tcW w:w="2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4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-187960</wp:posOffset>
            </wp:positionV>
            <wp:extent cx="9398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of June 30, 2022, the aggregate intrinsic value of outstanding options is calculated as the difference between the exercise price of the underlying options and the closing price of our common stock of $0.61 on that date. The total fair value of options that vested during the years ended June 30, 2022, 2021 and 2020 was $9.0 million, $6.4 million and $5.4 million, respectively.</w:t>
      </w:r>
    </w:p>
    <w:p>
      <w:pPr>
        <w:spacing w:after="0" w:line="168"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Unrecognized compensation expense related to non-vested stock options totaled $6.6 million as of June 30, 2022. Such compensation expense is expected to be recognized over a weighted-average period of 1.7 years. As of June 30, 2022, we expect all outstanding options to vest.</w:t>
      </w:r>
    </w:p>
    <w:p>
      <w:pPr>
        <w:spacing w:after="0" w:line="14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use a Black-Scholes valuation model to estimate the grant date fair value of stock options. To calculate these fair values, the following weighted-average assumptions were used:</w:t>
      </w:r>
    </w:p>
    <w:p>
      <w:pPr>
        <w:spacing w:after="0" w:line="169"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20" w:type="dxa"/>
            <w:vAlign w:val="bottom"/>
            <w:tcBorders>
              <w:bottom w:val="single" w:sz="8" w:color="auto"/>
            </w:tcBorders>
          </w:tcPr>
          <w:p>
            <w:pPr>
              <w:spacing w:after="0"/>
              <w:rPr>
                <w:sz w:val="14"/>
                <w:szCs w:val="14"/>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60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69.6 %</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80.1 %</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0"/>
              </w:rPr>
              <w:t>74.1 %</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7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1.64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9"/>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our RSU activity and related data follows: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4"/>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780" w:type="dxa"/>
            <w:vAlign w:val="bottom"/>
            <w:gridSpan w:val="5"/>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00" w:type="dxa"/>
            <w:vAlign w:val="bottom"/>
            <w:gridSpan w:val="2"/>
          </w:tcPr>
          <w:p>
            <w:pPr>
              <w:jc w:val="center"/>
              <w:ind w:left="17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0" w:type="dxa"/>
            <w:vAlign w:val="bottom"/>
          </w:tcPr>
          <w:p>
            <w:pPr>
              <w:spacing w:after="0"/>
              <w:rPr>
                <w:sz w:val="16"/>
                <w:szCs w:val="16"/>
                <w:color w:val="auto"/>
              </w:rPr>
            </w:pPr>
          </w:p>
        </w:tc>
        <w:tc>
          <w:tcPr>
            <w:tcW w:w="1000" w:type="dxa"/>
            <w:vAlign w:val="bottom"/>
            <w:gridSpan w:val="2"/>
          </w:tcPr>
          <w:p>
            <w:pPr>
              <w:jc w:val="center"/>
              <w:ind w:left="19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June 30, 2021</w:t>
            </w:r>
          </w:p>
        </w:tc>
        <w:tc>
          <w:tcPr>
            <w:tcW w:w="5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400,650</w:t>
            </w:r>
          </w:p>
        </w:tc>
        <w:tc>
          <w:tcPr>
            <w:tcW w:w="1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$3.49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$3.49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5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(86,250)</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$3.49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June 30, 2022</w:t>
            </w: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184,400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$3.49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-2114550</wp:posOffset>
            </wp:positionV>
            <wp:extent cx="634492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344920" cy="137160"/>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-1840230</wp:posOffset>
            </wp:positionV>
            <wp:extent cx="634492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344920" cy="137160"/>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-170815</wp:posOffset>
            </wp:positionV>
            <wp:extent cx="10287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7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Each RSU represents the contingent right to receive one share of our common stock. Under the terms of the Omnibus Plan, each of the RSUs is calculated as 1.25 shares of common stock for purposes of determining the number of shares available for future grant. As of June 30, 2022, unrecognized compensation expense related to the unvested portion of our RSUs was </w:t>
      </w:r>
      <w:r>
        <w:rPr>
          <w:rFonts w:ascii="Times New Roman" w:cs="Times New Roman" w:eastAsia="Times New Roman" w:hAnsi="Times New Roman"/>
          <w:sz w:val="18"/>
          <w:szCs w:val="18"/>
          <w:i w:val="1"/>
          <w:iCs w:val="1"/>
          <w:color w:val="auto"/>
        </w:rPr>
        <w:t>de minimis.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2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We also have employment agreements with certain of our current employees that provide for severance payments and accelerated vesting for share-based awards if their employment is terminated under specified circumstances.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0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As discussed in Note 4. Other License Agreements, we are party to a license agreement with Presage under which we may be required to make future payments upon the achievement of certain development, regulatory and commercial milestones, as well as potential future royalties based upon net sales. As of June 30, 2022, we had not accrued any amounts for potential future payments as achievement of the milestones had not been met.</w:t>
      </w:r>
    </w:p>
    <w:p>
      <w:pPr>
        <w:spacing w:after="0" w:line="2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105"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As a result of the ongoing COVID-19 pandemic, various public health orders and guidance measures have been implemented across much of the U.S., and across the globe, including in the locations of our office, clinical trial sites, key vendors and partners. Despite the relaxation of many governmental orders earlier this year, the ongoing COVID-19 pandemic still impacts the normal conduct of business. While we continue to enroll and dose patients in our clinical trials, our clinical development program timelines may continue to be subject to potential negative impacts from the ongoing pandemic in the U.S. and globally.</w:t>
      </w:r>
    </w:p>
    <w:p>
      <w:pPr>
        <w:spacing w:after="0" w:line="68"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We may experience enrollment delays and suspensions, patient withdrawals, postponement of planned clinical or preclinical studies, redirection of site resources from studies, and study deviations or noncompliance. We may also need to maintain or implement study modifications, suspensions, or terminations, the introduction of additional remote study procedures and modified informed consent procedures, study site changes, direct delivery of investigational products to patient homes or alternative sites, which may require state licensing, and</w:t>
      </w:r>
    </w:p>
    <w:p>
      <w:pPr>
        <w:sectPr>
          <w:pgSz w:w="11900" w:h="16838" w:orient="portrait"/>
          <w:cols w:equalWidth="0" w:num="1">
            <w:col w:w="11240"/>
          </w:cols>
          <w:pgMar w:left="320" w:top="360"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7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changes or delays in site monitoring. The foregoing may require that we consult with relevant review and ethics committees, Institutional Review Boards and the FDA. The foregoing may also impact the integrity of our study data. The ongoing COVID-19 pandemic may further increase the need for clinical trial patient monitoring and regulatory reporting of adverse effects, and may delay regulatory authority meetings, inspections, assessments, or the regulatory review of marketing or investigational applications or submissions.</w:t>
      </w:r>
    </w:p>
    <w:p>
      <w:pPr>
        <w:spacing w:after="0" w:line="81"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auto"/>
        </w:rPr>
        <w:t>Not only might the ongoing COVID-19 pandemic impact the conduct of our clinical trials, but it may also impact our ability to procure the necessary supply of our investigational drug products, as well as any ancillary supplies necessary for the conduct of our studies. Third party manufacturers may also need to implement measures and changes, or deviate from typical manufacturing requirements that may otherwise adversely impact our product candidates.</w:t>
      </w:r>
    </w:p>
    <w:p>
      <w:pPr>
        <w:spacing w:after="0" w:line="8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Government stimulus programs enacted in response to the ongoing COVID-19 pandemic have not had a material impact on our financial condition, results of operations, or liquidity.</w:t>
      </w:r>
    </w:p>
    <w:p>
      <w:pPr>
        <w:spacing w:after="0" w:line="2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Nasdaq Bid Price Letter</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May 9, 2022, we received a letter from Nasdaq indicating that, for the last thirty consecutive business days, the bid price for our common stock had closed below the minimum $1.00 per share requirement for continued listing on the Nasdaq Capital Market.</w:t>
      </w:r>
    </w:p>
    <w:p>
      <w:pPr>
        <w:spacing w:after="0" w:line="54"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In accordance with Nasdaq listing rules, we were provided an initial period of 180 calendar days, or until November 7, 2022, to regain compliance. The letter states that Nasdaq will provide written notification that we have achieved compliance with its rules if at any time before November 7, 2022, the bid price of our common stock closes at $1.00 per share or more for a minimum of ten consecutive business days. The Nasdaq letter had no immediate effect on the listing or trading of our common stock and the common stock continued to trade on The Nasdaq Capital Market.</w:t>
      </w:r>
    </w:p>
    <w:p>
      <w:pPr>
        <w:spacing w:after="0" w:line="81"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If we do not regain compliance with Nasdaq listing rules by November 7, 2022, we may be eligible for an additional 180 calendar day compliance period. To qualify, we would be required to meet the continued listing requirement for market value of publicly held shares and all other initial listing standards for the Nasdaq Capital Market, with the exception of the bid price requirement, and would need to provide written notice of our intention to cure the deficiency during the second compliance period, by effecting a reverse stock split, if necessary. However, if it appears to Nasdaq that we will not be able to cure the deficiency, or if we are otherwise not eligible, Nasdaq would notify us that our securities would be subject to delisting. In the event of such a notification, we may appeal Nasdaq’s determination to delist our securities, but there can be no assurance Nasdaq would grant our request for continued listing.</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regained compliance with Nasdaq listing rules as of September 8,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Leases</w:t>
      </w:r>
    </w:p>
    <w:p>
      <w:pPr>
        <w:spacing w:after="0" w:line="107"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In July 2020, we entered into a lease agreement (the "Initial Lease Agreement") for approximately 32,800 square feet of office space in San Diego, California. The Lease Agreement was scheduled to expire in March 2028 but was extended by 20 months to November 2029 in accordance with the amended lease agreement we entered into in January 2022 (the "Amended Lease Agreement"). The Initial and Amended Lease Agreements are collectively referred to as the lease agreements. The lease agreements contain rent escalations over the lease term. We have accounted for the lease agreements as operating leases. The lease agreements contain an option to renew and extend the lease term, which is not included in the determination of the ROU asset and operating lease liability, as it was not reasonably certain to be exercised. Upon commencement of the Amended Lease Agreement, to extend the lease term, we recognized an additional operating lease ROU asset and a corresponding operating lease liability. The lease agreements include variable non-lease components (e.g., common area maintenance, maintenance, etc.) that are not included in the ROU asset and operating lease liability and are reflected as an expense in the period incurred.</w:t>
      </w:r>
    </w:p>
    <w:p>
      <w:pPr>
        <w:spacing w:after="0" w:line="75" w:lineRule="exact"/>
        <w:rPr>
          <w:sz w:val="20"/>
          <w:szCs w:val="20"/>
          <w:color w:val="auto"/>
        </w:rPr>
      </w:pPr>
    </w:p>
    <w:p>
      <w:pPr>
        <w:ind w:right="400" w:firstLine="509"/>
        <w:spacing w:after="0" w:line="280" w:lineRule="auto"/>
        <w:rPr>
          <w:sz w:val="20"/>
          <w:szCs w:val="20"/>
          <w:color w:val="auto"/>
        </w:rPr>
      </w:pPr>
      <w:r>
        <w:rPr>
          <w:rFonts w:ascii="Times New Roman" w:cs="Times New Roman" w:eastAsia="Times New Roman" w:hAnsi="Times New Roman"/>
          <w:sz w:val="17"/>
          <w:szCs w:val="17"/>
          <w:color w:val="auto"/>
        </w:rPr>
        <w:t>The Amended Lease Agreement also provides for an additional 12,300 square feet of office space adjacent to our current office in San Diego, beginning on July 1, 2022, for approximately 45,100 square feet of office space, which will be accounted for as an additional ROU asset and operating lease liability once we obtain control of the additional lease space. Our total contractual obligation for the additional lease space is $5.7 million.</w:t>
      </w:r>
    </w:p>
    <w:p>
      <w:pPr>
        <w:spacing w:after="0" w:line="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operating lease costs for the Lease Agreement were as follows for the periods presented (in thousands):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6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09"/>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our operating leases was as follows for the periods presented (in thousands):</w:t>
      </w:r>
    </w:p>
    <w:p>
      <w:pPr>
        <w:spacing w:after="0" w:line="20"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Years Ended 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09"/>
        </w:trPr>
        <w:tc>
          <w:tcPr>
            <w:tcW w:w="460" w:type="dxa"/>
            <w:vAlign w:val="bottom"/>
          </w:tcPr>
          <w:p>
            <w:pPr>
              <w:spacing w:after="0"/>
              <w:rPr>
                <w:sz w:val="18"/>
                <w:szCs w:val="18"/>
                <w:color w:val="auto"/>
              </w:rPr>
            </w:pPr>
          </w:p>
        </w:tc>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634"/>
        </w:trPr>
        <w:tc>
          <w:tcPr>
            <w:tcW w:w="460" w:type="dxa"/>
            <w:vAlign w:val="bottom"/>
          </w:tcPr>
          <w:p>
            <w:pPr>
              <w:spacing w:after="0"/>
              <w:rPr>
                <w:sz w:val="24"/>
                <w:szCs w:val="24"/>
                <w:color w:val="auto"/>
              </w:rPr>
            </w:pPr>
          </w:p>
        </w:tc>
        <w:tc>
          <w:tcPr>
            <w:tcW w:w="674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88"/>
        </w:trPr>
        <w:tc>
          <w:tcPr>
            <w:tcW w:w="460" w:type="dxa"/>
            <w:vAlign w:val="bottom"/>
            <w:tcBorders>
              <w:bottom w:val="single" w:sz="8" w:color="9A9A9A"/>
            </w:tcBorders>
          </w:tcPr>
          <w:p>
            <w:pPr>
              <w:spacing w:after="0"/>
              <w:rPr>
                <w:sz w:val="7"/>
                <w:szCs w:val="7"/>
                <w:color w:val="auto"/>
              </w:rPr>
            </w:pPr>
          </w:p>
        </w:tc>
        <w:tc>
          <w:tcPr>
            <w:tcW w:w="67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79"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The following is a schedule of the future minimum rental payments for our operating leases, reconciled to the lease liability as of June 30, 2022 (in thousands):</w:t>
      </w:r>
    </w:p>
    <w:p>
      <w:pPr>
        <w:spacing w:after="0" w:line="130"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56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Years ending June 30,</w:t>
            </w: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3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(3,264 )</w:t>
            </w:r>
          </w:p>
        </w:tc>
        <w:tc>
          <w:tcPr>
            <w:tcW w:w="80" w:type="dxa"/>
            <w:vAlign w:val="bottom"/>
          </w:tcPr>
          <w:p>
            <w:pPr>
              <w:spacing w:after="0"/>
              <w:rPr>
                <w:sz w:val="18"/>
                <w:szCs w:val="18"/>
                <w:color w:val="auto"/>
              </w:rPr>
            </w:pPr>
          </w:p>
        </w:tc>
      </w:tr>
      <w:tr>
        <w:trPr>
          <w:trHeight w:val="209"/>
        </w:trPr>
        <w:tc>
          <w:tcPr>
            <w:tcW w:w="5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80" w:type="dxa"/>
            <w:vAlign w:val="bottom"/>
            <w:tcBorders>
              <w:top w:val="single" w:sz="8" w:color="CFF0FC"/>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6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Classification - Operating Leases</w:t>
            </w: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5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196"/>
        </w:trPr>
        <w:tc>
          <w:tcPr>
            <w:tcW w:w="5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Balance Sheet Information - Operating Leases</w:t>
            </w: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-1720215</wp:posOffset>
            </wp:positionV>
            <wp:extent cx="42545"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545" cy="14541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-1437640</wp:posOffset>
            </wp:positionV>
            <wp:extent cx="42545"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2545" cy="17145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-572770</wp:posOffset>
            </wp:positionV>
            <wp:extent cx="42545"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2545" cy="162560"/>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-136525</wp:posOffset>
            </wp:positionV>
            <wp:extent cx="477774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777740" cy="13716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10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have one operating segment which is the development of pharmaceutical compounds. All of our assets and liabilities were located in the U.S. as of June 30, 2022 and 2021.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Pre-tax loss consists of the following jurisdictions (in thousands):</w:t>
      </w: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0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(54,454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(41,306</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(47,172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Pre-tax loss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(54,454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(47,172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4893945</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-24765</wp:posOffset>
            </wp:positionV>
            <wp:extent cx="596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596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-24765</wp:posOffset>
            </wp:positionV>
            <wp:extent cx="596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-7620</wp:posOffset>
            </wp:positionV>
            <wp:extent cx="596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reconciliation of income tax computed at the U.S. federal statutory tax rates to income tax expense is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Tax benefit at U.S. statutory rates</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bottom w:val="single" w:sz="8" w:color="auto"/>
            </w:tcBorders>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330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vMerge w:val="continue"/>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8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(99 )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 costs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30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(4,803 )</w:t>
            </w:r>
          </w:p>
        </w:tc>
        <w:tc>
          <w:tcPr>
            <w:tcW w:w="2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w:t>
            </w:r>
          </w:p>
        </w:tc>
        <w:tc>
          <w:tcPr>
            <w:tcW w:w="3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(71 )</w:t>
            </w: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8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30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3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(15,473 )</w:t>
            </w: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8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(10,536 )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30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(4,473 )</w:t>
            </w:r>
          </w:p>
        </w:tc>
        <w:tc>
          <w:tcPr>
            <w:tcW w:w="2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(440 )</w:t>
            </w: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(1,847 )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0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(638 )</w:t>
            </w:r>
          </w:p>
        </w:tc>
        <w:tc>
          <w:tcPr>
            <w:tcW w:w="2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9"/>
        </w:trPr>
        <w:tc>
          <w:tcPr>
            <w:tcW w:w="3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3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3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-1463675</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-1189355</wp:posOffset>
            </wp:positionV>
            <wp:extent cx="71323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-915670</wp:posOffset>
            </wp:positionV>
            <wp:extent cx="71323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360"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Deferred tax liabilities and assets are comprised of the following (in thousands):</w:t>
      </w:r>
    </w:p>
    <w:p>
      <w:pPr>
        <w:spacing w:after="0" w:line="218" w:lineRule="exact"/>
        <w:rPr>
          <w:sz w:val="20"/>
          <w:szCs w:val="20"/>
          <w:color w:val="auto"/>
        </w:rPr>
      </w:pPr>
    </w:p>
    <w:tbl>
      <w:tblPr>
        <w:tblLayout w:type="fixed"/>
        <w:tblInd w:w="1080" w:type="dxa"/>
        <w:tblCellMar>
          <w:top w:w="0" w:type="dxa"/>
          <w:left w:w="0" w:type="dxa"/>
          <w:bottom w:w="0" w:type="dxa"/>
          <w:right w:w="0" w:type="dxa"/>
        </w:tblCellMar>
      </w:tblPr>
      <w:tr>
        <w:trPr>
          <w:trHeight w:val="187"/>
        </w:trPr>
        <w:tc>
          <w:tcPr>
            <w:tcW w:w="6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16,637</w:t>
            </w:r>
          </w:p>
        </w:tc>
        <w:tc>
          <w:tcPr>
            <w:tcW w:w="80" w:type="dxa"/>
            <w:vAlign w:val="bottom"/>
          </w:tcPr>
          <w:p>
            <w:pPr>
              <w:spacing w:after="0"/>
              <w:rPr>
                <w:sz w:val="18"/>
                <w:szCs w:val="18"/>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Fixed and intangible assets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15,924</w:t>
            </w:r>
          </w:p>
        </w:tc>
        <w:tc>
          <w:tcPr>
            <w:tcW w:w="8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payments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80" w:type="dxa"/>
            <w:vAlign w:val="bottom"/>
          </w:tcPr>
          <w:p>
            <w:pPr>
              <w:spacing w:after="0"/>
              <w:rPr>
                <w:sz w:val="18"/>
                <w:szCs w:val="18"/>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29,581</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16,104</w:t>
            </w:r>
          </w:p>
        </w:tc>
        <w:tc>
          <w:tcPr>
            <w:tcW w:w="8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accruals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Pr>
          <w:p>
            <w:pPr>
              <w:spacing w:after="0"/>
              <w:rPr>
                <w:sz w:val="18"/>
                <w:szCs w:val="18"/>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Consultant and other accruals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(1,932 )</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(1,633 )</w:t>
            </w: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8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Charitable contributions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r>
      <w:tr>
        <w:trPr>
          <w:trHeight w:val="20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 (liabilities)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69,179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53,706</w:t>
            </w:r>
          </w:p>
        </w:tc>
        <w:tc>
          <w:tcPr>
            <w:tcW w:w="80" w:type="dxa"/>
            <w:vAlign w:val="bottom"/>
            <w:shd w:val="clear" w:color="auto" w:fill="CFF0FC"/>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(69,179 )</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(53,706 )</w:t>
            </w:r>
          </w:p>
        </w:tc>
      </w:tr>
      <w:tr>
        <w:trPr>
          <w:trHeight w:val="249"/>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 and liabilities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-24765</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-7620</wp:posOffset>
            </wp:positionV>
            <wp:extent cx="596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-24765</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-7620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right="100" w:firstLine="509"/>
        <w:spacing w:after="0" w:line="280" w:lineRule="auto"/>
        <w:rPr>
          <w:sz w:val="20"/>
          <w:szCs w:val="20"/>
          <w:color w:val="auto"/>
        </w:rPr>
      </w:pPr>
      <w:r>
        <w:rPr>
          <w:rFonts w:ascii="Times New Roman" w:cs="Times New Roman" w:eastAsia="Times New Roman" w:hAnsi="Times New Roman"/>
          <w:sz w:val="17"/>
          <w:szCs w:val="17"/>
          <w:color w:val="auto"/>
        </w:rPr>
        <w:t>We evaluate the recoverability of the deferred tax assets and the amount of the required valuation allowance. Due to the uncertainty surrounding the realization of the tax deductions in future tax returns, we have recorded a valuation allowance against our net deferred tax assets as of June 30, 2022 and 2021. At such time as it is determined that it is more likely than not that the deferred tax assets will be realized, the valuation allowance would be reduced.</w:t>
      </w:r>
    </w:p>
    <w:p>
      <w:pPr>
        <w:spacing w:after="0" w:line="44"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We had federal and state net operating loss carryforwards of approximately $133.9 million and $23.8 million as of June 30, 2022. The federal net operating loss will carry forward indefinitely subject to an 80% taxable income limitation. The state net operating loss carryforwards will begin to expire in 2030 unless previously utilized.</w:t>
      </w:r>
    </w:p>
    <w:p>
      <w:pPr>
        <w:spacing w:after="0" w:line="81"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Our ability to utilize our net operating loss carryforwards may be substantially limited due to ownership changes that have occurred or that could occur in the future under Section 382 of the Internal Revenue Code and similar state laws. During 2022, we completed a study to analyze whether one or more ownership changes had occurred and determined that two such ownership changes did occur. While the ownership changes do limit the amount of net operating loss we are able to use each year, all of our net operating losses are expected to be available for utilization prior to expiring.</w:t>
      </w:r>
    </w:p>
    <w:p>
      <w:pPr>
        <w:spacing w:after="0" w:line="68" w:lineRule="exact"/>
        <w:rPr>
          <w:sz w:val="20"/>
          <w:szCs w:val="20"/>
          <w:color w:val="auto"/>
        </w:rPr>
      </w:pPr>
    </w:p>
    <w:p>
      <w:pPr>
        <w:ind w:firstLine="509"/>
        <w:spacing w:after="0" w:line="280" w:lineRule="auto"/>
        <w:rPr>
          <w:sz w:val="20"/>
          <w:szCs w:val="20"/>
          <w:color w:val="auto"/>
        </w:rPr>
      </w:pPr>
      <w:r>
        <w:rPr>
          <w:rFonts w:ascii="Times New Roman" w:cs="Times New Roman" w:eastAsia="Times New Roman" w:hAnsi="Times New Roman"/>
          <w:sz w:val="17"/>
          <w:szCs w:val="17"/>
          <w:color w:val="auto"/>
        </w:rPr>
        <w:t>None of our prior income tax returns have been selected for examination by a major taxing jurisdiction; however, the statutes of limitations for various filings remain open. The oldest filings subject to potential examination for federal and state purposes are 2019 and 2018, respectively. If we utilize a net operating loss related to a closed tax year, the tax year in which the loss was incurred is subject to adjustment up to the amount of the net operating loss.</w:t>
      </w:r>
    </w:p>
    <w:p>
      <w:pPr>
        <w:spacing w:after="0" w:line="4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not reduced any tax benefit on our financial statements due to uncertain tax positions as of June 30, 2022 and we are not aware of any circumstance that would significantly change this result through the end of fiscal year 2022. To the extent we incur income-tax related penalties or interest, we will recognize them as additional income tax expense.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Disclosure Controls and Procedures</w:t>
      </w:r>
    </w:p>
    <w:p>
      <w:pPr>
        <w:spacing w:after="0" w:line="107"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or submit pursuant to the Securities and Exchange Act of 1934, as amended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68"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Chief Financial Officer, evaluated the effectiveness of the design and operation of our disclosure controls and procedures as defined in Rules 13a-15(e) and 15d-15(e) of the Exchange Act as of the end of the period covered by this Annual Report. Based on that evaluation, our Chief Executive Officer and Chief Financial Officer have concluded that our disclosure controls and procedures were not effective to ensure that the information required to be disclosed by the Company in reports that it files or submits under the Exchange Act is recorded, processed, summarized and reported within the time periods specified in the SEC's rules and forms, due to the material weakness in our internal control over financial reporting described below.</w:t>
      </w:r>
    </w:p>
    <w:p>
      <w:pPr>
        <w:spacing w:after="0" w:line="70"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After giving full consideration to the material weakness, and the additional analyses and other procedures that we performed to ensure that preparation and fair presentation of our financial statements included in this Annual Report, our management and the board of directors has concluded that our financial statements present fairly, in all material respects, our financial position, results of operations and cash flows for the periods disclosed in conformity with U.S. GAAP.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Management’s Annual Report on Internal Control Over Financial Reporting</w:t>
      </w:r>
    </w:p>
    <w:p>
      <w:pPr>
        <w:spacing w:after="0" w:line="121" w:lineRule="exact"/>
        <w:rPr>
          <w:sz w:val="20"/>
          <w:szCs w:val="20"/>
          <w:color w:val="auto"/>
        </w:rPr>
      </w:pPr>
    </w:p>
    <w:p>
      <w:pPr>
        <w:ind w:right="240" w:firstLine="509"/>
        <w:spacing w:after="0" w:line="24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 - 15(f) under the Exchange Act. Our internal control was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7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Management maintains a comprehensive system of controls intended to ensure that transactions are executed in accordance with management's authorization, assets are safeguarded and financial records are reliable. Management also takes steps to ensure that information and communication flows are effective, and to monitor performance, including performance of internal control procedures.</w:t>
      </w:r>
    </w:p>
    <w:p>
      <w:pPr>
        <w:spacing w:after="0" w:line="61" w:lineRule="exact"/>
        <w:rPr>
          <w:sz w:val="20"/>
          <w:szCs w:val="20"/>
          <w:color w:val="auto"/>
        </w:rPr>
      </w:pPr>
    </w:p>
    <w:p>
      <w:pPr>
        <w:ind w:right="380" w:firstLine="509"/>
        <w:spacing w:after="0" w:line="250"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June 30, 2022, based on the criteria set forth by the Committee of Sponsoring Organizations of the Treadway Commission in Internal Control-Integrated Framework (2013 Framework). Based on this assessment, management believes that our internal control over financial reporting was not effective as of June 30, 2022, due to the material weakness described below.</w:t>
      </w:r>
    </w:p>
    <w:p>
      <w:pPr>
        <w:spacing w:after="0" w:line="68"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41"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 xml:space="preserve">In May 2022, we determined that we had made certain errors in the manner in which we recognized revenue from our License, Development and Commercialization Agreement with Kyowa Kirin Company (the "KKC Commercialization Agreement"), with the result that revenue had been overstated in some quarters and understated in other quarters in our financial statements during 2020 and 2021. As a result, we determined that there were material errors in the financial statements that required a restatement of the 2021 and 2020 financial statements included in the Original Form 10-K for the year ended June 30, 2021. This was due to the inadequate design and implementation of controls to evaluate and monitor the accounting for revenue recognition related to license agreements. Accordingly, management determined that this control deficiency constituted a material weakness, which was in the process of being remediated as of June 30, 2022, and, as a result, management concluded that, as of June 30, 2022, our internal control over financial reporting was not effective based on the criteria in </w:t>
      </w:r>
      <w:r>
        <w:rPr>
          <w:rFonts w:ascii="Times New Roman" w:cs="Times New Roman" w:eastAsia="Times New Roman" w:hAnsi="Times New Roman"/>
          <w:sz w:val="18"/>
          <w:szCs w:val="18"/>
          <w:i w:val="1"/>
          <w:iCs w:val="1"/>
          <w:color w:val="auto"/>
        </w:rPr>
        <w:t>Internal Control Integrated Framework (2013)</w:t>
      </w:r>
      <w:r>
        <w:rPr>
          <w:rFonts w:ascii="Times New Roman" w:cs="Times New Roman" w:eastAsia="Times New Roman" w:hAnsi="Times New Roman"/>
          <w:sz w:val="18"/>
          <w:szCs w:val="18"/>
          <w:color w:val="auto"/>
        </w:rPr>
        <w:t xml:space="preserve"> issued by the COSO.</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Plan for Remediation of Material Weakness</w:t>
      </w:r>
    </w:p>
    <w:p>
      <w:pPr>
        <w:spacing w:after="0" w:line="121"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Management is implementing enhanced internal controls to remediate the material weakness. The remediation plan includes enhancement of our contract review of license agreements to confirm appropriate understanding of the terms, as well as implementation of a control designed to evaluate and monitor, at inception and on a quarterly basis, the estimated consideration to be received under license agreements for purposes of revenue recognition, analysis of deferred revenue balances, and enhanced detailed review of our revenue recognition models.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7" w:lineRule="exact"/>
        <w:rPr>
          <w:sz w:val="20"/>
          <w:szCs w:val="20"/>
          <w:color w:val="auto"/>
        </w:rPr>
      </w:pPr>
    </w:p>
    <w:p>
      <w:pPr>
        <w:jc w:val="both"/>
        <w:ind w:right="200" w:firstLine="509"/>
        <w:spacing w:after="0" w:line="258" w:lineRule="auto"/>
        <w:rPr>
          <w:sz w:val="20"/>
          <w:szCs w:val="20"/>
          <w:color w:val="auto"/>
        </w:rPr>
      </w:pPr>
      <w:r>
        <w:rPr>
          <w:rFonts w:ascii="Times New Roman" w:cs="Times New Roman" w:eastAsia="Times New Roman" w:hAnsi="Times New Roman"/>
          <w:sz w:val="18"/>
          <w:szCs w:val="18"/>
          <w:color w:val="auto"/>
        </w:rPr>
        <w:t>Other than the ongoing remediation efforts related to the material weakness discussed above, there were no changes in our internal control over financial reporting (as such term is defined by Rules 13a-15(f) and 15d-15(f) of the Exchange Act) during the most recent fiscal quarter ended June 30, 2022 that have materially affected, or are reasonably likely to materially affect, our internal control over financial reporting.</w:t>
      </w:r>
    </w:p>
    <w:p>
      <w:pPr>
        <w:spacing w:after="0" w:line="6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elements of our remediation plan can only be accomplished over time, and we can offer no assurance that these initiatives will ultimately have the intended effects.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14"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have adopted a Code of Business and Ethics policy that applies to our directors and employees (including our principal executive officer and our principal financial officer), and have posted the text of our policy on our website (</w:t>
      </w:r>
      <w:r>
        <w:rPr>
          <w:rFonts w:ascii="Times New Roman" w:cs="Times New Roman" w:eastAsia="Times New Roman" w:hAnsi="Times New Roman"/>
          <w:sz w:val="18"/>
          <w:szCs w:val="18"/>
          <w:u w:val="single" w:color="auto"/>
          <w:color w:val="auto"/>
        </w:rPr>
        <w:t>www.meipharma.com</w:t>
      </w:r>
      <w:r>
        <w:rPr>
          <w:rFonts w:ascii="Times New Roman" w:cs="Times New Roman" w:eastAsia="Times New Roman" w:hAnsi="Times New Roman"/>
          <w:sz w:val="18"/>
          <w:szCs w:val="18"/>
          <w:color w:val="auto"/>
        </w:rPr>
        <w:t>). In addition, we intend to promptly disclose (i) the nature of any amendment to the policy that applies to our principal executive officer and principal financial officer and (ii) the nature of any waiver, including an implicit waiver, from a provision of the policy that is granted to one of these specified individuals, the name of such person who is granted the waiver and the date of the waiver on our website in the future. Except as expressly stated herein, information contained on our website is not incorporated by reference herein and shall not be deemed a part of this Annual Report on Form 10-K.</w:t>
      </w:r>
    </w:p>
    <w:p>
      <w:pPr>
        <w:spacing w:after="0" w:line="185"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The other information required by this item is incorporated herein by reference to our proxy statement for the fiscal year ended June 30, 2022 (the “Proxy Statement”).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03"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 Financial Statements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Reference is made to the Financial Statements under Item 8 in Part II hereof.</w:t>
      </w:r>
    </w:p>
    <w:p>
      <w:pPr>
        <w:spacing w:after="0" w:line="3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07" w:lineRule="exact"/>
        <w:rPr>
          <w:sz w:val="20"/>
          <w:szCs w:val="20"/>
          <w:color w:val="auto"/>
        </w:rPr>
      </w:pPr>
    </w:p>
    <w:p>
      <w:pPr>
        <w:ind w:right="480" w:firstLine="509"/>
        <w:spacing w:after="0" w:line="281" w:lineRule="auto"/>
        <w:rPr>
          <w:sz w:val="20"/>
          <w:szCs w:val="20"/>
          <w:color w:val="auto"/>
        </w:rPr>
      </w:pPr>
      <w:r>
        <w:rPr>
          <w:rFonts w:ascii="Times New Roman" w:cs="Times New Roman" w:eastAsia="Times New Roman" w:hAnsi="Times New Roman"/>
          <w:sz w:val="18"/>
          <w:szCs w:val="18"/>
          <w:color w:val="auto"/>
        </w:rPr>
        <w:t>The Financial Statement Schedules have been omitted either because they are not required or because the information has been included in the financial statements or the notes thereto included in this Annual Report on Form 10-K.</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10800" w:type="dxa"/>
            <w:vAlign w:val="bottom"/>
            <w:gridSpan w:val="29"/>
          </w:tcPr>
          <w:p>
            <w:pPr>
              <w:ind w:left="60"/>
              <w:spacing w:after="0"/>
              <w:rPr>
                <w:sz w:val="20"/>
                <w:szCs w:val="20"/>
                <w:color w:val="auto"/>
              </w:rPr>
            </w:pPr>
            <w:r>
              <w:rPr>
                <w:rFonts w:ascii="Times New Roman" w:cs="Times New Roman" w:eastAsia="Times New Roman" w:hAnsi="Times New Roman"/>
                <w:sz w:val="18"/>
                <w:szCs w:val="18"/>
                <w:b w:val="1"/>
                <w:bCs w:val="1"/>
                <w:color w:val="auto"/>
              </w:rPr>
              <w:t>3. Exhibits</w:t>
            </w:r>
          </w:p>
        </w:tc>
      </w:tr>
      <w:tr>
        <w:trPr>
          <w:trHeight w:val="351"/>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00" w:type="dxa"/>
            <w:vAlign w:val="bottom"/>
            <w:gridSpan w:val="22"/>
          </w:tcPr>
          <w:p>
            <w:pPr>
              <w:ind w:lef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1"/>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700" w:type="dxa"/>
            <w:vAlign w:val="bottom"/>
          </w:tcPr>
          <w:p>
            <w:pPr>
              <w:spacing w:after="0"/>
              <w:rPr>
                <w:sz w:val="24"/>
                <w:szCs w:val="24"/>
                <w:color w:val="auto"/>
              </w:rPr>
            </w:pPr>
          </w:p>
        </w:tc>
        <w:tc>
          <w:tcPr>
            <w:tcW w:w="10100" w:type="dxa"/>
            <w:vAlign w:val="bottom"/>
            <w:gridSpan w:val="28"/>
          </w:tcPr>
          <w:p>
            <w:pPr>
              <w:spacing w:after="0"/>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Amended and Restated Certificate of Incorporation (incorporated by reference to Exhibit 3.1 to the Registrant’s Quarterly Report on Form 10-Q filed on</w:t>
              </w:r>
            </w:hyperlink>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February 7, 2019 (File No. 000-50484)).</w:t>
              </w:r>
            </w:hyperlink>
          </w:p>
        </w:tc>
        <w:tc>
          <w:tcPr>
            <w:tcW w:w="20" w:type="dxa"/>
            <w:vAlign w:val="bottom"/>
            <w:tcBorders>
              <w:top w:val="single" w:sz="8" w:color="0000FF"/>
              <w:bottom w:val="single" w:sz="8" w:color="0000EE"/>
            </w:tcBorders>
          </w:tcPr>
          <w:p>
            <w:pPr>
              <w:spacing w:after="0"/>
              <w:rPr>
                <w:sz w:val="12"/>
                <w:szCs w:val="12"/>
                <w:color w:val="auto"/>
              </w:rPr>
            </w:pPr>
          </w:p>
        </w:tc>
        <w:tc>
          <w:tcPr>
            <w:tcW w:w="726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0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700" w:type="dxa"/>
            <w:vAlign w:val="bottom"/>
          </w:tcPr>
          <w:p>
            <w:pPr>
              <w:spacing w:after="0"/>
              <w:rPr>
                <w:sz w:val="24"/>
                <w:szCs w:val="24"/>
                <w:color w:val="auto"/>
              </w:rPr>
            </w:pPr>
          </w:p>
        </w:tc>
        <w:tc>
          <w:tcPr>
            <w:tcW w:w="10100" w:type="dxa"/>
            <w:vAlign w:val="bottom"/>
            <w:gridSpan w:val="28"/>
          </w:tcPr>
          <w:p>
            <w:pPr>
              <w:spacing w:after="0"/>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Certificate of Designation of Series A Convertible Preferred Stock of Marshall Edwards, Inc. (incorporated by reference to Exhibit 3.1 to the Registrant’s</w:t>
              </w:r>
            </w:hyperlink>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2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Current Report on Form 8-K filed on May 11, 2011 (File No. 000-50484))</w:t>
              </w:r>
            </w:hyperlink>
          </w:p>
        </w:tc>
        <w:tc>
          <w:tcPr>
            <w:tcW w:w="20" w:type="dxa"/>
            <w:vAlign w:val="bottom"/>
            <w:tcBorders>
              <w:top w:val="single" w:sz="8" w:color="0000FF"/>
              <w:bottom w:val="single" w:sz="8" w:color="0000EE"/>
            </w:tcBorders>
          </w:tcPr>
          <w:p>
            <w:pPr>
              <w:spacing w:after="0"/>
              <w:rPr>
                <w:sz w:val="12"/>
                <w:szCs w:val="12"/>
                <w:color w:val="auto"/>
              </w:rPr>
            </w:pPr>
          </w:p>
        </w:tc>
        <w:tc>
          <w:tcPr>
            <w:tcW w:w="516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0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700" w:type="dxa"/>
            <w:vAlign w:val="bottom"/>
          </w:tcPr>
          <w:p>
            <w:pPr>
              <w:spacing w:after="0"/>
              <w:rPr>
                <w:sz w:val="24"/>
                <w:szCs w:val="24"/>
                <w:color w:val="auto"/>
              </w:rPr>
            </w:pPr>
          </w:p>
        </w:tc>
        <w:tc>
          <w:tcPr>
            <w:tcW w:w="10100" w:type="dxa"/>
            <w:vAlign w:val="bottom"/>
            <w:gridSpan w:val="28"/>
          </w:tcPr>
          <w:p>
            <w:pPr>
              <w:spacing w:after="0"/>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Certificate of Designation of Series B Preferred Stock of Marshall Edwards, Inc. (incorporated by reference to Exhibit 4 to Exhibit 10.1 to the Registrant’s</w:t>
              </w:r>
            </w:hyperlink>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6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Current Report on Form 8-K filed on March 18, 2011 (File No. 000-50484))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700" w:type="dxa"/>
            <w:vAlign w:val="bottom"/>
          </w:tcPr>
          <w:p>
            <w:pPr>
              <w:spacing w:after="0"/>
              <w:rPr>
                <w:sz w:val="24"/>
                <w:szCs w:val="24"/>
                <w:color w:val="auto"/>
              </w:rPr>
            </w:pPr>
          </w:p>
        </w:tc>
        <w:tc>
          <w:tcPr>
            <w:tcW w:w="10100" w:type="dxa"/>
            <w:vAlign w:val="bottom"/>
            <w:gridSpan w:val="28"/>
          </w:tcPr>
          <w:p>
            <w:pPr>
              <w:spacing w:after="0"/>
              <w:rPr>
                <w:rFonts w:ascii="Times New Roman" w:cs="Times New Roman" w:eastAsia="Times New Roman" w:hAnsi="Times New Roman"/>
                <w:sz w:val="16"/>
                <w:szCs w:val="16"/>
                <w:color w:val="0000FF"/>
              </w:rPr>
            </w:pPr>
            <w:hyperlink r:id="rId228">
              <w:r>
                <w:rPr>
                  <w:rFonts w:ascii="Times New Roman" w:cs="Times New Roman" w:eastAsia="Times New Roman" w:hAnsi="Times New Roman"/>
                  <w:sz w:val="16"/>
                  <w:szCs w:val="16"/>
                  <w:color w:val="0000FF"/>
                </w:rPr>
                <w:t>Fourth Amended and Restated By-Laws of MEI Pharma, Inc., effective as of December 16, 2021, (incorporated by reference to Exhibit 3.1 to the</w:t>
              </w:r>
            </w:hyperlink>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6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228">
              <w:r>
                <w:rPr>
                  <w:rFonts w:ascii="Times New Roman" w:cs="Times New Roman" w:eastAsia="Times New Roman" w:hAnsi="Times New Roman"/>
                  <w:sz w:val="16"/>
                  <w:szCs w:val="16"/>
                  <w:color w:val="0000FF"/>
                </w:rPr>
                <w:t>Registrant’s Current Report on Form 8-K filed on December 17, 2021 (File No. 000-50484)).</w:t>
              </w:r>
            </w:hyperlink>
          </w:p>
        </w:tc>
        <w:tc>
          <w:tcPr>
            <w:tcW w:w="20" w:type="dxa"/>
            <w:vAlign w:val="bottom"/>
            <w:tcBorders>
              <w:top w:val="single" w:sz="8" w:color="0000FF"/>
              <w:bottom w:val="single" w:sz="8" w:color="0000EE"/>
            </w:tcBorders>
          </w:tcPr>
          <w:p>
            <w:pPr>
              <w:spacing w:after="0"/>
              <w:rPr>
                <w:sz w:val="12"/>
                <w:szCs w:val="12"/>
                <w:color w:val="auto"/>
              </w:rPr>
            </w:pPr>
          </w:p>
        </w:tc>
        <w:tc>
          <w:tcPr>
            <w:tcW w:w="3380" w:type="dxa"/>
            <w:vAlign w:val="bottom"/>
            <w:tcBorders>
              <w:top w:val="single" w:sz="8" w:color="0000FF"/>
            </w:tcBorders>
            <w:gridSpan w:val="5"/>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30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700" w:type="dxa"/>
            <w:vAlign w:val="bottom"/>
          </w:tcPr>
          <w:p>
            <w:pPr>
              <w:spacing w:after="0"/>
              <w:rPr>
                <w:sz w:val="24"/>
                <w:szCs w:val="24"/>
                <w:color w:val="auto"/>
              </w:rPr>
            </w:pPr>
          </w:p>
        </w:tc>
        <w:tc>
          <w:tcPr>
            <w:tcW w:w="10100" w:type="dxa"/>
            <w:vAlign w:val="bottom"/>
            <w:gridSpan w:val="28"/>
          </w:tcPr>
          <w:p>
            <w:pPr>
              <w:spacing w:after="0"/>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Specimen Stock Certificate (incorporated by reference to Exhibit 4.1 to Amendment No. 1 to the Registrant’s Registration Statement on Form S-1 filed on</w:t>
              </w:r>
            </w:hyperlink>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8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October 31, 2003 (Reg. No. 333-109129)).</w:t>
              </w:r>
            </w:hyperlink>
          </w:p>
        </w:tc>
        <w:tc>
          <w:tcPr>
            <w:tcW w:w="20" w:type="dxa"/>
            <w:vAlign w:val="bottom"/>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700" w:type="dxa"/>
            <w:vAlign w:val="bottom"/>
          </w:tcPr>
          <w:p>
            <w:pPr>
              <w:spacing w:after="0"/>
              <w:rPr>
                <w:sz w:val="24"/>
                <w:szCs w:val="24"/>
                <w:color w:val="auto"/>
              </w:rPr>
            </w:pPr>
          </w:p>
        </w:tc>
        <w:tc>
          <w:tcPr>
            <w:tcW w:w="10100" w:type="dxa"/>
            <w:vAlign w:val="bottom"/>
            <w:gridSpan w:val="28"/>
          </w:tcPr>
          <w:p>
            <w:pPr>
              <w:spacing w:after="0"/>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Form of Warrant (incorporated by reference to Exhibit B to Exhibit 10.1 to the Registrant’s Current Report on Form 8-K filed on May 16, 2018 (File No.</w:t>
              </w:r>
            </w:hyperlink>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9"/>
              </w:rPr>
            </w:pPr>
            <w:hyperlink r:id="rId230">
              <w:r>
                <w:rPr>
                  <w:rFonts w:ascii="Times New Roman" w:cs="Times New Roman" w:eastAsia="Times New Roman" w:hAnsi="Times New Roman"/>
                  <w:sz w:val="16"/>
                  <w:szCs w:val="16"/>
                  <w:color w:val="0000FF"/>
                  <w:w w:val="99"/>
                </w:rPr>
                <w:t>000-50484)).</w:t>
              </w:r>
            </w:hyperlink>
          </w:p>
        </w:tc>
        <w:tc>
          <w:tcPr>
            <w:tcW w:w="20" w:type="dxa"/>
            <w:vAlign w:val="bottom"/>
            <w:tcBorders>
              <w:top w:val="single" w:sz="8" w:color="0000FF"/>
              <w:bottom w:val="single" w:sz="8" w:color="0000EE"/>
            </w:tcBorders>
          </w:tcPr>
          <w:p>
            <w:pPr>
              <w:spacing w:after="0"/>
              <w:rPr>
                <w:sz w:val="12"/>
                <w:szCs w:val="12"/>
                <w:color w:val="auto"/>
              </w:rPr>
            </w:pPr>
          </w:p>
        </w:tc>
        <w:tc>
          <w:tcPr>
            <w:tcW w:w="17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40" w:type="dxa"/>
            <w:vAlign w:val="bottom"/>
            <w:tcBorders>
              <w:top w:val="single" w:sz="8" w:color="0000FF"/>
            </w:tcBorders>
          </w:tcPr>
          <w:p>
            <w:pPr>
              <w:spacing w:after="0"/>
              <w:rPr>
                <w:sz w:val="12"/>
                <w:szCs w:val="12"/>
                <w:color w:val="auto"/>
              </w:rPr>
            </w:pPr>
          </w:p>
        </w:tc>
        <w:tc>
          <w:tcPr>
            <w:tcW w:w="14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0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700" w:type="dxa"/>
            <w:vAlign w:val="bottom"/>
          </w:tcPr>
          <w:p>
            <w:pPr>
              <w:spacing w:after="0"/>
              <w:rPr>
                <w:sz w:val="24"/>
                <w:szCs w:val="24"/>
                <w:color w:val="auto"/>
              </w:rPr>
            </w:pPr>
          </w:p>
        </w:tc>
        <w:tc>
          <w:tcPr>
            <w:tcW w:w="10100" w:type="dxa"/>
            <w:vAlign w:val="bottom"/>
            <w:gridSpan w:val="28"/>
          </w:tcPr>
          <w:p>
            <w:pPr>
              <w:spacing w:after="0"/>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Description of Capital Stock of MEI Pharma, Inc. (incorporated by reference to Exhibit 4.3 to the Registrant's Annual Report on Form 10-K filed on</w:t>
              </w:r>
            </w:hyperlink>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70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September 9, 2020 (File No. 000-50484))</w:t>
              </w:r>
            </w:hyperlink>
          </w:p>
        </w:tc>
        <w:tc>
          <w:tcPr>
            <w:tcW w:w="6960" w:type="dxa"/>
            <w:vAlign w:val="bottom"/>
            <w:tcBorders>
              <w:top w:val="single" w:sz="8" w:color="0000FF"/>
            </w:tcBorders>
            <w:gridSpan w:val="13"/>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r>
      <w:tr>
        <w:trPr>
          <w:trHeight w:val="30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700" w:type="dxa"/>
            <w:vAlign w:val="bottom"/>
          </w:tcPr>
          <w:p>
            <w:pPr>
              <w:spacing w:after="0"/>
              <w:rPr>
                <w:sz w:val="24"/>
                <w:szCs w:val="24"/>
                <w:color w:val="auto"/>
              </w:rPr>
            </w:pPr>
          </w:p>
        </w:tc>
        <w:tc>
          <w:tcPr>
            <w:tcW w:w="10100" w:type="dxa"/>
            <w:vAlign w:val="bottom"/>
            <w:gridSpan w:val="28"/>
          </w:tcPr>
          <w:p>
            <w:pPr>
              <w:spacing w:after="0"/>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Employment letter dated April 23, 2010, between Marshall Edwards, Inc. and Daniel Gold (incorporated by reference to Exhibit 10.1 to the Registrant’s</w:t>
              </w:r>
            </w:hyperlink>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60" w:type="dxa"/>
            <w:vAlign w:val="bottom"/>
            <w:tcBorders>
              <w:top w:val="single" w:sz="8" w:color="0000FF"/>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Current Report on Form 8-K filed on April 26, 2010 (File No. 000-50484)).</w:t>
              </w:r>
            </w:hyperlink>
          </w:p>
        </w:tc>
        <w:tc>
          <w:tcPr>
            <w:tcW w:w="4980" w:type="dxa"/>
            <w:vAlign w:val="bottom"/>
            <w:tcBorders>
              <w:top w:val="single" w:sz="8" w:color="0000FF"/>
            </w:tcBorders>
            <w:gridSpan w:val="11"/>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r>
      <w:tr>
        <w:trPr>
          <w:trHeight w:val="30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700" w:type="dxa"/>
            <w:vAlign w:val="bottom"/>
          </w:tcPr>
          <w:p>
            <w:pPr>
              <w:spacing w:after="0"/>
              <w:rPr>
                <w:sz w:val="24"/>
                <w:szCs w:val="24"/>
                <w:color w:val="auto"/>
              </w:rPr>
            </w:pPr>
          </w:p>
        </w:tc>
        <w:tc>
          <w:tcPr>
            <w:tcW w:w="10100" w:type="dxa"/>
            <w:vAlign w:val="bottom"/>
            <w:gridSpan w:val="28"/>
          </w:tcPr>
          <w:p>
            <w:pPr>
              <w:spacing w:after="0"/>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Employment letter dated March 6, 2014, between MEI Pharma, Inc. and David M. Urso (incorporated by reference to Exhibit 10.1 to the Registrant’s</w:t>
              </w:r>
            </w:hyperlink>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4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Current Report on Form 8-K filed on April 8, 2014 (File No. 000-50484)).</w:t>
              </w:r>
            </w:hyperlink>
          </w:p>
        </w:tc>
        <w:tc>
          <w:tcPr>
            <w:tcW w:w="20" w:type="dxa"/>
            <w:vAlign w:val="bottom"/>
            <w:tcBorders>
              <w:top w:val="single" w:sz="8" w:color="0000FF"/>
              <w:bottom w:val="single" w:sz="8" w:color="0000EE"/>
            </w:tcBorders>
          </w:tcPr>
          <w:p>
            <w:pPr>
              <w:spacing w:after="0"/>
              <w:rPr>
                <w:sz w:val="12"/>
                <w:szCs w:val="12"/>
                <w:color w:val="auto"/>
              </w:rPr>
            </w:pPr>
          </w:p>
        </w:tc>
        <w:tc>
          <w:tcPr>
            <w:tcW w:w="4900" w:type="dxa"/>
            <w:vAlign w:val="bottom"/>
            <w:tcBorders>
              <w:top w:val="single" w:sz="8" w:color="0000FF"/>
            </w:tcBorders>
            <w:gridSpan w:val="10"/>
          </w:tcPr>
          <w:p>
            <w:pPr>
              <w:spacing w:after="0"/>
              <w:rPr>
                <w:sz w:val="12"/>
                <w:szCs w:val="12"/>
                <w:color w:val="auto"/>
              </w:rPr>
            </w:pPr>
          </w:p>
        </w:tc>
        <w:tc>
          <w:tcPr>
            <w:tcW w:w="22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r>
      <w:tr>
        <w:trPr>
          <w:trHeight w:val="30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700" w:type="dxa"/>
            <w:vAlign w:val="bottom"/>
          </w:tcPr>
          <w:p>
            <w:pPr>
              <w:spacing w:after="0"/>
              <w:rPr>
                <w:sz w:val="24"/>
                <w:szCs w:val="24"/>
                <w:color w:val="auto"/>
              </w:rPr>
            </w:pPr>
          </w:p>
        </w:tc>
        <w:tc>
          <w:tcPr>
            <w:tcW w:w="10100" w:type="dxa"/>
            <w:vAlign w:val="bottom"/>
            <w:gridSpan w:val="28"/>
          </w:tcPr>
          <w:p>
            <w:pPr>
              <w:spacing w:after="0"/>
              <w:rPr>
                <w:rFonts w:ascii="Times New Roman" w:cs="Times New Roman" w:eastAsia="Times New Roman" w:hAnsi="Times New Roman"/>
                <w:sz w:val="16"/>
                <w:szCs w:val="16"/>
                <w:color w:val="0000FF"/>
              </w:rPr>
            </w:pPr>
            <w:hyperlink r:id="rId234">
              <w:r>
                <w:rPr>
                  <w:rFonts w:ascii="Times New Roman" w:cs="Times New Roman" w:eastAsia="Times New Roman" w:hAnsi="Times New Roman"/>
                  <w:sz w:val="16"/>
                  <w:szCs w:val="16"/>
                  <w:color w:val="0000FF"/>
                </w:rPr>
                <w:t>Amendment No. 1, dated July 12, 2018, to the Employment Letter dated March 6, 2014, between MEI Pharma, Inc. and David M. Urso. (incorporated by</w:t>
              </w:r>
            </w:hyperlink>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2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234">
              <w:r>
                <w:rPr>
                  <w:rFonts w:ascii="Times New Roman" w:cs="Times New Roman" w:eastAsia="Times New Roman" w:hAnsi="Times New Roman"/>
                  <w:sz w:val="16"/>
                  <w:szCs w:val="16"/>
                  <w:color w:val="0000FF"/>
                </w:rPr>
                <w:t>reference to Exhibit 10.1 to the Registrant’s Current Report on Form 8-K filed on July 16, 2018 (File No. 000-50484)).</w:t>
              </w:r>
            </w:hyperlink>
          </w:p>
        </w:tc>
        <w:tc>
          <w:tcPr>
            <w:tcW w:w="80" w:type="dxa"/>
            <w:vAlign w:val="bottom"/>
            <w:gridSpan w:val="3"/>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60" w:type="dxa"/>
            <w:vAlign w:val="bottom"/>
            <w:tcBorders>
              <w:right w:val="single" w:sz="8" w:color="0000FF"/>
            </w:tcBorders>
            <w:gridSpan w:val="11"/>
            <w:shd w:val="clear" w:color="auto" w:fill="0000FF"/>
          </w:tcPr>
          <w:p>
            <w:pPr>
              <w:spacing w:after="0" w:line="20" w:lineRule="exact"/>
              <w:rPr>
                <w:sz w:val="1"/>
                <w:szCs w:val="1"/>
                <w:color w:val="auto"/>
              </w:rPr>
            </w:pPr>
          </w:p>
        </w:tc>
        <w:tc>
          <w:tcPr>
            <w:tcW w:w="1660" w:type="dxa"/>
            <w:vAlign w:val="bottom"/>
            <w:tcBorders>
              <w:right w:val="single" w:sz="8" w:color="0000EE"/>
            </w:tcBorders>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700" w:type="dxa"/>
            <w:vAlign w:val="bottom"/>
          </w:tcPr>
          <w:p>
            <w:pPr>
              <w:spacing w:after="0"/>
              <w:rPr>
                <w:sz w:val="24"/>
                <w:szCs w:val="24"/>
                <w:color w:val="auto"/>
              </w:rPr>
            </w:pPr>
          </w:p>
        </w:tc>
        <w:tc>
          <w:tcPr>
            <w:tcW w:w="10100" w:type="dxa"/>
            <w:vAlign w:val="bottom"/>
            <w:gridSpan w:val="28"/>
          </w:tcPr>
          <w:p>
            <w:pPr>
              <w:spacing w:after="0"/>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Employment letter dated February 1, 2017, between MEI Pharma, Inc. and Brian G. Drazba (incorporated by reference to Exhibit 10.1 to the Registrant’s</w:t>
              </w:r>
            </w:hyperlink>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4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Current Report on Form 8-K filed on April 3, 2017 (File No. 000-50484)).</w:t>
              </w:r>
            </w:hyperlink>
          </w:p>
        </w:tc>
        <w:tc>
          <w:tcPr>
            <w:tcW w:w="20" w:type="dxa"/>
            <w:vAlign w:val="bottom"/>
            <w:tcBorders>
              <w:top w:val="single" w:sz="8" w:color="0000FF"/>
              <w:bottom w:val="single" w:sz="8" w:color="0000EE"/>
            </w:tcBorders>
          </w:tcPr>
          <w:p>
            <w:pPr>
              <w:spacing w:after="0"/>
              <w:rPr>
                <w:sz w:val="12"/>
                <w:szCs w:val="12"/>
                <w:color w:val="auto"/>
              </w:rPr>
            </w:pPr>
          </w:p>
        </w:tc>
        <w:tc>
          <w:tcPr>
            <w:tcW w:w="5120" w:type="dxa"/>
            <w:vAlign w:val="bottom"/>
            <w:tcBorders>
              <w:top w:val="single" w:sz="8" w:color="0000FF"/>
            </w:tcBorders>
            <w:gridSpan w:val="14"/>
          </w:tcPr>
          <w:p>
            <w:pPr>
              <w:spacing w:after="0"/>
              <w:rPr>
                <w:sz w:val="12"/>
                <w:szCs w:val="12"/>
                <w:color w:val="auto"/>
              </w:rPr>
            </w:pPr>
          </w:p>
        </w:tc>
        <w:tc>
          <w:tcPr>
            <w:tcW w:w="120" w:type="dxa"/>
            <w:vAlign w:val="bottom"/>
            <w:gridSpan w:val="5"/>
          </w:tcPr>
          <w:p>
            <w:pPr>
              <w:spacing w:after="0"/>
              <w:rPr>
                <w:sz w:val="12"/>
                <w:szCs w:val="12"/>
                <w:color w:val="auto"/>
              </w:rPr>
            </w:pPr>
          </w:p>
        </w:tc>
      </w:tr>
      <w:tr>
        <w:trPr>
          <w:trHeight w:val="30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700" w:type="dxa"/>
            <w:vAlign w:val="bottom"/>
          </w:tcPr>
          <w:p>
            <w:pPr>
              <w:spacing w:after="0"/>
              <w:rPr>
                <w:sz w:val="24"/>
                <w:szCs w:val="24"/>
                <w:color w:val="auto"/>
              </w:rPr>
            </w:pPr>
          </w:p>
        </w:tc>
        <w:tc>
          <w:tcPr>
            <w:tcW w:w="10100" w:type="dxa"/>
            <w:vAlign w:val="bottom"/>
            <w:gridSpan w:val="28"/>
          </w:tcPr>
          <w:p>
            <w:pPr>
              <w:spacing w:after="0"/>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Employment letter dated February 17, 2016, between MEI Pharma, Inc. and Richard G. Ghalie (incorporated by reference to Exhibit 10.5 to the</w:t>
              </w:r>
            </w:hyperlink>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36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Registrant's Annual Report on Form 10-K filed on September 2, 2021 (File No. 000-50484)).</w:t>
              </w:r>
            </w:hyperlink>
          </w:p>
        </w:tc>
        <w:tc>
          <w:tcPr>
            <w:tcW w:w="40" w:type="dxa"/>
            <w:vAlign w:val="bottom"/>
          </w:tcPr>
          <w:p>
            <w:pPr>
              <w:spacing w:after="0"/>
              <w:rPr>
                <w:sz w:val="12"/>
                <w:szCs w:val="12"/>
                <w:color w:val="auto"/>
              </w:rPr>
            </w:pPr>
          </w:p>
        </w:tc>
        <w:tc>
          <w:tcPr>
            <w:tcW w:w="700" w:type="dxa"/>
            <w:vAlign w:val="bottom"/>
            <w:gridSpan w:val="12"/>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60" w:type="dxa"/>
            <w:vAlign w:val="bottom"/>
            <w:tcBorders>
              <w:right w:val="single" w:sz="8" w:color="0000EE"/>
            </w:tcBorders>
            <w:gridSpan w:val="11"/>
            <w:shd w:val="clear" w:color="auto" w:fill="0000FF"/>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12"/>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700" w:type="dxa"/>
            <w:vAlign w:val="bottom"/>
          </w:tcPr>
          <w:p>
            <w:pPr>
              <w:spacing w:after="0"/>
              <w:rPr>
                <w:sz w:val="24"/>
                <w:szCs w:val="24"/>
                <w:color w:val="auto"/>
              </w:rPr>
            </w:pPr>
          </w:p>
        </w:tc>
        <w:tc>
          <w:tcPr>
            <w:tcW w:w="10100" w:type="dxa"/>
            <w:vAlign w:val="bottom"/>
            <w:gridSpan w:val="28"/>
          </w:tcPr>
          <w:p>
            <w:pPr>
              <w:spacing w:after="0"/>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Amendment 2021-1 dated April 29, 2021, to the Employment letter dated February 17, 2016, between MEI Pharma, Inc. and Richard G. Ghalie</w:t>
              </w:r>
            </w:hyperlink>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(incorporated by reference to Exhibit 10.6 to the Registrant's Annual Report on Form 10-K filed on September 2, 2021 (File No. 000-50484)).</w:t>
              </w:r>
            </w:hyperlink>
          </w:p>
        </w:tc>
        <w:tc>
          <w:tcPr>
            <w:tcW w:w="700" w:type="dxa"/>
            <w:vAlign w:val="bottom"/>
            <w:gridSpan w:val="12"/>
          </w:tcPr>
          <w:p>
            <w:pPr>
              <w:spacing w:after="0"/>
              <w:rPr>
                <w:sz w:val="12"/>
                <w:szCs w:val="12"/>
                <w:color w:val="auto"/>
              </w:rPr>
            </w:pPr>
          </w:p>
        </w:tc>
      </w:tr>
      <w:tr>
        <w:trPr>
          <w:trHeight w:val="776"/>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20" w:type="dxa"/>
            <w:vAlign w:val="bottom"/>
            <w:tcBorders>
              <w:top w:val="single" w:sz="8" w:color="0000FF"/>
            </w:tcBorders>
            <w:gridSpan w:val="7"/>
          </w:tcPr>
          <w:p>
            <w:pPr>
              <w:ind w:left="4380"/>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40" w:type="dxa"/>
            <w:vAlign w:val="bottom"/>
            <w:tcBorders>
              <w:top w:val="single" w:sz="8" w:color="0000FF"/>
            </w:tcBorders>
          </w:tcPr>
          <w:p>
            <w:pPr>
              <w:spacing w:after="0"/>
              <w:rPr>
                <w:sz w:val="24"/>
                <w:szCs w:val="24"/>
                <w:color w:val="auto"/>
              </w:rPr>
            </w:pPr>
          </w:p>
        </w:tc>
        <w:tc>
          <w:tcPr>
            <w:tcW w:w="14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10.7</w:t>
            </w:r>
          </w:p>
        </w:tc>
        <w:tc>
          <w:tcPr>
            <w:tcW w:w="10020" w:type="dxa"/>
            <w:vAlign w:val="bottom"/>
            <w:gridSpan w:val="30"/>
          </w:tcPr>
          <w:p>
            <w:pPr>
              <w:spacing w:after="0"/>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Form of Indemnification Agreement (incorporated by reference to Exhibit 10.1 to the Registrant’s Current Report on Form 8-K filed on August 29, 2011</w:t>
              </w:r>
            </w:hyperlink>
          </w:p>
        </w:tc>
      </w:tr>
      <w:tr>
        <w:trPr>
          <w:trHeight w:val="142"/>
        </w:trPr>
        <w:tc>
          <w:tcPr>
            <w:tcW w:w="1180" w:type="dxa"/>
            <w:vAlign w:val="bottom"/>
          </w:tcPr>
          <w:p>
            <w:pPr>
              <w:spacing w:after="0"/>
              <w:rPr>
                <w:sz w:val="12"/>
                <w:szCs w:val="12"/>
                <w:color w:val="auto"/>
              </w:rPr>
            </w:pPr>
          </w:p>
        </w:tc>
        <w:tc>
          <w:tcPr>
            <w:tcW w:w="996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(File No. 000-50484)).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10.8**</w:t>
            </w:r>
          </w:p>
        </w:tc>
        <w:tc>
          <w:tcPr>
            <w:tcW w:w="10020" w:type="dxa"/>
            <w:vAlign w:val="bottom"/>
            <w:gridSpan w:val="30"/>
          </w:tcPr>
          <w:p>
            <w:pPr>
              <w:spacing w:after="0"/>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License Agreement, dated as of September 5, 2017, by and between MEI Pharma, Inc. and Presage Biosciences, Inc. (incorporated by reference to</w:t>
              </w:r>
            </w:hyperlink>
          </w:p>
        </w:tc>
      </w:tr>
      <w:tr>
        <w:trPr>
          <w:trHeight w:val="142"/>
        </w:trPr>
        <w:tc>
          <w:tcPr>
            <w:tcW w:w="1180" w:type="dxa"/>
            <w:vAlign w:val="bottom"/>
          </w:tcPr>
          <w:p>
            <w:pPr>
              <w:spacing w:after="0"/>
              <w:rPr>
                <w:sz w:val="12"/>
                <w:szCs w:val="12"/>
                <w:color w:val="auto"/>
              </w:rPr>
            </w:pPr>
          </w:p>
        </w:tc>
        <w:tc>
          <w:tcPr>
            <w:tcW w:w="7440" w:type="dxa"/>
            <w:vAlign w:val="bottom"/>
            <w:tcBorders>
              <w:top w:val="single" w:sz="8" w:color="0000FF"/>
              <w:bottom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Exhibit 10.1 to the Registrant’s Quarterly Report on Form 10-Q filed on November 8, 2017 (File No. 000-50484)).</w:t>
              </w:r>
            </w:hyperlink>
          </w:p>
        </w:tc>
        <w:tc>
          <w:tcPr>
            <w:tcW w:w="20" w:type="dxa"/>
            <w:vAlign w:val="bottom"/>
            <w:tcBorders>
              <w:top w:val="single" w:sz="8" w:color="0000FF"/>
              <w:bottom w:val="single" w:sz="8" w:color="0000EE"/>
            </w:tcBorders>
          </w:tcPr>
          <w:p>
            <w:pPr>
              <w:spacing w:after="0"/>
              <w:rPr>
                <w:sz w:val="12"/>
                <w:szCs w:val="12"/>
                <w:color w:val="auto"/>
              </w:rPr>
            </w:pPr>
          </w:p>
        </w:tc>
        <w:tc>
          <w:tcPr>
            <w:tcW w:w="2100" w:type="dxa"/>
            <w:vAlign w:val="bottom"/>
            <w:tcBorders>
              <w:top w:val="single" w:sz="8" w:color="0000FF"/>
            </w:tcBorders>
            <w:gridSpan w:val="6"/>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04"/>
        </w:trPr>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10.9</w:t>
            </w:r>
          </w:p>
        </w:tc>
        <w:tc>
          <w:tcPr>
            <w:tcW w:w="10020" w:type="dxa"/>
            <w:vAlign w:val="bottom"/>
            <w:gridSpan w:val="30"/>
          </w:tcPr>
          <w:p>
            <w:pPr>
              <w:spacing w:after="0"/>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At-The-Market Equity Offering Sales Agreement, dated November 10, 2020 between MEI Pharma, Inc., Credit Suisse Securities (USA) LLC, and Stifel,</w:t>
              </w:r>
            </w:hyperlink>
          </w:p>
        </w:tc>
      </w:tr>
      <w:tr>
        <w:trPr>
          <w:trHeight w:val="142"/>
        </w:trPr>
        <w:tc>
          <w:tcPr>
            <w:tcW w:w="1180" w:type="dxa"/>
            <w:vAlign w:val="bottom"/>
          </w:tcPr>
          <w:p>
            <w:pPr>
              <w:spacing w:after="0"/>
              <w:rPr>
                <w:sz w:val="12"/>
                <w:szCs w:val="12"/>
                <w:color w:val="auto"/>
              </w:rPr>
            </w:pPr>
          </w:p>
        </w:tc>
        <w:tc>
          <w:tcPr>
            <w:tcW w:w="998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Nicolaus &amp; Company, Inc. (incorporated by reference to Exhibit 1.1 to the Registrant’s Current Report on Form 8-K filed on November 10, 2020 (File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1180" w:type="dxa"/>
            <w:vAlign w:val="bottom"/>
          </w:tcPr>
          <w:p>
            <w:pPr>
              <w:spacing w:after="0"/>
              <w:rPr>
                <w:sz w:val="13"/>
                <w:szCs w:val="13"/>
                <w:color w:val="auto"/>
              </w:rPr>
            </w:pPr>
          </w:p>
        </w:tc>
        <w:tc>
          <w:tcPr>
            <w:tcW w:w="1140" w:type="dxa"/>
            <w:vAlign w:val="bottom"/>
            <w:tcBorders>
              <w:top w:val="single" w:sz="8" w:color="0000FF"/>
              <w:bottom w:val="single" w:sz="8" w:color="0000FF"/>
            </w:tcBorders>
          </w:tcPr>
          <w:p>
            <w:pPr>
              <w:spacing w:after="0" w:line="155"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No. 000-50484)).</w:t>
              </w:r>
            </w:hyperlink>
          </w:p>
        </w:tc>
        <w:tc>
          <w:tcPr>
            <w:tcW w:w="20" w:type="dxa"/>
            <w:vAlign w:val="bottom"/>
            <w:tcBorders>
              <w:top w:val="single" w:sz="8" w:color="0000FF"/>
              <w:bottom w:val="single" w:sz="8" w:color="0000EE"/>
            </w:tcBorders>
          </w:tcPr>
          <w:p>
            <w:pPr>
              <w:spacing w:after="0"/>
              <w:rPr>
                <w:sz w:val="13"/>
                <w:szCs w:val="13"/>
                <w:color w:val="auto"/>
              </w:rPr>
            </w:pPr>
          </w:p>
        </w:tc>
        <w:tc>
          <w:tcPr>
            <w:tcW w:w="8640" w:type="dxa"/>
            <w:vAlign w:val="bottom"/>
            <w:tcBorders>
              <w:top w:val="single" w:sz="8" w:color="0000FF"/>
            </w:tcBorders>
            <w:gridSpan w:val="23"/>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10.10</w:t>
            </w:r>
          </w:p>
        </w:tc>
        <w:tc>
          <w:tcPr>
            <w:tcW w:w="10020" w:type="dxa"/>
            <w:vAlign w:val="bottom"/>
            <w:gridSpan w:val="30"/>
          </w:tcPr>
          <w:p>
            <w:pPr>
              <w:spacing w:after="0"/>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Securities Purchase Agreement, dated May 11, 2018, between MEI Pharma, Inc. and the purchasers identified in Exhibit A therein (incorporated by</w:t>
              </w:r>
            </w:hyperlink>
          </w:p>
        </w:tc>
      </w:tr>
      <w:tr>
        <w:trPr>
          <w:trHeight w:val="142"/>
        </w:trPr>
        <w:tc>
          <w:tcPr>
            <w:tcW w:w="1180" w:type="dxa"/>
            <w:vAlign w:val="bottom"/>
          </w:tcPr>
          <w:p>
            <w:pPr>
              <w:spacing w:after="0"/>
              <w:rPr>
                <w:sz w:val="12"/>
                <w:szCs w:val="12"/>
                <w:color w:val="auto"/>
              </w:rPr>
            </w:pPr>
          </w:p>
        </w:tc>
        <w:tc>
          <w:tcPr>
            <w:tcW w:w="774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reference to Exhibit 10.1 to the Registrant’s Current Report on Form 8-K filed on May 16, 2018 (File No. 000-50484)).</w:t>
              </w:r>
            </w:hyperlink>
          </w:p>
        </w:tc>
        <w:tc>
          <w:tcPr>
            <w:tcW w:w="20" w:type="dxa"/>
            <w:vAlign w:val="bottom"/>
            <w:tcBorders>
              <w:top w:val="single" w:sz="8" w:color="0000FF"/>
              <w:bottom w:val="single" w:sz="8" w:color="0000EE"/>
            </w:tcBorders>
          </w:tcPr>
          <w:p>
            <w:pPr>
              <w:spacing w:after="0"/>
              <w:rPr>
                <w:sz w:val="12"/>
                <w:szCs w:val="12"/>
                <w:color w:val="auto"/>
              </w:rPr>
            </w:pPr>
          </w:p>
        </w:tc>
        <w:tc>
          <w:tcPr>
            <w:tcW w:w="188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304"/>
        </w:trPr>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10.11**</w:t>
            </w:r>
          </w:p>
        </w:tc>
        <w:tc>
          <w:tcPr>
            <w:tcW w:w="10020" w:type="dxa"/>
            <w:vAlign w:val="bottom"/>
            <w:gridSpan w:val="30"/>
          </w:tcPr>
          <w:p>
            <w:pPr>
              <w:spacing w:after="0"/>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License, Development and Commercialization Agreement, dated as of October 31, 2018, by and between the Company and Kyowa Hakko Kirin Co.,</w:t>
              </w:r>
            </w:hyperlink>
          </w:p>
        </w:tc>
      </w:tr>
      <w:tr>
        <w:trPr>
          <w:trHeight w:val="142"/>
        </w:trPr>
        <w:tc>
          <w:tcPr>
            <w:tcW w:w="1180" w:type="dxa"/>
            <w:vAlign w:val="bottom"/>
          </w:tcPr>
          <w:p>
            <w:pPr>
              <w:spacing w:after="0"/>
              <w:rPr>
                <w:sz w:val="12"/>
                <w:szCs w:val="12"/>
                <w:color w:val="auto"/>
              </w:rPr>
            </w:pPr>
          </w:p>
        </w:tc>
        <w:tc>
          <w:tcPr>
            <w:tcW w:w="976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Ltd., now known as Kyowa Kirin Company (incorporated by reference to Exhibit 10.1 to the Registrant’s Quarterly Report on Form 10-Q filed on</w:t>
              </w:r>
            </w:hyperlink>
          </w:p>
        </w:tc>
        <w:tc>
          <w:tcPr>
            <w:tcW w:w="18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118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7"/>
          </w:tcPr>
          <w:p>
            <w:pPr>
              <w:spacing w:after="0" w:line="155"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February 7, 2019 (File No. 000-50484)).</w:t>
              </w:r>
            </w:hyperlink>
          </w:p>
        </w:tc>
        <w:tc>
          <w:tcPr>
            <w:tcW w:w="20" w:type="dxa"/>
            <w:vAlign w:val="bottom"/>
            <w:tcBorders>
              <w:top w:val="single" w:sz="8" w:color="0000FF"/>
              <w:bottom w:val="single" w:sz="8" w:color="0000EE"/>
            </w:tcBorders>
          </w:tcPr>
          <w:p>
            <w:pPr>
              <w:spacing w:after="0"/>
              <w:rPr>
                <w:sz w:val="13"/>
                <w:szCs w:val="13"/>
                <w:color w:val="auto"/>
              </w:rPr>
            </w:pPr>
          </w:p>
        </w:tc>
        <w:tc>
          <w:tcPr>
            <w:tcW w:w="6860" w:type="dxa"/>
            <w:vAlign w:val="bottom"/>
            <w:tcBorders>
              <w:top w:val="single" w:sz="8" w:color="0000FF"/>
            </w:tcBorders>
            <w:gridSpan w:val="12"/>
          </w:tcPr>
          <w:p>
            <w:pPr>
              <w:spacing w:after="0"/>
              <w:rPr>
                <w:sz w:val="13"/>
                <w:szCs w:val="13"/>
                <w:color w:val="auto"/>
              </w:rPr>
            </w:pPr>
          </w:p>
        </w:tc>
        <w:tc>
          <w:tcPr>
            <w:tcW w:w="140" w:type="dxa"/>
            <w:vAlign w:val="bottom"/>
            <w:gridSpan w:val="3"/>
          </w:tcPr>
          <w:p>
            <w:pPr>
              <w:spacing w:after="0"/>
              <w:rPr>
                <w:sz w:val="13"/>
                <w:szCs w:val="13"/>
                <w:color w:val="auto"/>
              </w:rPr>
            </w:pPr>
          </w:p>
        </w:tc>
        <w:tc>
          <w:tcPr>
            <w:tcW w:w="2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10.12***</w:t>
            </w:r>
          </w:p>
        </w:tc>
        <w:tc>
          <w:tcPr>
            <w:tcW w:w="10020" w:type="dxa"/>
            <w:vAlign w:val="bottom"/>
            <w:tcBorders>
              <w:bottom w:val="single" w:sz="8" w:color="0000FF"/>
            </w:tcBorders>
            <w:gridSpan w:val="30"/>
          </w:tcPr>
          <w:p>
            <w:pPr>
              <w:spacing w:after="0"/>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License, Development and Commercialization Agreement, dated as of April 13, 2020, by and between the Company and Kyowa Kirin Co., Ltd. (formerly</w:t>
              </w:r>
            </w:hyperlink>
          </w:p>
        </w:tc>
      </w:tr>
      <w:tr>
        <w:trPr>
          <w:trHeight w:val="142"/>
        </w:trPr>
        <w:tc>
          <w:tcPr>
            <w:tcW w:w="1180" w:type="dxa"/>
            <w:vAlign w:val="bottom"/>
          </w:tcPr>
          <w:p>
            <w:pPr>
              <w:spacing w:after="0"/>
              <w:rPr>
                <w:sz w:val="12"/>
                <w:szCs w:val="12"/>
                <w:color w:val="auto"/>
              </w:rPr>
            </w:pPr>
          </w:p>
        </w:tc>
        <w:tc>
          <w:tcPr>
            <w:tcW w:w="10020" w:type="dxa"/>
            <w:vAlign w:val="bottom"/>
            <w:gridSpan w:val="30"/>
          </w:tcPr>
          <w:p>
            <w:pPr>
              <w:spacing w:after="0" w:line="142" w:lineRule="exact"/>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known as Kyowa Hakko Kirin Co., Ltd.) (incorporated by reference to Exhibit 10.12 to the Registrant's Annual Report on Form 10-K filed on September</w:t>
              </w:r>
            </w:hyperlink>
          </w:p>
        </w:tc>
      </w:tr>
      <w:tr>
        <w:trPr>
          <w:trHeight w:val="155"/>
        </w:trPr>
        <w:tc>
          <w:tcPr>
            <w:tcW w:w="1180" w:type="dxa"/>
            <w:vAlign w:val="bottom"/>
          </w:tcPr>
          <w:p>
            <w:pPr>
              <w:spacing w:after="0"/>
              <w:rPr>
                <w:sz w:val="13"/>
                <w:szCs w:val="13"/>
                <w:color w:val="auto"/>
              </w:rPr>
            </w:pPr>
          </w:p>
        </w:tc>
        <w:tc>
          <w:tcPr>
            <w:tcW w:w="10000" w:type="dxa"/>
            <w:vAlign w:val="bottom"/>
            <w:tcBorders>
              <w:top w:val="single" w:sz="8" w:color="0000FF"/>
            </w:tcBorders>
            <w:gridSpan w:val="29"/>
          </w:tcPr>
          <w:p>
            <w:pPr>
              <w:spacing w:after="0" w:line="155" w:lineRule="exact"/>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2, 2021 (File No. 000-50484)).</w:t>
              </w:r>
            </w:hyperlink>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020" w:type="dxa"/>
            <w:vAlign w:val="bottom"/>
            <w:tcBorders>
              <w:right w:val="single" w:sz="8" w:color="0000EE"/>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85"/>
        </w:trPr>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10.13</w:t>
            </w:r>
          </w:p>
        </w:tc>
        <w:tc>
          <w:tcPr>
            <w:tcW w:w="10020" w:type="dxa"/>
            <w:vAlign w:val="bottom"/>
            <w:tcBorders>
              <w:bottom w:val="single" w:sz="8" w:color="0000FF"/>
            </w:tcBorders>
            <w:gridSpan w:val="30"/>
          </w:tcPr>
          <w:p>
            <w:pPr>
              <w:spacing w:after="0"/>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Transition and Retirement Agreement between Brian G. Drazba and MEI Pharma, Inc., dated as of July 7, 2022 (incorporated by reference to Exhibit 10.1</w:t>
              </w:r>
            </w:hyperlink>
          </w:p>
        </w:tc>
      </w:tr>
      <w:tr>
        <w:trPr>
          <w:trHeight w:val="142"/>
        </w:trPr>
        <w:tc>
          <w:tcPr>
            <w:tcW w:w="1180" w:type="dxa"/>
            <w:vAlign w:val="bottom"/>
          </w:tcPr>
          <w:p>
            <w:pPr>
              <w:spacing w:after="0"/>
              <w:rPr>
                <w:sz w:val="12"/>
                <w:szCs w:val="12"/>
                <w:color w:val="auto"/>
              </w:rPr>
            </w:pPr>
          </w:p>
        </w:tc>
        <w:tc>
          <w:tcPr>
            <w:tcW w:w="6440" w:type="dxa"/>
            <w:vAlign w:val="bottom"/>
            <w:tcBorders>
              <w:bottom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to the Registrant's Current Report on Form 8-K filed on December 23, 2021 (File No. 000-50484)).</w:t>
              </w:r>
            </w:hyperlink>
          </w:p>
        </w:tc>
        <w:tc>
          <w:tcPr>
            <w:tcW w:w="20" w:type="dxa"/>
            <w:vAlign w:val="bottom"/>
            <w:tcBorders>
              <w:bottom w:val="single" w:sz="8" w:color="0000EE"/>
            </w:tcBorders>
          </w:tcPr>
          <w:p>
            <w:pPr>
              <w:spacing w:after="0"/>
              <w:rPr>
                <w:sz w:val="12"/>
                <w:szCs w:val="12"/>
                <w:color w:val="auto"/>
              </w:rPr>
            </w:pPr>
          </w:p>
        </w:tc>
        <w:tc>
          <w:tcPr>
            <w:tcW w:w="3560" w:type="dxa"/>
            <w:vAlign w:val="bottom"/>
            <w:gridSpan w:val="17"/>
          </w:tcPr>
          <w:p>
            <w:pPr>
              <w:spacing w:after="0"/>
              <w:rPr>
                <w:sz w:val="12"/>
                <w:szCs w:val="12"/>
                <w:color w:val="auto"/>
              </w:rPr>
            </w:pPr>
          </w:p>
        </w:tc>
      </w:tr>
      <w:tr>
        <w:trPr>
          <w:trHeight w:val="385"/>
        </w:trPr>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10.14</w:t>
            </w:r>
          </w:p>
        </w:tc>
        <w:tc>
          <w:tcPr>
            <w:tcW w:w="10020" w:type="dxa"/>
            <w:vAlign w:val="bottom"/>
            <w:gridSpan w:val="30"/>
          </w:tcPr>
          <w:p>
            <w:pPr>
              <w:spacing w:after="0"/>
              <w:rPr>
                <w:rFonts w:ascii="Times New Roman" w:cs="Times New Roman" w:eastAsia="Times New Roman" w:hAnsi="Times New Roman"/>
                <w:sz w:val="16"/>
                <w:szCs w:val="16"/>
                <w:color w:val="0000FF"/>
              </w:rPr>
            </w:pPr>
            <w:hyperlink r:id="rId246">
              <w:r>
                <w:rPr>
                  <w:rFonts w:ascii="Times New Roman" w:cs="Times New Roman" w:eastAsia="Times New Roman" w:hAnsi="Times New Roman"/>
                  <w:sz w:val="16"/>
                  <w:szCs w:val="16"/>
                  <w:color w:val="0000FF"/>
                </w:rPr>
                <w:t>Letter Agreement between Brian G. Drazba and MEI Pharma, Inc., dated as of July 7, 2022 (incorporated by reference to Exhibit 10.1 to the Registrant's</w:t>
              </w:r>
            </w:hyperlink>
          </w:p>
        </w:tc>
      </w:tr>
      <w:tr>
        <w:trPr>
          <w:trHeight w:val="142"/>
        </w:trPr>
        <w:tc>
          <w:tcPr>
            <w:tcW w:w="1180" w:type="dxa"/>
            <w:vAlign w:val="bottom"/>
          </w:tcPr>
          <w:p>
            <w:pPr>
              <w:spacing w:after="0"/>
              <w:rPr>
                <w:sz w:val="12"/>
                <w:szCs w:val="12"/>
                <w:color w:val="auto"/>
              </w:rPr>
            </w:pPr>
          </w:p>
        </w:tc>
        <w:tc>
          <w:tcPr>
            <w:tcW w:w="476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246">
              <w:r>
                <w:rPr>
                  <w:rFonts w:ascii="Times New Roman" w:cs="Times New Roman" w:eastAsia="Times New Roman" w:hAnsi="Times New Roman"/>
                  <w:sz w:val="16"/>
                  <w:szCs w:val="16"/>
                  <w:color w:val="0000FF"/>
                </w:rPr>
                <w:t>Current Report on Form 8-K filed on July 7, 2022 (File No. 000-50484)).</w:t>
              </w:r>
            </w:hyperlink>
          </w:p>
        </w:tc>
        <w:tc>
          <w:tcPr>
            <w:tcW w:w="5180" w:type="dxa"/>
            <w:vAlign w:val="bottom"/>
            <w:tcBorders>
              <w:top w:val="single" w:sz="8" w:color="0000FF"/>
            </w:tcBorders>
            <w:gridSpan w:val="15"/>
          </w:tcPr>
          <w:p>
            <w:pPr>
              <w:spacing w:after="0"/>
              <w:rPr>
                <w:sz w:val="12"/>
                <w:szCs w:val="12"/>
                <w:color w:val="auto"/>
              </w:rPr>
            </w:pPr>
          </w:p>
        </w:tc>
        <w:tc>
          <w:tcPr>
            <w:tcW w:w="80" w:type="dxa"/>
            <w:vAlign w:val="bottom"/>
            <w:gridSpan w:val="4"/>
          </w:tcPr>
          <w:p>
            <w:pPr>
              <w:spacing w:after="0"/>
              <w:rPr>
                <w:sz w:val="12"/>
                <w:szCs w:val="12"/>
                <w:color w:val="auto"/>
              </w:rPr>
            </w:pPr>
          </w:p>
        </w:tc>
      </w:tr>
      <w:tr>
        <w:trPr>
          <w:trHeight w:val="304"/>
        </w:trPr>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23.1</w:t>
            </w:r>
          </w:p>
        </w:tc>
        <w:tc>
          <w:tcPr>
            <w:tcW w:w="39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Consent of Independent Registered Public Accounting Firm*</w:t>
            </w:r>
          </w:p>
        </w:tc>
        <w:tc>
          <w:tcPr>
            <w:tcW w:w="20" w:type="dxa"/>
            <w:vAlign w:val="bottom"/>
            <w:tcBorders>
              <w:bottom w:val="single" w:sz="8" w:color="0000EE"/>
            </w:tcBorders>
          </w:tcPr>
          <w:p>
            <w:pPr>
              <w:spacing w:after="0"/>
              <w:rPr>
                <w:sz w:val="24"/>
                <w:szCs w:val="24"/>
                <w:color w:val="auto"/>
              </w:rPr>
            </w:pPr>
          </w:p>
        </w:tc>
        <w:tc>
          <w:tcPr>
            <w:tcW w:w="6020" w:type="dxa"/>
            <w:vAlign w:val="bottom"/>
            <w:gridSpan w:val="20"/>
          </w:tcPr>
          <w:p>
            <w:pPr>
              <w:spacing w:after="0"/>
              <w:rPr>
                <w:sz w:val="24"/>
                <w:szCs w:val="24"/>
                <w:color w:val="auto"/>
              </w:rPr>
            </w:pPr>
          </w:p>
        </w:tc>
      </w:tr>
      <w:tr>
        <w:trPr>
          <w:trHeight w:val="465"/>
        </w:trPr>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31.1</w:t>
            </w:r>
          </w:p>
        </w:tc>
        <w:tc>
          <w:tcPr>
            <w:tcW w:w="81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promulgated under the Securities Exchange Act of 1934*</w:t>
            </w:r>
          </w:p>
        </w:tc>
        <w:tc>
          <w:tcPr>
            <w:tcW w:w="1840" w:type="dxa"/>
            <w:vAlign w:val="bottom"/>
            <w:gridSpan w:val="11"/>
          </w:tcPr>
          <w:p>
            <w:pPr>
              <w:spacing w:after="0"/>
              <w:rPr>
                <w:sz w:val="24"/>
                <w:szCs w:val="24"/>
                <w:color w:val="auto"/>
              </w:rPr>
            </w:pPr>
          </w:p>
        </w:tc>
      </w:tr>
      <w:tr>
        <w:trPr>
          <w:trHeight w:val="465"/>
        </w:trPr>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31.2</w:t>
            </w:r>
          </w:p>
        </w:tc>
        <w:tc>
          <w:tcPr>
            <w:tcW w:w="100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promulgated under the Securities Exchange Act of 1934*</w:t>
            </w:r>
          </w:p>
        </w:tc>
      </w:tr>
      <w:tr>
        <w:trPr>
          <w:trHeight w:val="20"/>
        </w:trPr>
        <w:tc>
          <w:tcPr>
            <w:tcW w:w="1180" w:type="dxa"/>
            <w:vAlign w:val="bottom"/>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80" w:type="dxa"/>
            <w:vAlign w:val="bottom"/>
            <w:gridSpan w:val="12"/>
            <w:shd w:val="clear" w:color="auto" w:fill="0000FF"/>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r>
      <w:tr>
        <w:trPr>
          <w:trHeight w:val="465"/>
        </w:trPr>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32.1</w:t>
            </w:r>
          </w:p>
        </w:tc>
        <w:tc>
          <w:tcPr>
            <w:tcW w:w="100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and Chief Financial Officer pursuant to 18 U.S.C. Section 1350 and Rule 13a-14(B) promulgated under the</w:t>
            </w:r>
          </w:p>
        </w:tc>
      </w:tr>
      <w:tr>
        <w:trPr>
          <w:trHeight w:val="142"/>
        </w:trPr>
        <w:tc>
          <w:tcPr>
            <w:tcW w:w="1180" w:type="dxa"/>
            <w:vAlign w:val="bottom"/>
          </w:tcPr>
          <w:p>
            <w:pPr>
              <w:spacing w:after="0"/>
              <w:rPr>
                <w:sz w:val="12"/>
                <w:szCs w:val="12"/>
                <w:color w:val="auto"/>
              </w:rPr>
            </w:pPr>
          </w:p>
        </w:tc>
        <w:tc>
          <w:tcPr>
            <w:tcW w:w="222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Securities Exchange Act of 1934*</w:t>
            </w:r>
          </w:p>
        </w:tc>
        <w:tc>
          <w:tcPr>
            <w:tcW w:w="20" w:type="dxa"/>
            <w:vAlign w:val="bottom"/>
            <w:tcBorders>
              <w:top w:val="single" w:sz="8" w:color="0000FF"/>
              <w:bottom w:val="single" w:sz="8" w:color="0000EE"/>
            </w:tcBorders>
          </w:tcPr>
          <w:p>
            <w:pPr>
              <w:spacing w:after="0"/>
              <w:rPr>
                <w:sz w:val="12"/>
                <w:szCs w:val="12"/>
                <w:color w:val="auto"/>
              </w:rPr>
            </w:pPr>
          </w:p>
        </w:tc>
        <w:tc>
          <w:tcPr>
            <w:tcW w:w="7420" w:type="dxa"/>
            <w:vAlign w:val="bottom"/>
            <w:tcBorders>
              <w:top w:val="single" w:sz="8" w:color="0000FF"/>
            </w:tcBorders>
            <w:gridSpan w:val="17"/>
          </w:tcPr>
          <w:p>
            <w:pPr>
              <w:spacing w:after="0"/>
              <w:rPr>
                <w:sz w:val="12"/>
                <w:szCs w:val="12"/>
                <w:color w:val="auto"/>
              </w:rPr>
            </w:pPr>
          </w:p>
        </w:tc>
        <w:tc>
          <w:tcPr>
            <w:tcW w:w="360" w:type="dxa"/>
            <w:vAlign w:val="bottom"/>
            <w:gridSpan w:val="7"/>
          </w:tcPr>
          <w:p>
            <w:pPr>
              <w:spacing w:after="0"/>
              <w:rPr>
                <w:sz w:val="12"/>
                <w:szCs w:val="12"/>
                <w:color w:val="auto"/>
              </w:rPr>
            </w:pPr>
          </w:p>
        </w:tc>
      </w:tr>
      <w:tr>
        <w:trPr>
          <w:trHeight w:val="290"/>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002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XBRL tags are embedded within the Inline</w:t>
            </w:r>
          </w:p>
        </w:tc>
      </w:tr>
      <w:tr>
        <w:trPr>
          <w:trHeight w:val="210"/>
        </w:trPr>
        <w:tc>
          <w:tcPr>
            <w:tcW w:w="1180" w:type="dxa"/>
            <w:vAlign w:val="bottom"/>
          </w:tcPr>
          <w:p>
            <w:pPr>
              <w:spacing w:after="0"/>
              <w:rPr>
                <w:sz w:val="18"/>
                <w:szCs w:val="18"/>
                <w:color w:val="auto"/>
              </w:rPr>
            </w:pPr>
          </w:p>
        </w:tc>
        <w:tc>
          <w:tcPr>
            <w:tcW w:w="1002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XBRL document*</w:t>
            </w:r>
          </w:p>
        </w:tc>
      </w:tr>
      <w:tr>
        <w:trPr>
          <w:trHeight w:val="32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02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485"/>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02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485"/>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02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485"/>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02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485"/>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02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 *</w:t>
            </w:r>
          </w:p>
        </w:tc>
      </w:tr>
      <w:tr>
        <w:trPr>
          <w:trHeight w:val="36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02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235" w:lineRule="exact"/>
        <w:rPr>
          <w:sz w:val="20"/>
          <w:szCs w:val="20"/>
          <w:color w:val="auto"/>
        </w:rPr>
      </w:pPr>
    </w:p>
    <w:p>
      <w:pPr>
        <w:ind w:left="600" w:hanging="579"/>
        <w:spacing w:after="0"/>
        <w:tabs>
          <w:tab w:leader="none" w:pos="6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6" w:lineRule="exact"/>
        <w:rPr>
          <w:sz w:val="20"/>
          <w:szCs w:val="20"/>
          <w:color w:val="auto"/>
        </w:rPr>
      </w:pPr>
    </w:p>
    <w:p>
      <w:pPr>
        <w:ind w:left="600" w:hanging="579"/>
        <w:spacing w:after="0"/>
        <w:tabs>
          <w:tab w:leader="none" w:pos="6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have been redacted pursuant to a confidential treatment request filed with the Securities and Exchange Commission.</w:t>
      </w:r>
    </w:p>
    <w:p>
      <w:pPr>
        <w:spacing w:after="0" w:line="18" w:lineRule="exact"/>
        <w:rPr>
          <w:sz w:val="20"/>
          <w:szCs w:val="20"/>
          <w:color w:val="auto"/>
        </w:rPr>
      </w:pPr>
    </w:p>
    <w:p>
      <w:pPr>
        <w:ind w:left="600" w:hanging="579"/>
        <w:spacing w:after="0"/>
        <w:tabs>
          <w:tab w:leader="none" w:pos="6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have been redacted pursuant to Item 601(b)(10)(iv) of Regulation S-K.</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Exchange Act, the registrant has duly caused this Annual Report on Form 10-K to be signed on its behalf by the undersigned, thereunto duly authorized, on September 8, 2022.</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MEI PHARMA,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33"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Daniel P.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8890</wp:posOffset>
            </wp:positionV>
            <wp:extent cx="27311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2731135" cy="8255"/>
                    </a:xfrm>
                    <a:prstGeom prst="rect">
                      <a:avLst/>
                    </a:prstGeom>
                    <a:noFill/>
                  </pic:spPr>
                </pic:pic>
              </a:graphicData>
            </a:graphic>
          </wp:anchor>
        </w:drawing>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Daniel P. Gold</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indicated on September 8, 2022.</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Signatures</w:t>
            </w:r>
          </w:p>
        </w:tc>
        <w:tc>
          <w:tcPr>
            <w:tcW w:w="216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w:t>
            </w:r>
          </w:p>
        </w:tc>
      </w:tr>
      <w:tr>
        <w:trPr>
          <w:trHeight w:val="20"/>
        </w:trPr>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71"/>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Daniel P. Gold</w:t>
            </w:r>
          </w:p>
        </w:tc>
        <w:tc>
          <w:tcPr>
            <w:tcW w:w="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r>
      <w:tr>
        <w:trPr>
          <w:trHeight w:val="352"/>
        </w:trPr>
        <w:tc>
          <w:tcPr>
            <w:tcW w:w="92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Daniel P. Gold</w:t>
            </w:r>
          </w:p>
        </w:tc>
        <w:tc>
          <w:tcPr>
            <w:tcW w:w="3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61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Brian G. Drazba</w:t>
            </w:r>
          </w:p>
        </w:tc>
        <w:tc>
          <w:tcPr>
            <w:tcW w:w="3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Secretary, Chief Financial Officer</w:t>
            </w:r>
          </w:p>
        </w:tc>
      </w:tr>
      <w:tr>
        <w:trPr>
          <w:trHeight w:val="352"/>
        </w:trPr>
        <w:tc>
          <w:tcPr>
            <w:tcW w:w="92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Brian G. Drazba</w:t>
            </w:r>
          </w:p>
        </w:tc>
        <w:tc>
          <w:tcPr>
            <w:tcW w:w="3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61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Christine A. White</w:t>
            </w:r>
          </w:p>
        </w:tc>
        <w:tc>
          <w:tcPr>
            <w:tcW w:w="3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Chairman</w:t>
            </w:r>
          </w:p>
        </w:tc>
      </w:tr>
      <w:tr>
        <w:trPr>
          <w:trHeight w:val="352"/>
        </w:trPr>
        <w:tc>
          <w:tcPr>
            <w:tcW w:w="92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Christine A. White</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1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Charles V. Baltic III</w:t>
            </w:r>
          </w:p>
        </w:tc>
        <w:tc>
          <w:tcPr>
            <w:tcW w:w="3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Director</w:t>
            </w:r>
          </w:p>
        </w:tc>
      </w:tr>
      <w:tr>
        <w:trPr>
          <w:trHeight w:val="352"/>
        </w:trPr>
        <w:tc>
          <w:tcPr>
            <w:tcW w:w="92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Charles V. Baltic</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1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Thomas C. Reynolds</w:t>
            </w:r>
          </w:p>
        </w:tc>
        <w:tc>
          <w:tcPr>
            <w:tcW w:w="3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Director</w:t>
            </w:r>
          </w:p>
        </w:tc>
      </w:tr>
      <w:tr>
        <w:trPr>
          <w:trHeight w:val="352"/>
        </w:trPr>
        <w:tc>
          <w:tcPr>
            <w:tcW w:w="92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Thomas C. Reynolds</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1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Nicholas R. Glover</w:t>
            </w:r>
          </w:p>
        </w:tc>
        <w:tc>
          <w:tcPr>
            <w:tcW w:w="3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Director</w:t>
            </w:r>
          </w:p>
        </w:tc>
      </w:tr>
      <w:tr>
        <w:trPr>
          <w:trHeight w:val="352"/>
        </w:trPr>
        <w:tc>
          <w:tcPr>
            <w:tcW w:w="92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Nicholas R. Glover</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1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Sujay R. Kango</w:t>
            </w:r>
          </w:p>
        </w:tc>
        <w:tc>
          <w:tcPr>
            <w:tcW w:w="3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Director</w:t>
            </w:r>
          </w:p>
        </w:tc>
      </w:tr>
      <w:tr>
        <w:trPr>
          <w:trHeight w:val="352"/>
        </w:trPr>
        <w:tc>
          <w:tcPr>
            <w:tcW w:w="92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Sujay Kango</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1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Frederick W. Driscoll</w:t>
            </w:r>
          </w:p>
        </w:tc>
        <w:tc>
          <w:tcPr>
            <w:tcW w:w="3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Director</w:t>
            </w:r>
          </w:p>
        </w:tc>
      </w:tr>
      <w:tr>
        <w:trPr>
          <w:trHeight w:val="352"/>
        </w:trPr>
        <w:tc>
          <w:tcPr>
            <w:tcW w:w="92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Frederick W. Driscoll</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1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Tamar D. Howson</w:t>
            </w:r>
          </w:p>
        </w:tc>
        <w:tc>
          <w:tcPr>
            <w:tcW w:w="3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Director</w:t>
            </w:r>
          </w:p>
        </w:tc>
      </w:tr>
      <w:tr>
        <w:trPr>
          <w:trHeight w:val="352"/>
        </w:trPr>
        <w:tc>
          <w:tcPr>
            <w:tcW w:w="92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Tamar D. Howson</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1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Cheryl L. Cohen</w:t>
            </w:r>
          </w:p>
        </w:tc>
        <w:tc>
          <w:tcPr>
            <w:tcW w:w="3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Director</w:t>
            </w:r>
          </w:p>
        </w:tc>
      </w:tr>
      <w:tr>
        <w:trPr>
          <w:trHeight w:val="352"/>
        </w:trPr>
        <w:tc>
          <w:tcPr>
            <w:tcW w:w="92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Cheryl L. Cohen</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880"/>
          </w:cols>
          <w:pgMar w:left="320" w:top="414" w:right="699" w:bottom="587" w:gutter="0" w:footer="0" w:header="0"/>
        </w:sectPr>
      </w:pPr>
    </w:p>
    <w:p>
      <w:pPr>
        <w:spacing w:after="0" w:line="36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414" w:right="699" w:bottom="587" w:gutter="0" w:footer="0" w:header="0"/>
          <w:type w:val="continuous"/>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MEI Pharma,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191"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(File Nos. 333-238056, 333-225465, 333-186070, 333-184011, 333-174789, 333-146453, and 333-136440) and Form S-8 (File Nos. 333-255830, 333-251976, 333-229554, 333-216103, 333-213278, 333-201703, 333-179591, 333-174790, 333-169719, and 333-156985) of MEI Pharma, Inc. of our report dated September 8, 2022, relating to the financial statements, which appears in this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P. Gold, certify that:</w:t>
      </w:r>
    </w:p>
    <w:p>
      <w:pPr>
        <w:spacing w:after="0" w:line="103" w:lineRule="exact"/>
        <w:rPr>
          <w:sz w:val="20"/>
          <w:szCs w:val="20"/>
          <w:color w:val="auto"/>
        </w:rPr>
      </w:pPr>
    </w:p>
    <w:p>
      <w:pPr>
        <w:ind w:left="560" w:hanging="552"/>
        <w:spacing w:after="0"/>
        <w:tabs>
          <w:tab w:leader="none" w:pos="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June 30, 2022 of MEI Pharma, Inc.;</w:t>
      </w:r>
    </w:p>
    <w:p>
      <w:pPr>
        <w:spacing w:after="0" w:line="103"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1020" w:right="60" w:hanging="504"/>
        <w:spacing w:after="0" w:line="250"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020" w:right="340" w:hanging="504"/>
        <w:spacing w:after="0" w:line="250"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1020" w:right="500" w:hanging="504"/>
        <w:spacing w:after="0" w:line="295" w:lineRule="auto"/>
        <w:tabs>
          <w:tab w:leader="none" w:pos="102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right="60" w:hanging="504"/>
        <w:spacing w:after="0" w:line="258"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0" w:lineRule="exact"/>
        <w:rPr>
          <w:rFonts w:ascii="Times New Roman" w:cs="Times New Roman" w:eastAsia="Times New Roman" w:hAnsi="Times New Roman"/>
          <w:sz w:val="18"/>
          <w:szCs w:val="18"/>
          <w:color w:val="auto"/>
        </w:rPr>
      </w:pPr>
    </w:p>
    <w:p>
      <w:pPr>
        <w:ind w:left="520" w:right="160" w:hanging="512"/>
        <w:spacing w:after="0" w:line="281"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8"/>
          <w:szCs w:val="18"/>
          <w:color w:val="auto"/>
        </w:rPr>
      </w:pPr>
    </w:p>
    <w:p>
      <w:pPr>
        <w:ind w:left="1020" w:right="740" w:hanging="504"/>
        <w:spacing w:after="0" w:line="266"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September 8, 2022</w:t>
            </w: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Daniel P. Gold</w:t>
            </w:r>
          </w:p>
        </w:tc>
        <w:tc>
          <w:tcPr>
            <w:tcW w:w="20" w:type="dxa"/>
            <w:vAlign w:val="bottom"/>
          </w:tcPr>
          <w:p>
            <w:pPr>
              <w:spacing w:after="0"/>
              <w:rPr>
                <w:sz w:val="17"/>
                <w:szCs w:val="17"/>
                <w:color w:val="auto"/>
              </w:rPr>
            </w:pPr>
          </w:p>
        </w:tc>
      </w:tr>
      <w:tr>
        <w:trPr>
          <w:trHeight w:val="204"/>
        </w:trPr>
        <w:tc>
          <w:tcPr>
            <w:tcW w:w="576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Daniel P. Gold</w:t>
            </w:r>
          </w:p>
        </w:tc>
        <w:tc>
          <w:tcPr>
            <w:tcW w:w="20" w:type="dxa"/>
            <w:vAlign w:val="bottom"/>
          </w:tcPr>
          <w:p>
            <w:pPr>
              <w:spacing w:after="0"/>
              <w:rPr>
                <w:sz w:val="17"/>
                <w:szCs w:val="17"/>
                <w:color w:val="auto"/>
              </w:rPr>
            </w:pPr>
          </w:p>
        </w:tc>
      </w:tr>
      <w:tr>
        <w:trPr>
          <w:trHeight w:val="229"/>
        </w:trPr>
        <w:tc>
          <w:tcPr>
            <w:tcW w:w="57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c>
          <w:tcPr>
            <w:tcW w:w="20" w:type="dxa"/>
            <w:vAlign w:val="bottom"/>
          </w:tcPr>
          <w:p>
            <w:pPr>
              <w:spacing w:after="0"/>
              <w:rPr>
                <w:sz w:val="19"/>
                <w:szCs w:val="19"/>
                <w:color w:val="auto"/>
              </w:rPr>
            </w:pPr>
          </w:p>
        </w:tc>
      </w:tr>
      <w:tr>
        <w:trPr>
          <w:trHeight w:val="243"/>
        </w:trPr>
        <w:tc>
          <w:tcPr>
            <w:tcW w:w="576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20" w:type="dxa"/>
            <w:vAlign w:val="bottom"/>
          </w:tcPr>
          <w:p>
            <w:pPr>
              <w:spacing w:after="0"/>
              <w:rPr>
                <w:sz w:val="21"/>
                <w:szCs w:val="21"/>
                <w:color w:val="auto"/>
              </w:rPr>
            </w:pPr>
          </w:p>
        </w:tc>
      </w:tr>
      <w:tr>
        <w:trPr>
          <w:trHeight w:val="390"/>
        </w:trPr>
        <w:tc>
          <w:tcPr>
            <w:tcW w:w="57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G. Drazba, certify that:</w:t>
      </w:r>
    </w:p>
    <w:p>
      <w:pPr>
        <w:spacing w:after="0" w:line="103"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June 30, 2022 of MEI Pharma, Inc.;</w:t>
      </w:r>
    </w:p>
    <w:p>
      <w:pPr>
        <w:spacing w:after="0" w:line="103"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1020" w:right="60" w:hanging="504"/>
        <w:spacing w:after="0" w:line="250"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020" w:right="340" w:hanging="504"/>
        <w:spacing w:after="0" w:line="250"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1020" w:right="500" w:hanging="504"/>
        <w:spacing w:after="0" w:line="295" w:lineRule="auto"/>
        <w:tabs>
          <w:tab w:leader="none" w:pos="102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right="60" w:hanging="504"/>
        <w:spacing w:after="0" w:line="258"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0" w:lineRule="exact"/>
        <w:rPr>
          <w:rFonts w:ascii="Times New Roman" w:cs="Times New Roman" w:eastAsia="Times New Roman" w:hAnsi="Times New Roman"/>
          <w:sz w:val="18"/>
          <w:szCs w:val="18"/>
          <w:color w:val="auto"/>
        </w:rPr>
      </w:pPr>
    </w:p>
    <w:p>
      <w:pPr>
        <w:ind w:left="520" w:right="160" w:hanging="512"/>
        <w:spacing w:after="0" w:line="281"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8"/>
          <w:szCs w:val="18"/>
          <w:color w:val="auto"/>
        </w:rPr>
      </w:pPr>
    </w:p>
    <w:p>
      <w:pPr>
        <w:ind w:left="1020" w:right="740" w:hanging="504"/>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September 8, 2022</w:t>
            </w: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Brian G. Drazba</w:t>
            </w:r>
          </w:p>
        </w:tc>
        <w:tc>
          <w:tcPr>
            <w:tcW w:w="20" w:type="dxa"/>
            <w:vAlign w:val="bottom"/>
          </w:tcPr>
          <w:p>
            <w:pPr>
              <w:spacing w:after="0"/>
              <w:rPr>
                <w:sz w:val="17"/>
                <w:szCs w:val="17"/>
                <w:color w:val="auto"/>
              </w:rPr>
            </w:pPr>
          </w:p>
        </w:tc>
      </w:tr>
      <w:tr>
        <w:trPr>
          <w:trHeight w:val="204"/>
        </w:trPr>
        <w:tc>
          <w:tcPr>
            <w:tcW w:w="576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Brian G. Drazba</w:t>
            </w:r>
          </w:p>
        </w:tc>
        <w:tc>
          <w:tcPr>
            <w:tcW w:w="20" w:type="dxa"/>
            <w:vAlign w:val="bottom"/>
          </w:tcPr>
          <w:p>
            <w:pPr>
              <w:spacing w:after="0"/>
              <w:rPr>
                <w:sz w:val="17"/>
                <w:szCs w:val="17"/>
                <w:color w:val="auto"/>
              </w:rPr>
            </w:pPr>
          </w:p>
        </w:tc>
      </w:tr>
      <w:tr>
        <w:trPr>
          <w:trHeight w:val="229"/>
        </w:trPr>
        <w:tc>
          <w:tcPr>
            <w:tcW w:w="57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20" w:type="dxa"/>
            <w:vAlign w:val="bottom"/>
          </w:tcPr>
          <w:p>
            <w:pPr>
              <w:spacing w:after="0"/>
              <w:rPr>
                <w:sz w:val="19"/>
                <w:szCs w:val="19"/>
                <w:color w:val="auto"/>
              </w:rPr>
            </w:pPr>
          </w:p>
        </w:tc>
      </w:tr>
      <w:tr>
        <w:trPr>
          <w:trHeight w:val="243"/>
        </w:trPr>
        <w:tc>
          <w:tcPr>
            <w:tcW w:w="576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20" w:type="dxa"/>
            <w:vAlign w:val="bottom"/>
          </w:tcPr>
          <w:p>
            <w:pPr>
              <w:spacing w:after="0"/>
              <w:rPr>
                <w:sz w:val="21"/>
                <w:szCs w:val="21"/>
                <w:color w:val="auto"/>
              </w:rPr>
            </w:pPr>
          </w:p>
        </w:tc>
      </w:tr>
      <w:tr>
        <w:trPr>
          <w:trHeight w:val="390"/>
        </w:trPr>
        <w:tc>
          <w:tcPr>
            <w:tcW w:w="57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U.S. Code, as adopted pursuant to Section 906 of the Sarbanes-Oxley Act of 2002, in his capacity as an officer of MEI Pharma, Inc. (“MEI Pharma”) that, to his knowledge, this Annual Report on Form 10-K of MEI Pharma, for the year ended June 30, 2022, fully complies with the requirements of Section 13(a) or Section 15(d) of the Securities Exchange Act of 1934, as amended, and that the information contained in such report fairly presents, in all material respects, the financial condition and results of operations of MEI Pharma.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Daniel P. Gold</w:t>
            </w:r>
          </w:p>
        </w:tc>
        <w:tc>
          <w:tcPr>
            <w:tcW w:w="740" w:type="dxa"/>
            <w:vAlign w:val="bottom"/>
          </w:tcPr>
          <w:p>
            <w:pPr>
              <w:spacing w:after="0"/>
              <w:rPr>
                <w:sz w:val="17"/>
                <w:szCs w:val="17"/>
                <w:color w:val="auto"/>
              </w:rPr>
            </w:pP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Brian G. Drazba</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Daniel P. Gold</w:t>
            </w:r>
          </w:p>
        </w:tc>
        <w:tc>
          <w:tcPr>
            <w:tcW w:w="59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Brian G. Drazba</w:t>
            </w: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c>
          <w:tcPr>
            <w:tcW w:w="59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59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(Principal Financial Officer)</w:t>
            </w:r>
          </w:p>
        </w:tc>
      </w:tr>
    </w:tbl>
    <w:p>
      <w:pPr>
        <w:spacing w:after="0" w:line="24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These certifications accompanying the report to which they relate, are not deemed filed with the Securities and Exchange Commission and are not to be incorporated by reference into any filing of MEI Pharma under the Securities Act of 1933, as amended, or the Securities Exchange Act of 1934, as amended, except to the extent MEI Pharma specifically incorporates it by reference.</w:t>
      </w:r>
    </w:p>
    <w:p>
      <w:pPr>
        <w:spacing w:after="0" w:line="168"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MEI Pharma and will be retained by MEI Pharma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7" Type="http://schemas.openxmlformats.org/officeDocument/2006/relationships/image" Target="media/image220.png"/><Relationship Id="rId248" Type="http://schemas.openxmlformats.org/officeDocument/2006/relationships/image" Target="media/image221.png"/><Relationship Id="rId249" Type="http://schemas.openxmlformats.org/officeDocument/2006/relationships/image" Target="media/image222.png"/><Relationship Id="rId250" Type="http://schemas.openxmlformats.org/officeDocument/2006/relationships/image" Target="media/image223.png"/><Relationship Id="rId251" Type="http://schemas.openxmlformats.org/officeDocument/2006/relationships/image" Target="media/image224.png"/><Relationship Id="rId252" Type="http://schemas.openxmlformats.org/officeDocument/2006/relationships/image" Target="media/image225.png"/><Relationship Id="rId253" Type="http://schemas.openxmlformats.org/officeDocument/2006/relationships/image" Target="media/image226.png"/><Relationship Id="rId254" Type="http://schemas.openxmlformats.org/officeDocument/2006/relationships/image" Target="media/image227.png"/><Relationship Id="rId255" Type="http://schemas.openxmlformats.org/officeDocument/2006/relationships/image" Target="media/image228.png"/><Relationship Id="rId225" Type="http://schemas.openxmlformats.org/officeDocument/2006/relationships/hyperlink" Target="https://www.sec.gov/Archives/edgar/data/1262104/000119312519030835/d656704dex31.htm" TargetMode="External"/><Relationship Id="rId226" Type="http://schemas.openxmlformats.org/officeDocument/2006/relationships/hyperlink" Target="https://www.sec.gov/Archives/edgar/data/1262104/000119312511134658/dex31.htm" TargetMode="External"/><Relationship Id="rId227" Type="http://schemas.openxmlformats.org/officeDocument/2006/relationships/hyperlink" Target="https://www.sec.gov/Archives/edgar/data/1262104/000119312511070320/dex101.htm" TargetMode="External"/><Relationship Id="rId228" Type="http://schemas.openxmlformats.org/officeDocument/2006/relationships/hyperlink" Target="https://www.sec.gov/Archives/edgar/data/1262104/000119312520080639/d898951dex31.htm" TargetMode="External"/><Relationship Id="rId229" Type="http://schemas.openxmlformats.org/officeDocument/2006/relationships/hyperlink" Target="https://www.sec.gov/Archives/edgar/data/1262104/000095012303012005/y90124a1exv4w1.txt" TargetMode="External"/><Relationship Id="rId230" Type="http://schemas.openxmlformats.org/officeDocument/2006/relationships/hyperlink" Target="https://www.sec.gov/Archives/edgar/data/1262104/000119312518165462/d586784dex101.htm" TargetMode="External"/><Relationship Id="rId231" Type="http://schemas.openxmlformats.org/officeDocument/2006/relationships/hyperlink" Target="https://www.sec.gov/Archives/edgar/data/1262104/000119312520242169/d58841dex43.htm" TargetMode="External"/><Relationship Id="rId232" Type="http://schemas.openxmlformats.org/officeDocument/2006/relationships/hyperlink" Target="https://www.sec.gov/Archives/edgar/data/1262104/000095012310038170/y84082exv10w1.htm" TargetMode="External"/><Relationship Id="rId233" Type="http://schemas.openxmlformats.org/officeDocument/2006/relationships/hyperlink" Target="https://www.sec.gov/Archives/edgar/data/1262104/000119312514134627/d707755dex101.htm" TargetMode="External"/><Relationship Id="rId234" Type="http://schemas.openxmlformats.org/officeDocument/2006/relationships/hyperlink" Target="https://www.sec.gov/Archives/edgar/data/1262104/000119312518218802/d510012dex101.htm" TargetMode="External"/><Relationship Id="rId235" Type="http://schemas.openxmlformats.org/officeDocument/2006/relationships/hyperlink" Target="https://www.sec.gov/Archives/edgar/data/1262104/000119312517107676/d372036dex101.htm" TargetMode="External"/><Relationship Id="rId236" Type="http://schemas.openxmlformats.org/officeDocument/2006/relationships/hyperlink" Target="https://www.sec.gov/Archives/edgar/data/1262104/000095017021001655/meip-20210630ex10_5.htm" TargetMode="External"/><Relationship Id="rId237" Type="http://schemas.openxmlformats.org/officeDocument/2006/relationships/hyperlink" Target="https://www.sec.gov/Archives/edgar/data/1262104/000095017021001655/meip-20210630ex10_6.htm" TargetMode="External"/><Relationship Id="rId240" Type="http://schemas.openxmlformats.org/officeDocument/2006/relationships/hyperlink" Target="https://www.sec.gov/Archives/edgar/data/1262104/000119312511235271/dex101.htm" TargetMode="External"/><Relationship Id="rId241" Type="http://schemas.openxmlformats.org/officeDocument/2006/relationships/hyperlink" Target="https://www.sec.gov/Archives/edgar/data/1262104/000119312517336509/d445348dex101.htm" TargetMode="External"/><Relationship Id="rId242" Type="http://schemas.openxmlformats.org/officeDocument/2006/relationships/hyperlink" Target="https://www.sec.gov/Archives/edgar/data/1262104/000119312517336517/d489860dex11.htm" TargetMode="External"/><Relationship Id="rId243" Type="http://schemas.openxmlformats.org/officeDocument/2006/relationships/hyperlink" Target="https://www.sec.gov/Archives/edgar/data/1262104/000119312519030835/d656704dex101.htm" TargetMode="External"/><Relationship Id="rId244" Type="http://schemas.openxmlformats.org/officeDocument/2006/relationships/hyperlink" Target="https://www.sec.gov/Archives/edgar/data/1262104/000119312520242169/d58841dex1018.htm" TargetMode="External"/><Relationship Id="rId245" Type="http://schemas.openxmlformats.org/officeDocument/2006/relationships/hyperlink" Target="https://www.sec.gov/Archives/edgar/data/1262104/000119312521366182/d275307dex101.htm" TargetMode="External"/><Relationship Id="rId246" Type="http://schemas.openxmlformats.org/officeDocument/2006/relationships/hyperlink" Target="https://www.sec.gov/Archives/edgar/data/1262104/000119312522189565/d22012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2022-09-08T15:08:13Z</dcterms:created>
  <dcterms:modified xsi:type="dcterms:W3CDTF">2022-09-08T15:08:13Z</dcterms:modified>
</cp:coreProperties>
</file>